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376E5" w:rsidRPr="000C21D7" w:rsidRDefault="00530331" w:rsidP="005376E5">
      <w:pPr>
        <w:pStyle w:val="ab"/>
        <w:spacing w:afterLines="20" w:after="100"/>
        <w:ind w:rightChars="-50" w:right="-142"/>
        <w:rPr>
          <w:rFonts w:hAnsi="標楷體"/>
          <w:sz w:val="24"/>
          <w:szCs w:val="24"/>
        </w:rPr>
      </w:pPr>
      <w:bookmarkStart w:id="0" w:name="_GoBack"/>
      <w:bookmarkEnd w:id="0"/>
      <w:r w:rsidRPr="000C21D7">
        <w:rPr>
          <w:rFonts w:hAnsi="標楷體" w:hint="eastAsia"/>
        </w:rPr>
        <w:t>臺灣金融控股股份有限公司及所屬臺灣銀行股份有限公司</w:t>
      </w:r>
      <w:r w:rsidR="00DD7711" w:rsidRPr="000C21D7">
        <w:rPr>
          <w:rFonts w:hAnsi="標楷體" w:hint="eastAsia"/>
        </w:rPr>
        <w:t>1</w:t>
      </w:r>
      <w:r w:rsidR="00BB3524" w:rsidRPr="000C21D7">
        <w:rPr>
          <w:rFonts w:hAnsi="標楷體" w:hint="eastAsia"/>
        </w:rPr>
        <w:t>1</w:t>
      </w:r>
      <w:r w:rsidR="007572AF" w:rsidRPr="000C21D7">
        <w:rPr>
          <w:rFonts w:hAnsi="標楷體" w:hint="eastAsia"/>
        </w:rPr>
        <w:t>1</w:t>
      </w:r>
      <w:r w:rsidRPr="000C21D7">
        <w:rPr>
          <w:rFonts w:hAnsi="標楷體" w:hint="eastAsia"/>
        </w:rPr>
        <w:t>年度營業</w:t>
      </w:r>
      <w:r w:rsidR="008566D3" w:rsidRPr="000C21D7">
        <w:rPr>
          <w:rFonts w:hAnsi="標楷體" w:hint="eastAsia"/>
        </w:rPr>
        <w:t>決</w:t>
      </w:r>
      <w:r w:rsidRPr="000C21D7">
        <w:rPr>
          <w:rFonts w:hAnsi="標楷體" w:hint="eastAsia"/>
        </w:rPr>
        <w:t>算評估報告</w:t>
      </w:r>
      <w:r w:rsidR="00AB0B1B" w:rsidRPr="000C21D7">
        <w:rPr>
          <w:rFonts w:hAnsi="標楷體" w:hint="eastAsia"/>
        </w:rPr>
        <w:t>目錄</w:t>
      </w:r>
      <w:r w:rsidR="00DA63F0" w:rsidRPr="000C21D7">
        <w:rPr>
          <w:rFonts w:hAnsi="標楷體" w:hint="eastAsia"/>
        </w:rPr>
        <w:t xml:space="preserve">          </w:t>
      </w:r>
      <w:r w:rsidR="00D74323" w:rsidRPr="000C21D7">
        <w:rPr>
          <w:rFonts w:hAnsi="標楷體" w:hint="eastAsia"/>
        </w:rPr>
        <w:t xml:space="preserve">  </w:t>
      </w:r>
      <w:r w:rsidR="00DA63F0" w:rsidRPr="000C21D7">
        <w:rPr>
          <w:rFonts w:hAnsi="標楷體" w:hint="eastAsia"/>
        </w:rPr>
        <w:t xml:space="preserve"> </w:t>
      </w:r>
      <w:r w:rsidR="00DA63F0" w:rsidRPr="000C21D7">
        <w:rPr>
          <w:rFonts w:hAnsi="標楷體" w:hint="eastAsia"/>
          <w:sz w:val="24"/>
          <w:szCs w:val="24"/>
        </w:rPr>
        <w:t>頁次</w:t>
      </w:r>
    </w:p>
    <w:p w:rsidR="00C77C4E" w:rsidRPr="00DD16C8" w:rsidRDefault="005376E5">
      <w:pPr>
        <w:pStyle w:val="23"/>
        <w:rPr>
          <w:rFonts w:ascii="Calibri" w:eastAsia="新細明體" w:hAnsi="Calibri"/>
          <w:noProof/>
          <w:snapToGrid/>
          <w:szCs w:val="22"/>
        </w:rPr>
      </w:pPr>
      <w:r w:rsidRPr="000C21D7">
        <w:rPr>
          <w:rFonts w:hAnsi="標楷體"/>
          <w:color w:val="984806"/>
        </w:rPr>
        <w:fldChar w:fldCharType="begin"/>
      </w:r>
      <w:r w:rsidRPr="000C21D7">
        <w:rPr>
          <w:rFonts w:hAnsi="標楷體"/>
          <w:color w:val="984806"/>
        </w:rPr>
        <w:instrText xml:space="preserve"> TOC \h \z \t "第一層(16號字),1,第二層(14號字),2" </w:instrText>
      </w:r>
      <w:r w:rsidRPr="000C21D7">
        <w:rPr>
          <w:rFonts w:hAnsi="標楷體"/>
          <w:color w:val="984806"/>
        </w:rPr>
        <w:fldChar w:fldCharType="separate"/>
      </w:r>
      <w:hyperlink w:anchor="_Toc162964068" w:history="1">
        <w:r w:rsidR="00C77C4E" w:rsidRPr="00D3137D">
          <w:rPr>
            <w:rStyle w:val="af7"/>
            <w:rFonts w:hAnsi="標楷體" w:hint="eastAsia"/>
            <w:noProof/>
            <w:lang w:eastAsia="zh-HK"/>
          </w:rPr>
          <w:t>一</w:t>
        </w:r>
        <w:r w:rsidR="00C77C4E" w:rsidRPr="00D3137D">
          <w:rPr>
            <w:rStyle w:val="af7"/>
            <w:rFonts w:hAnsi="標楷體" w:hint="eastAsia"/>
            <w:noProof/>
          </w:rPr>
          <w:t>、</w:t>
        </w:r>
        <w:r w:rsidR="00C77C4E" w:rsidRPr="00D3137D">
          <w:rPr>
            <w:rStyle w:val="af7"/>
            <w:rFonts w:hAnsi="標楷體"/>
            <w:noProof/>
          </w:rPr>
          <w:t>111</w:t>
        </w:r>
        <w:r w:rsidR="00C77C4E" w:rsidRPr="00D3137D">
          <w:rPr>
            <w:rStyle w:val="af7"/>
            <w:rFonts w:hAnsi="標楷體" w:hint="eastAsia"/>
            <w:noProof/>
          </w:rPr>
          <w:t>年度合併「其他綜合損益」決算為淨損</w:t>
        </w:r>
        <w:r w:rsidR="00C77C4E" w:rsidRPr="00D3137D">
          <w:rPr>
            <w:rStyle w:val="af7"/>
            <w:rFonts w:hAnsi="標楷體"/>
            <w:noProof/>
          </w:rPr>
          <w:t>290.11</w:t>
        </w:r>
        <w:r w:rsidR="00C77C4E" w:rsidRPr="00D3137D">
          <w:rPr>
            <w:rStyle w:val="af7"/>
            <w:rFonts w:hAnsi="標楷體" w:hint="eastAsia"/>
            <w:noProof/>
          </w:rPr>
          <w:t>億元，係近年最大虧損，臺灣金控允宜加強集團金融投資管理及風險控制</w:t>
        </w:r>
        <w:r w:rsidR="00C77C4E">
          <w:rPr>
            <w:noProof/>
            <w:webHidden/>
          </w:rPr>
          <w:tab/>
        </w:r>
        <w:r w:rsidR="00C77C4E">
          <w:rPr>
            <w:noProof/>
            <w:webHidden/>
          </w:rPr>
          <w:fldChar w:fldCharType="begin"/>
        </w:r>
        <w:r w:rsidR="00C77C4E">
          <w:rPr>
            <w:noProof/>
            <w:webHidden/>
          </w:rPr>
          <w:instrText xml:space="preserve"> PAGEREF _Toc162964068 \h </w:instrText>
        </w:r>
        <w:r w:rsidR="00C77C4E">
          <w:rPr>
            <w:noProof/>
            <w:webHidden/>
          </w:rPr>
        </w:r>
        <w:r w:rsidR="00C77C4E">
          <w:rPr>
            <w:noProof/>
            <w:webHidden/>
          </w:rPr>
          <w:fldChar w:fldCharType="separate"/>
        </w:r>
        <w:r w:rsidR="00C77C4E">
          <w:rPr>
            <w:noProof/>
            <w:webHidden/>
          </w:rPr>
          <w:t>1</w:t>
        </w:r>
        <w:r w:rsidR="00C77C4E">
          <w:rPr>
            <w:noProof/>
            <w:webHidden/>
          </w:rPr>
          <w:fldChar w:fldCharType="end"/>
        </w:r>
      </w:hyperlink>
    </w:p>
    <w:p w:rsidR="00C77C4E" w:rsidRPr="00DD16C8" w:rsidRDefault="00C77C4E">
      <w:pPr>
        <w:pStyle w:val="23"/>
        <w:rPr>
          <w:rFonts w:ascii="Calibri" w:eastAsia="新細明體" w:hAnsi="Calibri"/>
          <w:noProof/>
          <w:snapToGrid/>
          <w:szCs w:val="22"/>
        </w:rPr>
      </w:pPr>
      <w:hyperlink w:anchor="_Toc162964069" w:history="1">
        <w:r w:rsidRPr="00D3137D">
          <w:rPr>
            <w:rStyle w:val="af7"/>
            <w:rFonts w:hAnsi="標楷體" w:hint="eastAsia"/>
            <w:noProof/>
          </w:rPr>
          <w:t>二、臺灣銀行</w:t>
        </w:r>
        <w:r w:rsidRPr="00D3137D">
          <w:rPr>
            <w:rStyle w:val="af7"/>
            <w:rFonts w:hAnsi="標楷體"/>
            <w:noProof/>
          </w:rPr>
          <w:t>108</w:t>
        </w:r>
        <w:r w:rsidRPr="00D3137D">
          <w:rPr>
            <w:rStyle w:val="af7"/>
            <w:rFonts w:hAnsi="標楷體" w:hint="eastAsia"/>
            <w:noProof/>
          </w:rPr>
          <w:t>至</w:t>
        </w:r>
        <w:r w:rsidRPr="00D3137D">
          <w:rPr>
            <w:rStyle w:val="af7"/>
            <w:rFonts w:hAnsi="標楷體"/>
            <w:noProof/>
          </w:rPr>
          <w:t>111</w:t>
        </w:r>
        <w:r w:rsidRPr="00D3137D">
          <w:rPr>
            <w:rStyle w:val="af7"/>
            <w:rFonts w:hAnsi="標楷體" w:hint="eastAsia"/>
            <w:noProof/>
          </w:rPr>
          <w:t>年度手續費收入決算數顯著下滑，其中財富管理手續費收入規模已縮減近半，各該業務辦理績效容有改善空間</w:t>
        </w:r>
        <w:r>
          <w:rPr>
            <w:noProof/>
            <w:webHidden/>
          </w:rPr>
          <w:tab/>
        </w:r>
        <w:r>
          <w:rPr>
            <w:noProof/>
            <w:webHidden/>
          </w:rPr>
          <w:fldChar w:fldCharType="begin"/>
        </w:r>
        <w:r>
          <w:rPr>
            <w:noProof/>
            <w:webHidden/>
          </w:rPr>
          <w:instrText xml:space="preserve"> PAGEREF _Toc162964069 \h </w:instrText>
        </w:r>
        <w:r>
          <w:rPr>
            <w:noProof/>
            <w:webHidden/>
          </w:rPr>
        </w:r>
        <w:r>
          <w:rPr>
            <w:noProof/>
            <w:webHidden/>
          </w:rPr>
          <w:fldChar w:fldCharType="separate"/>
        </w:r>
        <w:r>
          <w:rPr>
            <w:noProof/>
            <w:webHidden/>
          </w:rPr>
          <w:t>2</w:t>
        </w:r>
        <w:r>
          <w:rPr>
            <w:noProof/>
            <w:webHidden/>
          </w:rPr>
          <w:fldChar w:fldCharType="end"/>
        </w:r>
      </w:hyperlink>
    </w:p>
    <w:p w:rsidR="00C77C4E" w:rsidRPr="00DD16C8" w:rsidRDefault="00C77C4E">
      <w:pPr>
        <w:pStyle w:val="23"/>
        <w:rPr>
          <w:rFonts w:ascii="Calibri" w:eastAsia="新細明體" w:hAnsi="Calibri"/>
          <w:noProof/>
          <w:snapToGrid/>
          <w:szCs w:val="22"/>
        </w:rPr>
      </w:pPr>
      <w:hyperlink w:anchor="_Toc162964070" w:history="1">
        <w:r w:rsidRPr="00D3137D">
          <w:rPr>
            <w:rStyle w:val="af7"/>
            <w:rFonts w:hAnsi="標楷體" w:hint="eastAsia"/>
            <w:noProof/>
          </w:rPr>
          <w:t>三、臺灣銀行</w:t>
        </w:r>
        <w:r w:rsidRPr="00D3137D">
          <w:rPr>
            <w:rStyle w:val="af7"/>
            <w:rFonts w:hAnsi="標楷體"/>
            <w:noProof/>
          </w:rPr>
          <w:t>111</w:t>
        </w:r>
        <w:r w:rsidRPr="00D3137D">
          <w:rPr>
            <w:rStyle w:val="af7"/>
            <w:rFonts w:hAnsi="標楷體" w:hint="eastAsia"/>
            <w:noProof/>
          </w:rPr>
          <w:t>年度投資運用公教人員保險準備金之投資收益率為負</w:t>
        </w:r>
        <w:r w:rsidRPr="00D3137D">
          <w:rPr>
            <w:rStyle w:val="af7"/>
            <w:rFonts w:hAnsi="標楷體"/>
            <w:noProof/>
          </w:rPr>
          <w:t>14.50%</w:t>
        </w:r>
        <w:r w:rsidRPr="00D3137D">
          <w:rPr>
            <w:rStyle w:val="af7"/>
            <w:rFonts w:hAnsi="標楷體" w:hint="eastAsia"/>
            <w:noProof/>
          </w:rPr>
          <w:t>，係近</w:t>
        </w:r>
        <w:r w:rsidRPr="00D3137D">
          <w:rPr>
            <w:rStyle w:val="af7"/>
            <w:rFonts w:hAnsi="標楷體"/>
            <w:noProof/>
          </w:rPr>
          <w:t>10</w:t>
        </w:r>
        <w:r w:rsidRPr="00D3137D">
          <w:rPr>
            <w:rStyle w:val="af7"/>
            <w:rFonts w:hAnsi="標楷體" w:hint="eastAsia"/>
            <w:noProof/>
          </w:rPr>
          <w:t>年首度大幅虧損，允宜注意並改善，俾公保準備金永續穩健經營</w:t>
        </w:r>
        <w:r>
          <w:rPr>
            <w:noProof/>
            <w:webHidden/>
          </w:rPr>
          <w:tab/>
        </w:r>
        <w:r>
          <w:rPr>
            <w:noProof/>
            <w:webHidden/>
          </w:rPr>
          <w:fldChar w:fldCharType="begin"/>
        </w:r>
        <w:r>
          <w:rPr>
            <w:noProof/>
            <w:webHidden/>
          </w:rPr>
          <w:instrText xml:space="preserve"> PAGEREF _Toc162964070 \h </w:instrText>
        </w:r>
        <w:r>
          <w:rPr>
            <w:noProof/>
            <w:webHidden/>
          </w:rPr>
        </w:r>
        <w:r>
          <w:rPr>
            <w:noProof/>
            <w:webHidden/>
          </w:rPr>
          <w:fldChar w:fldCharType="separate"/>
        </w:r>
        <w:r>
          <w:rPr>
            <w:noProof/>
            <w:webHidden/>
          </w:rPr>
          <w:t>4</w:t>
        </w:r>
        <w:r>
          <w:rPr>
            <w:noProof/>
            <w:webHidden/>
          </w:rPr>
          <w:fldChar w:fldCharType="end"/>
        </w:r>
      </w:hyperlink>
    </w:p>
    <w:p w:rsidR="005376E5" w:rsidRPr="000C21D7" w:rsidRDefault="005376E5" w:rsidP="004D0CF9">
      <w:pPr>
        <w:pStyle w:val="23"/>
        <w:ind w:left="566" w:hanging="566"/>
        <w:rPr>
          <w:rFonts w:hAnsi="標楷體" w:hint="eastAsia"/>
          <w:color w:val="984806"/>
        </w:rPr>
      </w:pPr>
      <w:r w:rsidRPr="000C21D7">
        <w:rPr>
          <w:rFonts w:hAnsi="標楷體"/>
          <w:color w:val="984806"/>
          <w:sz w:val="28"/>
        </w:rPr>
        <w:fldChar w:fldCharType="end"/>
      </w:r>
    </w:p>
    <w:p w:rsidR="005376E5" w:rsidRPr="000C21D7" w:rsidRDefault="005376E5" w:rsidP="005376E5">
      <w:pPr>
        <w:pStyle w:val="ab"/>
        <w:spacing w:afterLines="20" w:after="100"/>
        <w:rPr>
          <w:rFonts w:hAnsi="標楷體"/>
          <w:color w:val="984806"/>
        </w:rPr>
        <w:sectPr w:rsidR="005376E5" w:rsidRPr="000C21D7" w:rsidSect="00B85352">
          <w:footerReference w:type="default" r:id="rId8"/>
          <w:pgSz w:w="11906" w:h="16838" w:code="9"/>
          <w:pgMar w:top="1701" w:right="1701" w:bottom="1701" w:left="1701" w:header="0" w:footer="1134" w:gutter="0"/>
          <w:pgNumType w:start="0"/>
          <w:cols w:space="425"/>
          <w:titlePg/>
          <w:docGrid w:type="linesAndChars" w:linePitch="500" w:charSpace="658"/>
        </w:sectPr>
      </w:pPr>
    </w:p>
    <w:p w:rsidR="005376E5" w:rsidRPr="000C21D7" w:rsidRDefault="005376E5" w:rsidP="005376E5">
      <w:pPr>
        <w:pStyle w:val="ab"/>
        <w:spacing w:afterLines="20" w:after="100"/>
        <w:rPr>
          <w:rFonts w:hAnsi="標楷體"/>
        </w:rPr>
      </w:pPr>
      <w:r w:rsidRPr="000C21D7">
        <w:rPr>
          <w:rFonts w:hAnsi="標楷體"/>
          <w:color w:val="984806"/>
        </w:rPr>
        <w:lastRenderedPageBreak/>
        <w:br w:type="page"/>
      </w:r>
      <w:r w:rsidRPr="000C21D7">
        <w:rPr>
          <w:rFonts w:hAnsi="標楷體" w:hint="eastAsia"/>
        </w:rPr>
        <w:lastRenderedPageBreak/>
        <w:t>臺灣金融控股股份有限公司及所屬臺灣銀行股份有限公司1</w:t>
      </w:r>
      <w:r w:rsidR="00BB3524" w:rsidRPr="000C21D7">
        <w:rPr>
          <w:rFonts w:hAnsi="標楷體" w:hint="eastAsia"/>
        </w:rPr>
        <w:t>1</w:t>
      </w:r>
      <w:r w:rsidR="007572AF" w:rsidRPr="000C21D7">
        <w:rPr>
          <w:rFonts w:hAnsi="標楷體" w:hint="eastAsia"/>
        </w:rPr>
        <w:t>1</w:t>
      </w:r>
      <w:r w:rsidRPr="000C21D7">
        <w:rPr>
          <w:rFonts w:hAnsi="標楷體" w:hint="eastAsia"/>
        </w:rPr>
        <w:t>年度營業決算評估報告</w:t>
      </w:r>
    </w:p>
    <w:p w:rsidR="00B758E3" w:rsidRPr="00B758E3" w:rsidRDefault="00F74F6C" w:rsidP="00B758E3">
      <w:pPr>
        <w:pStyle w:val="14"/>
        <w:ind w:left="567" w:hanging="567"/>
        <w:rPr>
          <w:rFonts w:hAnsi="標楷體"/>
          <w:snapToGrid/>
          <w:color w:val="000000"/>
        </w:rPr>
      </w:pPr>
      <w:bookmarkStart w:id="1" w:name="_Toc54876600"/>
      <w:bookmarkStart w:id="2" w:name="_Toc162964068"/>
      <w:r w:rsidRPr="000C21D7">
        <w:rPr>
          <w:rFonts w:hAnsi="標楷體" w:hint="eastAsia"/>
          <w:snapToGrid/>
          <w:lang w:eastAsia="zh-HK"/>
        </w:rPr>
        <w:t>一</w:t>
      </w:r>
      <w:r w:rsidRPr="000C21D7">
        <w:rPr>
          <w:rFonts w:hAnsi="標楷體" w:hint="eastAsia"/>
          <w:snapToGrid/>
        </w:rPr>
        <w:t>、</w:t>
      </w:r>
      <w:r w:rsidR="00B758E3" w:rsidRPr="00B758E3">
        <w:rPr>
          <w:rFonts w:hAnsi="標楷體" w:hint="eastAsia"/>
          <w:snapToGrid/>
          <w:color w:val="000000"/>
        </w:rPr>
        <w:t>111年度合併「其他綜合損益」決算為淨損290.11億元，係近年最大虧損，</w:t>
      </w:r>
      <w:r w:rsidR="00B60846" w:rsidRPr="00B60846">
        <w:rPr>
          <w:rFonts w:hAnsi="標楷體" w:hint="eastAsia"/>
          <w:snapToGrid/>
          <w:color w:val="000000"/>
        </w:rPr>
        <w:t>臺灣金控</w:t>
      </w:r>
      <w:r w:rsidR="00B758E3" w:rsidRPr="00B758E3">
        <w:rPr>
          <w:rFonts w:hAnsi="標楷體" w:hint="eastAsia"/>
          <w:snapToGrid/>
          <w:color w:val="000000"/>
        </w:rPr>
        <w:t>允宜加強</w:t>
      </w:r>
      <w:r w:rsidR="00B60846">
        <w:rPr>
          <w:rFonts w:hAnsi="標楷體" w:hint="eastAsia"/>
          <w:snapToGrid/>
          <w:color w:val="000000"/>
        </w:rPr>
        <w:t>集團</w:t>
      </w:r>
      <w:r w:rsidR="00B758E3" w:rsidRPr="00B758E3">
        <w:rPr>
          <w:rFonts w:hAnsi="標楷體" w:hint="eastAsia"/>
          <w:snapToGrid/>
          <w:color w:val="000000"/>
        </w:rPr>
        <w:t>金融投資管理及風險控制</w:t>
      </w:r>
      <w:bookmarkEnd w:id="2"/>
    </w:p>
    <w:p w:rsidR="00B758E3" w:rsidRPr="008F5480" w:rsidRDefault="005F45D0" w:rsidP="00B758E3">
      <w:pPr>
        <w:ind w:left="566" w:firstLine="566"/>
        <w:rPr>
          <w:rFonts w:hAnsi="標楷體"/>
          <w:snapToGrid/>
          <w:color w:val="000000"/>
        </w:rPr>
      </w:pPr>
      <w:r w:rsidRPr="005F45D0">
        <w:rPr>
          <w:rFonts w:hAnsi="標楷體" w:hint="eastAsia"/>
          <w:snapToGrid/>
          <w:color w:val="000000"/>
        </w:rPr>
        <w:t>臺灣金融控股股份有限公司</w:t>
      </w:r>
      <w:r>
        <w:rPr>
          <w:rFonts w:hAnsi="標楷體" w:hint="eastAsia"/>
          <w:snapToGrid/>
          <w:color w:val="000000"/>
        </w:rPr>
        <w:t>(以下簡稱</w:t>
      </w:r>
      <w:r w:rsidR="00B758E3" w:rsidRPr="008F5480">
        <w:rPr>
          <w:rFonts w:hAnsi="標楷體" w:hint="eastAsia"/>
          <w:snapToGrid/>
          <w:color w:val="000000"/>
        </w:rPr>
        <w:t>臺灣金控</w:t>
      </w:r>
      <w:r>
        <w:rPr>
          <w:rFonts w:hAnsi="標楷體" w:hint="eastAsia"/>
          <w:snapToGrid/>
          <w:color w:val="000000"/>
        </w:rPr>
        <w:t>)</w:t>
      </w:r>
      <w:r w:rsidR="00B758E3" w:rsidRPr="008F5480">
        <w:rPr>
          <w:rFonts w:hAnsi="標楷體" w:hint="eastAsia"/>
          <w:snapToGrid/>
          <w:color w:val="000000"/>
        </w:rPr>
        <w:t>111年度預算編列合併「本期淨利」</w:t>
      </w:r>
      <w:r w:rsidR="00461A34" w:rsidRPr="008F5480">
        <w:rPr>
          <w:rFonts w:hAnsi="標楷體" w:hint="eastAsia"/>
          <w:snapToGrid/>
          <w:color w:val="000000"/>
        </w:rPr>
        <w:t>79</w:t>
      </w:r>
      <w:r w:rsidR="00B758E3" w:rsidRPr="008F5480">
        <w:rPr>
          <w:rFonts w:hAnsi="標楷體" w:hint="eastAsia"/>
          <w:snapToGrid/>
          <w:color w:val="000000"/>
        </w:rPr>
        <w:t>億</w:t>
      </w:r>
      <w:r w:rsidR="00461A34" w:rsidRPr="008F5480">
        <w:rPr>
          <w:rFonts w:hAnsi="標楷體" w:hint="eastAsia"/>
          <w:snapToGrid/>
          <w:color w:val="000000"/>
        </w:rPr>
        <w:t>8</w:t>
      </w:r>
      <w:r w:rsidR="00B758E3" w:rsidRPr="008F5480">
        <w:rPr>
          <w:rFonts w:hAnsi="標楷體"/>
          <w:snapToGrid/>
          <w:color w:val="000000"/>
        </w:rPr>
        <w:t>,</w:t>
      </w:r>
      <w:r w:rsidR="00461A34" w:rsidRPr="008F5480">
        <w:rPr>
          <w:rFonts w:hAnsi="標楷體" w:hint="eastAsia"/>
          <w:snapToGrid/>
          <w:color w:val="000000"/>
        </w:rPr>
        <w:t>619</w:t>
      </w:r>
      <w:r w:rsidR="00B758E3" w:rsidRPr="008F5480">
        <w:rPr>
          <w:rFonts w:hAnsi="標楷體" w:hint="eastAsia"/>
          <w:snapToGrid/>
          <w:color w:val="000000"/>
        </w:rPr>
        <w:t>萬</w:t>
      </w:r>
      <w:r w:rsidR="00461A34" w:rsidRPr="008F5480">
        <w:rPr>
          <w:rFonts w:hAnsi="標楷體" w:hint="eastAsia"/>
          <w:snapToGrid/>
          <w:color w:val="000000"/>
        </w:rPr>
        <w:t>4</w:t>
      </w:r>
      <w:r w:rsidR="00B758E3" w:rsidRPr="008F5480">
        <w:rPr>
          <w:rFonts w:hAnsi="標楷體" w:hint="eastAsia"/>
          <w:snapToGrid/>
          <w:color w:val="000000"/>
        </w:rPr>
        <w:t>千元，決算數為</w:t>
      </w:r>
      <w:r w:rsidR="00B758E3" w:rsidRPr="008F5480">
        <w:rPr>
          <w:rFonts w:hAnsi="標楷體"/>
          <w:snapToGrid/>
          <w:color w:val="000000"/>
        </w:rPr>
        <w:t>155</w:t>
      </w:r>
      <w:r w:rsidR="00B758E3" w:rsidRPr="008F5480">
        <w:rPr>
          <w:rFonts w:hAnsi="標楷體" w:hint="eastAsia"/>
          <w:snapToGrid/>
          <w:color w:val="000000"/>
        </w:rPr>
        <w:t>億2</w:t>
      </w:r>
      <w:r w:rsidR="00B758E3" w:rsidRPr="008F5480">
        <w:rPr>
          <w:rFonts w:hAnsi="標楷體"/>
          <w:snapToGrid/>
          <w:color w:val="000000"/>
        </w:rPr>
        <w:t>,217</w:t>
      </w:r>
      <w:r w:rsidR="00B758E3" w:rsidRPr="008F5480">
        <w:rPr>
          <w:rFonts w:hAnsi="標楷體" w:hint="eastAsia"/>
          <w:snapToGrid/>
          <w:color w:val="000000"/>
        </w:rPr>
        <w:t>萬7千元；另編列其他綜合損益稅後淨額</w:t>
      </w:r>
      <w:r w:rsidR="00461A34" w:rsidRPr="008F5480">
        <w:rPr>
          <w:rFonts w:hAnsi="標楷體" w:hint="eastAsia"/>
          <w:snapToGrid/>
          <w:color w:val="000000"/>
        </w:rPr>
        <w:t>預算數負16</w:t>
      </w:r>
      <w:r w:rsidR="00B758E3" w:rsidRPr="008F5480">
        <w:rPr>
          <w:rFonts w:hAnsi="標楷體" w:hint="eastAsia"/>
          <w:snapToGrid/>
          <w:color w:val="000000"/>
        </w:rPr>
        <w:t>億</w:t>
      </w:r>
      <w:r w:rsidR="00461A34" w:rsidRPr="008F5480">
        <w:rPr>
          <w:rFonts w:hAnsi="標楷體" w:hint="eastAsia"/>
          <w:snapToGrid/>
          <w:color w:val="000000"/>
        </w:rPr>
        <w:t>2</w:t>
      </w:r>
      <w:r w:rsidR="00B758E3" w:rsidRPr="008F5480">
        <w:rPr>
          <w:rFonts w:hAnsi="標楷體"/>
          <w:snapToGrid/>
          <w:color w:val="000000"/>
        </w:rPr>
        <w:t>,</w:t>
      </w:r>
      <w:r w:rsidR="00461A34" w:rsidRPr="008F5480">
        <w:rPr>
          <w:rFonts w:hAnsi="標楷體" w:hint="eastAsia"/>
          <w:snapToGrid/>
          <w:color w:val="000000"/>
        </w:rPr>
        <w:t>169</w:t>
      </w:r>
      <w:r w:rsidR="00B758E3" w:rsidRPr="008F5480">
        <w:rPr>
          <w:rFonts w:hAnsi="標楷體" w:hint="eastAsia"/>
          <w:snapToGrid/>
          <w:color w:val="000000"/>
        </w:rPr>
        <w:t>萬</w:t>
      </w:r>
      <w:r w:rsidR="00461A34" w:rsidRPr="008F5480">
        <w:rPr>
          <w:rFonts w:hAnsi="標楷體" w:hint="eastAsia"/>
          <w:snapToGrid/>
          <w:color w:val="000000"/>
        </w:rPr>
        <w:t>6</w:t>
      </w:r>
      <w:r w:rsidR="00B758E3" w:rsidRPr="008F5480">
        <w:rPr>
          <w:rFonts w:hAnsi="標楷體" w:hint="eastAsia"/>
          <w:snapToGrid/>
          <w:color w:val="000000"/>
        </w:rPr>
        <w:t>千元，決算數為負</w:t>
      </w:r>
      <w:r w:rsidR="00B758E3" w:rsidRPr="008F5480">
        <w:rPr>
          <w:rFonts w:hAnsi="標楷體"/>
          <w:snapToGrid/>
          <w:color w:val="000000"/>
        </w:rPr>
        <w:t>290</w:t>
      </w:r>
      <w:r w:rsidR="00B758E3" w:rsidRPr="008F5480">
        <w:rPr>
          <w:rFonts w:hAnsi="標楷體" w:hint="eastAsia"/>
          <w:snapToGrid/>
          <w:color w:val="000000"/>
        </w:rPr>
        <w:t>億1,</w:t>
      </w:r>
      <w:r w:rsidR="00B758E3" w:rsidRPr="008F5480">
        <w:rPr>
          <w:rFonts w:hAnsi="標楷體"/>
          <w:snapToGrid/>
          <w:color w:val="000000"/>
        </w:rPr>
        <w:t>096</w:t>
      </w:r>
      <w:r w:rsidR="00B758E3" w:rsidRPr="008F5480">
        <w:rPr>
          <w:rFonts w:hAnsi="標楷體" w:hint="eastAsia"/>
          <w:snapToGrid/>
          <w:color w:val="000000"/>
        </w:rPr>
        <w:t>萬3千元。</w:t>
      </w:r>
    </w:p>
    <w:p w:rsidR="00B758E3" w:rsidRPr="00B758E3" w:rsidRDefault="00B758E3" w:rsidP="005F45D0">
      <w:pPr>
        <w:ind w:left="566" w:firstLine="566"/>
        <w:rPr>
          <w:rFonts w:hAnsi="標楷體" w:hint="eastAsia"/>
          <w:snapToGrid/>
          <w:color w:val="000000"/>
        </w:rPr>
      </w:pPr>
      <w:r w:rsidRPr="00B758E3">
        <w:rPr>
          <w:rFonts w:hAnsi="標楷體" w:hint="eastAsia"/>
          <w:snapToGrid/>
          <w:color w:val="000000"/>
        </w:rPr>
        <w:t>參據臺灣金控107至111年度合併綜合損益決算情形(詳表1)，期間各年度</w:t>
      </w:r>
      <w:r w:rsidR="00743753" w:rsidRPr="00743753">
        <w:rPr>
          <w:rFonts w:hAnsi="標楷體" w:hint="eastAsia"/>
          <w:snapToGrid/>
          <w:color w:val="000000"/>
        </w:rPr>
        <w:t>均為</w:t>
      </w:r>
      <w:r w:rsidRPr="00B758E3">
        <w:rPr>
          <w:rFonts w:hAnsi="標楷體" w:hint="eastAsia"/>
          <w:snapToGrid/>
          <w:color w:val="000000"/>
        </w:rPr>
        <w:t>「本期淨利」，且111年度為近年新高</w:t>
      </w:r>
      <w:r w:rsidRPr="00B758E3">
        <w:rPr>
          <w:rFonts w:hAnsi="標楷體"/>
          <w:snapToGrid/>
          <w:color w:val="000000"/>
        </w:rPr>
        <w:t>15</w:t>
      </w:r>
      <w:r w:rsidRPr="00B758E3">
        <w:rPr>
          <w:rFonts w:hAnsi="標楷體" w:hint="eastAsia"/>
          <w:snapToGrid/>
          <w:color w:val="000000"/>
        </w:rPr>
        <w:t>5億2</w:t>
      </w:r>
      <w:r w:rsidRPr="00B758E3">
        <w:rPr>
          <w:rFonts w:hAnsi="標楷體"/>
          <w:snapToGrid/>
          <w:color w:val="000000"/>
        </w:rPr>
        <w:t>,</w:t>
      </w:r>
      <w:r w:rsidRPr="00B758E3">
        <w:rPr>
          <w:rFonts w:hAnsi="標楷體" w:hint="eastAsia"/>
          <w:snapToGrid/>
          <w:color w:val="000000"/>
        </w:rPr>
        <w:t>217萬7千元。另「本期其他綜合損益(稅後淨額)」除109年度及111年度為淨損外，其餘均為淨利，而1</w:t>
      </w:r>
      <w:r w:rsidRPr="00B758E3">
        <w:rPr>
          <w:rFonts w:hAnsi="標楷體"/>
          <w:snapToGrid/>
          <w:color w:val="000000"/>
        </w:rPr>
        <w:t>11</w:t>
      </w:r>
      <w:r w:rsidRPr="00B758E3">
        <w:rPr>
          <w:rFonts w:hAnsi="標楷體" w:hint="eastAsia"/>
          <w:snapToGrid/>
          <w:color w:val="000000"/>
        </w:rPr>
        <w:t>年度淨損290億1</w:t>
      </w:r>
      <w:r w:rsidRPr="00B758E3">
        <w:rPr>
          <w:rFonts w:hAnsi="標楷體"/>
          <w:snapToGrid/>
          <w:color w:val="000000"/>
        </w:rPr>
        <w:t>,</w:t>
      </w:r>
      <w:r w:rsidRPr="00B758E3">
        <w:rPr>
          <w:rFonts w:hAnsi="標楷體" w:hint="eastAsia"/>
          <w:snapToGrid/>
          <w:color w:val="000000"/>
        </w:rPr>
        <w:t>096萬3千元，係近年最大虧損。兩者相計後，111年度「本期綜合損益總額」為淨損134億8</w:t>
      </w:r>
      <w:r w:rsidRPr="00B758E3">
        <w:rPr>
          <w:rFonts w:hAnsi="標楷體"/>
          <w:snapToGrid/>
          <w:color w:val="000000"/>
        </w:rPr>
        <w:t>,</w:t>
      </w:r>
      <w:r w:rsidRPr="00B758E3">
        <w:rPr>
          <w:rFonts w:hAnsi="標楷體" w:hint="eastAsia"/>
          <w:snapToGrid/>
          <w:color w:val="000000"/>
        </w:rPr>
        <w:t>878萬6千元，係近年首次出現虧損情事。據臺灣金控說明，係111年度資本市場波動劇烈，國內大盤股價指數及美國道瓊工業股價指數分別下跌22.40%及8.78%暨債券市場殖利率上升，子公司金融資產投資產生評價損失，包括</w:t>
      </w:r>
      <w:r w:rsidRPr="00B758E3">
        <w:rPr>
          <w:rFonts w:hAnsi="標楷體" w:cs="全字庫正宋體" w:hint="eastAsia"/>
          <w:snapToGrid/>
          <w:color w:val="000000"/>
        </w:rPr>
        <w:t>：臺灣銀行之透過其他綜合損</w:t>
      </w:r>
      <w:r w:rsidRPr="00B758E3">
        <w:rPr>
          <w:rFonts w:hAnsi="標楷體" w:cs="新細明體" w:hint="eastAsia"/>
          <w:snapToGrid/>
          <w:color w:val="000000"/>
        </w:rPr>
        <w:t>益</w:t>
      </w:r>
      <w:r w:rsidRPr="00B758E3">
        <w:rPr>
          <w:rFonts w:hAnsi="標楷體" w:cs="全字庫正宋體" w:hint="eastAsia"/>
          <w:snapToGrid/>
          <w:color w:val="000000"/>
        </w:rPr>
        <w:t>按公允價值衡</w:t>
      </w:r>
      <w:r w:rsidRPr="00B758E3">
        <w:rPr>
          <w:rFonts w:hAnsi="標楷體" w:cs="新細明體" w:hint="eastAsia"/>
          <w:snapToGrid/>
          <w:color w:val="000000"/>
        </w:rPr>
        <w:t>量</w:t>
      </w:r>
      <w:r w:rsidRPr="00B758E3">
        <w:rPr>
          <w:rFonts w:hAnsi="標楷體" w:cs="全字庫正宋體" w:hint="eastAsia"/>
          <w:snapToGrid/>
          <w:color w:val="000000"/>
        </w:rPr>
        <w:t>權益工具及債務工具未實現評價損失</w:t>
      </w:r>
      <w:r w:rsidRPr="00B758E3">
        <w:rPr>
          <w:rFonts w:hAnsi="標楷體" w:cs="全字庫正宋體"/>
          <w:snapToGrid/>
          <w:color w:val="000000"/>
        </w:rPr>
        <w:t>178.17</w:t>
      </w:r>
      <w:r w:rsidRPr="00B758E3">
        <w:rPr>
          <w:rFonts w:hAnsi="標楷體" w:cs="全字庫正宋體" w:hint="eastAsia"/>
          <w:snapToGrid/>
          <w:color w:val="000000"/>
        </w:rPr>
        <w:t>億元，及臺銀人壽之採用覆蓋法之金融資產評價損失73.02億元；另採權益法認列華南金其他綜合損失57.40億元。</w:t>
      </w:r>
    </w:p>
    <w:p w:rsidR="00B758E3" w:rsidRPr="00B758E3" w:rsidRDefault="00B758E3" w:rsidP="00B758E3">
      <w:pPr>
        <w:ind w:leftChars="0" w:left="0" w:firstLineChars="0" w:firstLine="0"/>
        <w:rPr>
          <w:rFonts w:hAnsi="標楷體"/>
          <w:snapToGrid/>
          <w:color w:val="000000"/>
          <w:sz w:val="24"/>
          <w:szCs w:val="24"/>
        </w:rPr>
      </w:pPr>
      <w:r w:rsidRPr="00B758E3">
        <w:rPr>
          <w:rFonts w:hAnsi="標楷體" w:hint="eastAsia"/>
          <w:b/>
          <w:snapToGrid/>
          <w:color w:val="000000"/>
        </w:rPr>
        <w:t>表1 臺灣金控近年合併簡明綜合損益決算情形表</w:t>
      </w:r>
      <w:r w:rsidRPr="00B758E3">
        <w:rPr>
          <w:rFonts w:hAnsi="標楷體"/>
          <w:b/>
          <w:snapToGrid/>
          <w:color w:val="000000"/>
        </w:rPr>
        <w:t xml:space="preserve">  </w:t>
      </w:r>
      <w:r w:rsidRPr="00B758E3">
        <w:rPr>
          <w:rFonts w:hAnsi="標楷體" w:hint="eastAsia"/>
          <w:b/>
          <w:snapToGrid/>
          <w:color w:val="000000"/>
        </w:rPr>
        <w:t xml:space="preserve">  </w:t>
      </w:r>
      <w:r w:rsidRPr="00B758E3">
        <w:rPr>
          <w:rFonts w:hAnsi="標楷體" w:hint="eastAsia"/>
          <w:snapToGrid/>
          <w:color w:val="000000"/>
          <w:sz w:val="24"/>
          <w:szCs w:val="24"/>
        </w:rPr>
        <w:t>單位：新臺幣千元</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27"/>
        <w:gridCol w:w="1319"/>
        <w:gridCol w:w="1319"/>
        <w:gridCol w:w="1334"/>
        <w:gridCol w:w="1319"/>
        <w:gridCol w:w="1436"/>
      </w:tblGrid>
      <w:tr w:rsidR="00B758E3" w:rsidRPr="00B758E3" w:rsidTr="00C962CA">
        <w:trPr>
          <w:tblHeader/>
        </w:trPr>
        <w:tc>
          <w:tcPr>
            <w:tcW w:w="2127" w:type="dxa"/>
            <w:shd w:val="clear" w:color="auto" w:fill="auto"/>
            <w:vAlign w:val="center"/>
          </w:tcPr>
          <w:p w:rsidR="00B758E3" w:rsidRPr="00B758E3" w:rsidRDefault="00B758E3" w:rsidP="00B758E3">
            <w:pPr>
              <w:spacing w:line="340" w:lineRule="exact"/>
              <w:ind w:leftChars="0" w:left="0" w:firstLineChars="0" w:firstLine="0"/>
              <w:jc w:val="center"/>
              <w:rPr>
                <w:rFonts w:hAnsi="標楷體" w:hint="eastAsia"/>
                <w:snapToGrid/>
                <w:sz w:val="24"/>
              </w:rPr>
            </w:pPr>
            <w:r w:rsidRPr="00B758E3">
              <w:rPr>
                <w:rFonts w:hAnsi="標楷體" w:hint="eastAsia"/>
                <w:snapToGrid/>
                <w:sz w:val="24"/>
              </w:rPr>
              <w:t>項目</w:t>
            </w:r>
          </w:p>
        </w:tc>
        <w:tc>
          <w:tcPr>
            <w:tcW w:w="1325" w:type="dxa"/>
            <w:shd w:val="clear" w:color="auto" w:fill="auto"/>
            <w:vAlign w:val="center"/>
          </w:tcPr>
          <w:p w:rsidR="00B758E3" w:rsidRPr="00B758E3" w:rsidRDefault="00B758E3" w:rsidP="00B758E3">
            <w:pPr>
              <w:spacing w:line="340" w:lineRule="exact"/>
              <w:ind w:leftChars="0" w:left="0" w:firstLineChars="0" w:firstLine="0"/>
              <w:jc w:val="center"/>
              <w:rPr>
                <w:rFonts w:hAnsi="標楷體" w:hint="eastAsia"/>
                <w:snapToGrid/>
                <w:sz w:val="24"/>
              </w:rPr>
            </w:pPr>
            <w:r w:rsidRPr="00B758E3">
              <w:rPr>
                <w:rFonts w:hAnsi="標楷體" w:hint="eastAsia"/>
                <w:snapToGrid/>
                <w:sz w:val="24"/>
              </w:rPr>
              <w:t>107年度</w:t>
            </w:r>
          </w:p>
        </w:tc>
        <w:tc>
          <w:tcPr>
            <w:tcW w:w="1325" w:type="dxa"/>
            <w:shd w:val="clear" w:color="auto" w:fill="auto"/>
            <w:vAlign w:val="center"/>
          </w:tcPr>
          <w:p w:rsidR="00B758E3" w:rsidRPr="00B758E3" w:rsidRDefault="00B758E3" w:rsidP="00B758E3">
            <w:pPr>
              <w:spacing w:line="340" w:lineRule="exact"/>
              <w:ind w:leftChars="0" w:left="0" w:firstLineChars="0" w:firstLine="0"/>
              <w:jc w:val="center"/>
              <w:rPr>
                <w:rFonts w:hAnsi="標楷體" w:hint="eastAsia"/>
                <w:snapToGrid/>
                <w:sz w:val="24"/>
              </w:rPr>
            </w:pPr>
            <w:r w:rsidRPr="00B758E3">
              <w:rPr>
                <w:rFonts w:hAnsi="標楷體" w:hint="eastAsia"/>
                <w:snapToGrid/>
                <w:sz w:val="24"/>
              </w:rPr>
              <w:t>108年度</w:t>
            </w:r>
          </w:p>
        </w:tc>
        <w:tc>
          <w:tcPr>
            <w:tcW w:w="1326" w:type="dxa"/>
            <w:shd w:val="clear" w:color="auto" w:fill="auto"/>
            <w:vAlign w:val="center"/>
          </w:tcPr>
          <w:p w:rsidR="00B758E3" w:rsidRPr="00B758E3" w:rsidRDefault="00B758E3" w:rsidP="00B758E3">
            <w:pPr>
              <w:spacing w:line="340" w:lineRule="exact"/>
              <w:ind w:leftChars="0" w:left="0" w:firstLineChars="0" w:firstLine="0"/>
              <w:jc w:val="center"/>
              <w:rPr>
                <w:rFonts w:hAnsi="標楷體" w:hint="eastAsia"/>
                <w:snapToGrid/>
                <w:sz w:val="24"/>
              </w:rPr>
            </w:pPr>
            <w:r w:rsidRPr="00B758E3">
              <w:rPr>
                <w:rFonts w:hAnsi="標楷體" w:hint="eastAsia"/>
                <w:snapToGrid/>
                <w:sz w:val="24"/>
              </w:rPr>
              <w:t>109年度</w:t>
            </w:r>
          </w:p>
        </w:tc>
        <w:tc>
          <w:tcPr>
            <w:tcW w:w="1325" w:type="dxa"/>
            <w:shd w:val="clear" w:color="auto" w:fill="auto"/>
            <w:vAlign w:val="center"/>
          </w:tcPr>
          <w:p w:rsidR="00B758E3" w:rsidRPr="00B758E3" w:rsidRDefault="00B758E3" w:rsidP="00B758E3">
            <w:pPr>
              <w:spacing w:line="340" w:lineRule="exact"/>
              <w:ind w:leftChars="0" w:left="0" w:firstLineChars="0" w:firstLine="0"/>
              <w:jc w:val="center"/>
              <w:rPr>
                <w:rFonts w:hAnsi="標楷體" w:hint="eastAsia"/>
                <w:snapToGrid/>
                <w:sz w:val="24"/>
              </w:rPr>
            </w:pPr>
            <w:r w:rsidRPr="00B758E3">
              <w:rPr>
                <w:rFonts w:hAnsi="標楷體" w:hint="eastAsia"/>
                <w:snapToGrid/>
                <w:sz w:val="24"/>
              </w:rPr>
              <w:t>110年度</w:t>
            </w:r>
          </w:p>
        </w:tc>
        <w:tc>
          <w:tcPr>
            <w:tcW w:w="1326" w:type="dxa"/>
            <w:shd w:val="clear" w:color="auto" w:fill="auto"/>
            <w:vAlign w:val="center"/>
          </w:tcPr>
          <w:p w:rsidR="00B758E3" w:rsidRPr="00B758E3" w:rsidRDefault="00B758E3" w:rsidP="00B758E3">
            <w:pPr>
              <w:spacing w:line="340" w:lineRule="exact"/>
              <w:ind w:leftChars="0" w:left="0" w:firstLineChars="0" w:firstLine="0"/>
              <w:jc w:val="center"/>
              <w:rPr>
                <w:rFonts w:hAnsi="標楷體" w:hint="eastAsia"/>
                <w:snapToGrid/>
                <w:sz w:val="24"/>
              </w:rPr>
            </w:pPr>
            <w:r w:rsidRPr="00B758E3">
              <w:rPr>
                <w:rFonts w:hAnsi="標楷體" w:hint="eastAsia"/>
                <w:snapToGrid/>
                <w:sz w:val="24"/>
              </w:rPr>
              <w:t>111年度</w:t>
            </w:r>
          </w:p>
        </w:tc>
      </w:tr>
      <w:tr w:rsidR="00B758E3" w:rsidRPr="00B758E3" w:rsidTr="00C962CA">
        <w:tc>
          <w:tcPr>
            <w:tcW w:w="2127" w:type="dxa"/>
            <w:shd w:val="clear" w:color="auto" w:fill="auto"/>
            <w:vAlign w:val="center"/>
          </w:tcPr>
          <w:p w:rsidR="00B758E3" w:rsidRPr="00B758E3" w:rsidRDefault="00B758E3" w:rsidP="00B758E3">
            <w:pPr>
              <w:spacing w:line="340" w:lineRule="exact"/>
              <w:ind w:leftChars="0" w:left="0" w:firstLineChars="0" w:firstLine="0"/>
              <w:jc w:val="left"/>
              <w:rPr>
                <w:rFonts w:hAnsi="標楷體" w:hint="eastAsia"/>
                <w:snapToGrid/>
                <w:sz w:val="24"/>
              </w:rPr>
            </w:pPr>
            <w:r w:rsidRPr="00B758E3">
              <w:rPr>
                <w:rFonts w:hAnsi="標楷體" w:hint="eastAsia"/>
                <w:snapToGrid/>
                <w:sz w:val="24"/>
              </w:rPr>
              <w:t>本期淨利</w:t>
            </w:r>
          </w:p>
        </w:tc>
        <w:tc>
          <w:tcPr>
            <w:tcW w:w="1325"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9</w:t>
            </w:r>
            <w:r w:rsidRPr="00B758E3">
              <w:rPr>
                <w:rFonts w:hAnsi="標楷體"/>
                <w:snapToGrid/>
                <w:sz w:val="20"/>
                <w:szCs w:val="20"/>
              </w:rPr>
              <w:t>,094,360</w:t>
            </w:r>
          </w:p>
        </w:tc>
        <w:tc>
          <w:tcPr>
            <w:tcW w:w="1325"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9</w:t>
            </w:r>
            <w:r w:rsidRPr="00B758E3">
              <w:rPr>
                <w:rFonts w:hAnsi="標楷體"/>
                <w:snapToGrid/>
                <w:sz w:val="20"/>
                <w:szCs w:val="20"/>
              </w:rPr>
              <w:t>,036,936</w:t>
            </w:r>
          </w:p>
        </w:tc>
        <w:tc>
          <w:tcPr>
            <w:tcW w:w="1326"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8</w:t>
            </w:r>
            <w:r w:rsidRPr="00B758E3">
              <w:rPr>
                <w:rFonts w:hAnsi="標楷體"/>
                <w:snapToGrid/>
                <w:sz w:val="20"/>
                <w:szCs w:val="20"/>
              </w:rPr>
              <w:t>,995,104</w:t>
            </w:r>
          </w:p>
        </w:tc>
        <w:tc>
          <w:tcPr>
            <w:tcW w:w="1325"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1</w:t>
            </w:r>
            <w:r w:rsidRPr="00B758E3">
              <w:rPr>
                <w:rFonts w:hAnsi="標楷體"/>
                <w:snapToGrid/>
                <w:sz w:val="20"/>
                <w:szCs w:val="20"/>
              </w:rPr>
              <w:t>5,701,72</w:t>
            </w:r>
            <w:r w:rsidRPr="00B758E3">
              <w:rPr>
                <w:rFonts w:hAnsi="標楷體" w:hint="eastAsia"/>
                <w:snapToGrid/>
                <w:sz w:val="20"/>
                <w:szCs w:val="20"/>
              </w:rPr>
              <w:t>8</w:t>
            </w:r>
          </w:p>
        </w:tc>
        <w:tc>
          <w:tcPr>
            <w:tcW w:w="1326"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15</w:t>
            </w:r>
            <w:r w:rsidRPr="00B758E3">
              <w:rPr>
                <w:rFonts w:hAnsi="標楷體"/>
                <w:snapToGrid/>
                <w:sz w:val="20"/>
                <w:szCs w:val="20"/>
              </w:rPr>
              <w:t>,522,177</w:t>
            </w:r>
          </w:p>
        </w:tc>
      </w:tr>
      <w:tr w:rsidR="00B758E3" w:rsidRPr="00B758E3" w:rsidTr="00C962CA">
        <w:tc>
          <w:tcPr>
            <w:tcW w:w="2127" w:type="dxa"/>
            <w:shd w:val="clear" w:color="auto" w:fill="auto"/>
            <w:vAlign w:val="center"/>
          </w:tcPr>
          <w:p w:rsidR="00B758E3" w:rsidRPr="00B758E3" w:rsidRDefault="00B758E3" w:rsidP="00B758E3">
            <w:pPr>
              <w:spacing w:line="340" w:lineRule="exact"/>
              <w:ind w:leftChars="0" w:left="0" w:rightChars="-50" w:right="-142" w:firstLineChars="0" w:firstLine="0"/>
              <w:jc w:val="left"/>
              <w:rPr>
                <w:rFonts w:hAnsi="標楷體" w:hint="eastAsia"/>
                <w:snapToGrid/>
                <w:sz w:val="24"/>
              </w:rPr>
            </w:pPr>
            <w:r w:rsidRPr="00B758E3">
              <w:rPr>
                <w:rFonts w:hAnsi="標楷體" w:hint="eastAsia"/>
                <w:snapToGrid/>
                <w:sz w:val="24"/>
              </w:rPr>
              <w:t>本期其他綜合損益(稅後淨額)</w:t>
            </w:r>
          </w:p>
        </w:tc>
        <w:tc>
          <w:tcPr>
            <w:tcW w:w="1325"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1</w:t>
            </w:r>
            <w:r w:rsidRPr="00B758E3">
              <w:rPr>
                <w:rFonts w:hAnsi="標楷體"/>
                <w:snapToGrid/>
                <w:sz w:val="20"/>
                <w:szCs w:val="20"/>
              </w:rPr>
              <w:t>,80</w:t>
            </w:r>
            <w:r w:rsidRPr="00B758E3">
              <w:rPr>
                <w:rFonts w:hAnsi="標楷體" w:hint="eastAsia"/>
                <w:snapToGrid/>
                <w:sz w:val="20"/>
                <w:szCs w:val="20"/>
              </w:rPr>
              <w:t>0</w:t>
            </w:r>
            <w:r w:rsidRPr="00B758E3">
              <w:rPr>
                <w:rFonts w:hAnsi="標楷體"/>
                <w:snapToGrid/>
                <w:sz w:val="20"/>
                <w:szCs w:val="20"/>
              </w:rPr>
              <w:t>,</w:t>
            </w:r>
            <w:r w:rsidRPr="00B758E3">
              <w:rPr>
                <w:rFonts w:hAnsi="標楷體" w:hint="eastAsia"/>
                <w:snapToGrid/>
                <w:sz w:val="20"/>
                <w:szCs w:val="20"/>
              </w:rPr>
              <w:t>936</w:t>
            </w:r>
          </w:p>
        </w:tc>
        <w:tc>
          <w:tcPr>
            <w:tcW w:w="1325"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1</w:t>
            </w:r>
            <w:r w:rsidRPr="00B758E3">
              <w:rPr>
                <w:rFonts w:hAnsi="標楷體"/>
                <w:snapToGrid/>
                <w:sz w:val="20"/>
                <w:szCs w:val="20"/>
              </w:rPr>
              <w:t>8,628,76</w:t>
            </w:r>
            <w:r w:rsidRPr="00B758E3">
              <w:rPr>
                <w:rFonts w:hAnsi="標楷體" w:hint="eastAsia"/>
                <w:snapToGrid/>
                <w:sz w:val="20"/>
                <w:szCs w:val="20"/>
              </w:rPr>
              <w:t>8</w:t>
            </w:r>
          </w:p>
        </w:tc>
        <w:tc>
          <w:tcPr>
            <w:tcW w:w="1326"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w:t>
            </w:r>
            <w:r w:rsidRPr="00B758E3">
              <w:rPr>
                <w:rFonts w:hAnsi="標楷體"/>
                <w:snapToGrid/>
                <w:sz w:val="20"/>
                <w:szCs w:val="20"/>
              </w:rPr>
              <w:t>5,856,437)</w:t>
            </w:r>
          </w:p>
        </w:tc>
        <w:tc>
          <w:tcPr>
            <w:tcW w:w="1325"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snapToGrid/>
                <w:sz w:val="20"/>
                <w:szCs w:val="20"/>
              </w:rPr>
              <w:t>5,868,73</w:t>
            </w:r>
            <w:r w:rsidRPr="00B758E3">
              <w:rPr>
                <w:rFonts w:hAnsi="標楷體" w:hint="eastAsia"/>
                <w:snapToGrid/>
                <w:sz w:val="20"/>
                <w:szCs w:val="20"/>
              </w:rPr>
              <w:t>2</w:t>
            </w:r>
          </w:p>
        </w:tc>
        <w:tc>
          <w:tcPr>
            <w:tcW w:w="1326"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w:t>
            </w:r>
            <w:r w:rsidRPr="00B758E3">
              <w:rPr>
                <w:rFonts w:hAnsi="標楷體"/>
                <w:snapToGrid/>
                <w:sz w:val="20"/>
                <w:szCs w:val="20"/>
              </w:rPr>
              <w:t>29,010,963)</w:t>
            </w:r>
          </w:p>
        </w:tc>
      </w:tr>
      <w:tr w:rsidR="00B758E3" w:rsidRPr="00B758E3" w:rsidTr="00C962CA">
        <w:tc>
          <w:tcPr>
            <w:tcW w:w="2127" w:type="dxa"/>
            <w:shd w:val="clear" w:color="auto" w:fill="auto"/>
            <w:vAlign w:val="center"/>
          </w:tcPr>
          <w:p w:rsidR="00B758E3" w:rsidRPr="00B758E3" w:rsidRDefault="00B758E3" w:rsidP="00B758E3">
            <w:pPr>
              <w:spacing w:line="340" w:lineRule="exact"/>
              <w:ind w:leftChars="0" w:left="0" w:rightChars="-50" w:right="-142" w:firstLineChars="0" w:firstLine="0"/>
              <w:jc w:val="left"/>
              <w:rPr>
                <w:rFonts w:hAnsi="標楷體" w:hint="eastAsia"/>
                <w:snapToGrid/>
                <w:sz w:val="24"/>
              </w:rPr>
            </w:pPr>
            <w:r w:rsidRPr="00B758E3">
              <w:rPr>
                <w:rFonts w:hAnsi="標楷體" w:hint="eastAsia"/>
                <w:snapToGrid/>
                <w:sz w:val="24"/>
              </w:rPr>
              <w:t>本期綜合損益總額</w:t>
            </w:r>
          </w:p>
        </w:tc>
        <w:tc>
          <w:tcPr>
            <w:tcW w:w="1325"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1</w:t>
            </w:r>
            <w:r w:rsidRPr="00B758E3">
              <w:rPr>
                <w:rFonts w:hAnsi="標楷體"/>
                <w:snapToGrid/>
                <w:sz w:val="20"/>
                <w:szCs w:val="20"/>
              </w:rPr>
              <w:t>0,89</w:t>
            </w:r>
            <w:r w:rsidRPr="00B758E3">
              <w:rPr>
                <w:rFonts w:hAnsi="標楷體" w:hint="eastAsia"/>
                <w:snapToGrid/>
                <w:sz w:val="20"/>
                <w:szCs w:val="20"/>
              </w:rPr>
              <w:t>5</w:t>
            </w:r>
            <w:r w:rsidRPr="00B758E3">
              <w:rPr>
                <w:rFonts w:hAnsi="標楷體"/>
                <w:snapToGrid/>
                <w:sz w:val="20"/>
                <w:szCs w:val="20"/>
              </w:rPr>
              <w:t>,</w:t>
            </w:r>
            <w:r w:rsidRPr="00B758E3">
              <w:rPr>
                <w:rFonts w:hAnsi="標楷體" w:hint="eastAsia"/>
                <w:snapToGrid/>
                <w:sz w:val="20"/>
                <w:szCs w:val="20"/>
              </w:rPr>
              <w:t>296</w:t>
            </w:r>
          </w:p>
        </w:tc>
        <w:tc>
          <w:tcPr>
            <w:tcW w:w="1325"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2</w:t>
            </w:r>
            <w:r w:rsidRPr="00B758E3">
              <w:rPr>
                <w:rFonts w:hAnsi="標楷體"/>
                <w:snapToGrid/>
                <w:sz w:val="20"/>
                <w:szCs w:val="20"/>
              </w:rPr>
              <w:t>7,665,70</w:t>
            </w:r>
            <w:r w:rsidRPr="00B758E3">
              <w:rPr>
                <w:rFonts w:hAnsi="標楷體" w:hint="eastAsia"/>
                <w:snapToGrid/>
                <w:sz w:val="20"/>
                <w:szCs w:val="20"/>
              </w:rPr>
              <w:t>4</w:t>
            </w:r>
          </w:p>
        </w:tc>
        <w:tc>
          <w:tcPr>
            <w:tcW w:w="1326"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3</w:t>
            </w:r>
            <w:r w:rsidRPr="00B758E3">
              <w:rPr>
                <w:rFonts w:hAnsi="標楷體"/>
                <w:snapToGrid/>
                <w:sz w:val="20"/>
                <w:szCs w:val="20"/>
              </w:rPr>
              <w:t>,138,667</w:t>
            </w:r>
          </w:p>
        </w:tc>
        <w:tc>
          <w:tcPr>
            <w:tcW w:w="1325"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2</w:t>
            </w:r>
            <w:r w:rsidRPr="00B758E3">
              <w:rPr>
                <w:rFonts w:hAnsi="標楷體"/>
                <w:snapToGrid/>
                <w:sz w:val="20"/>
                <w:szCs w:val="20"/>
              </w:rPr>
              <w:t>1,570,4</w:t>
            </w:r>
            <w:r w:rsidRPr="00B758E3">
              <w:rPr>
                <w:rFonts w:hAnsi="標楷體" w:hint="eastAsia"/>
                <w:snapToGrid/>
                <w:sz w:val="20"/>
                <w:szCs w:val="20"/>
              </w:rPr>
              <w:t>60</w:t>
            </w:r>
          </w:p>
        </w:tc>
        <w:tc>
          <w:tcPr>
            <w:tcW w:w="1326"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w:t>
            </w:r>
            <w:r w:rsidRPr="00B758E3">
              <w:rPr>
                <w:rFonts w:hAnsi="標楷體"/>
                <w:snapToGrid/>
                <w:sz w:val="20"/>
                <w:szCs w:val="20"/>
              </w:rPr>
              <w:t>13,488,786)</w:t>
            </w:r>
          </w:p>
        </w:tc>
      </w:tr>
    </w:tbl>
    <w:p w:rsidR="00B758E3" w:rsidRPr="00B758E3" w:rsidRDefault="00B758E3" w:rsidP="00B758E3">
      <w:pPr>
        <w:spacing w:line="320" w:lineRule="exact"/>
        <w:ind w:leftChars="0" w:left="0" w:firstLineChars="0" w:firstLine="0"/>
        <w:rPr>
          <w:rFonts w:hAnsi="標楷體" w:hint="eastAsia"/>
          <w:snapToGrid/>
          <w:color w:val="000000"/>
          <w:sz w:val="24"/>
          <w:szCs w:val="24"/>
        </w:rPr>
      </w:pPr>
      <w:r w:rsidRPr="00B758E3">
        <w:rPr>
          <w:rFonts w:hAnsi="標楷體" w:hint="eastAsia"/>
          <w:snapToGrid/>
          <w:color w:val="000000"/>
          <w:sz w:val="24"/>
          <w:szCs w:val="24"/>
        </w:rPr>
        <w:t>資料來源：臺灣金控各年度決算書。</w:t>
      </w:r>
    </w:p>
    <w:p w:rsidR="00B758E3" w:rsidRDefault="00B758E3" w:rsidP="00B758E3">
      <w:pPr>
        <w:ind w:left="566" w:firstLine="566"/>
        <w:rPr>
          <w:rFonts w:hAnsi="標楷體"/>
          <w:snapToGrid/>
        </w:rPr>
      </w:pPr>
      <w:r w:rsidRPr="00B758E3">
        <w:rPr>
          <w:rFonts w:hAnsi="標楷體" w:hint="eastAsia"/>
          <w:snapToGrid/>
          <w:color w:val="000000"/>
        </w:rPr>
        <w:lastRenderedPageBreak/>
        <w:t>綜上，近年臺灣金控合併「本期淨利」決算數均為獲利，111年度且為新高，惟本期其他綜合損益(稅後淨額)淨損290.1</w:t>
      </w:r>
      <w:r w:rsidRPr="00B758E3">
        <w:rPr>
          <w:rFonts w:hAnsi="標楷體"/>
          <w:snapToGrid/>
          <w:color w:val="000000"/>
        </w:rPr>
        <w:t>1</w:t>
      </w:r>
      <w:r w:rsidRPr="00B758E3">
        <w:rPr>
          <w:rFonts w:hAnsi="標楷體" w:hint="eastAsia"/>
          <w:snapToGrid/>
          <w:color w:val="000000"/>
        </w:rPr>
        <w:t>億元，為近年最大虧損，主要係子公司金融資產投資評價損失所致。</w:t>
      </w:r>
      <w:r w:rsidR="00743753" w:rsidRPr="00743753">
        <w:rPr>
          <w:rFonts w:hAnsi="標楷體" w:hint="eastAsia"/>
          <w:snapToGrid/>
          <w:color w:val="000000"/>
        </w:rPr>
        <w:t>各子公司之投資成效容有加強與改進空間。臺灣金控及其子公司允就</w:t>
      </w:r>
      <w:r w:rsidR="00743753">
        <w:rPr>
          <w:rFonts w:hAnsi="標楷體" w:hint="eastAsia"/>
          <w:snapToGrid/>
          <w:color w:val="000000"/>
        </w:rPr>
        <w:t>國際金融市場變動狀況妥為預測</w:t>
      </w:r>
      <w:r w:rsidR="0063140D">
        <w:rPr>
          <w:rFonts w:hAnsi="標楷體" w:hint="eastAsia"/>
          <w:snapToGrid/>
          <w:color w:val="000000"/>
        </w:rPr>
        <w:t>，</w:t>
      </w:r>
      <w:r w:rsidR="00743753">
        <w:rPr>
          <w:rFonts w:hAnsi="標楷體" w:hint="eastAsia"/>
          <w:snapToGrid/>
          <w:color w:val="000000"/>
        </w:rPr>
        <w:t>並</w:t>
      </w:r>
      <w:r w:rsidR="0063140D">
        <w:rPr>
          <w:rFonts w:hAnsi="標楷體" w:hint="eastAsia"/>
          <w:snapToGrid/>
          <w:color w:val="000000"/>
        </w:rPr>
        <w:t>就</w:t>
      </w:r>
      <w:r w:rsidR="00743753" w:rsidRPr="00743753">
        <w:rPr>
          <w:rFonts w:hAnsi="標楷體" w:hint="eastAsia"/>
          <w:snapToGrid/>
          <w:color w:val="000000"/>
        </w:rPr>
        <w:t>各項金融業務之資金運用、業務拓展、資產管理、風險管控及避險操作等，做妥適之調整與規劃，以降低可能之衝擊與損失，俾積極創造集團經營綜效。</w:t>
      </w:r>
    </w:p>
    <w:bookmarkEnd w:id="1"/>
    <w:p w:rsidR="00F74F6C" w:rsidRPr="000C21D7" w:rsidRDefault="00F74F6C" w:rsidP="005376E5">
      <w:pPr>
        <w:pStyle w:val="14"/>
        <w:ind w:left="567" w:hanging="567"/>
        <w:rPr>
          <w:rFonts w:hAnsi="標楷體"/>
          <w:snapToGrid/>
        </w:rPr>
      </w:pPr>
    </w:p>
    <w:p w:rsidR="00A33729" w:rsidRPr="000C21D7" w:rsidRDefault="00CC3E1F" w:rsidP="00A33729">
      <w:pPr>
        <w:pStyle w:val="14"/>
        <w:ind w:left="567" w:hanging="567"/>
        <w:rPr>
          <w:rFonts w:hAnsi="標楷體"/>
          <w:color w:val="000000"/>
        </w:rPr>
      </w:pPr>
      <w:bookmarkStart w:id="3" w:name="_Toc162964069"/>
      <w:r w:rsidRPr="000C21D7">
        <w:rPr>
          <w:rFonts w:hAnsi="標楷體" w:hint="eastAsia"/>
          <w:snapToGrid/>
        </w:rPr>
        <w:t>二、</w:t>
      </w:r>
      <w:r w:rsidR="00A33729" w:rsidRPr="00A33729">
        <w:rPr>
          <w:rFonts w:hAnsi="標楷體" w:hint="eastAsia"/>
          <w:color w:val="000000"/>
        </w:rPr>
        <w:t>臺灣銀行</w:t>
      </w:r>
      <w:r w:rsidR="00743753">
        <w:rPr>
          <w:rFonts w:hAnsi="標楷體" w:hint="eastAsia"/>
          <w:color w:val="000000"/>
        </w:rPr>
        <w:t>108</w:t>
      </w:r>
      <w:r w:rsidR="0063140D">
        <w:rPr>
          <w:rFonts w:hAnsi="標楷體" w:hint="eastAsia"/>
          <w:color w:val="000000"/>
        </w:rPr>
        <w:t>至</w:t>
      </w:r>
      <w:r w:rsidR="00743753">
        <w:rPr>
          <w:rFonts w:hAnsi="標楷體" w:hint="eastAsia"/>
          <w:color w:val="000000"/>
        </w:rPr>
        <w:t>111</w:t>
      </w:r>
      <w:r w:rsidR="00A33729" w:rsidRPr="000C21D7">
        <w:rPr>
          <w:rFonts w:hAnsi="標楷體" w:hint="eastAsia"/>
          <w:color w:val="000000"/>
        </w:rPr>
        <w:t>年度手續費收入決算</w:t>
      </w:r>
      <w:r w:rsidR="00743753">
        <w:rPr>
          <w:rFonts w:hAnsi="標楷體" w:hint="eastAsia"/>
          <w:color w:val="000000"/>
        </w:rPr>
        <w:t>數</w:t>
      </w:r>
      <w:r w:rsidR="00A33729" w:rsidRPr="000C21D7">
        <w:rPr>
          <w:rFonts w:hAnsi="標楷體" w:hint="eastAsia"/>
          <w:color w:val="000000"/>
        </w:rPr>
        <w:t>顯著下滑，</w:t>
      </w:r>
      <w:r w:rsidR="00743753">
        <w:rPr>
          <w:rFonts w:hAnsi="標楷體" w:hint="eastAsia"/>
          <w:color w:val="000000"/>
        </w:rPr>
        <w:t>其中</w:t>
      </w:r>
      <w:r w:rsidR="00A33729" w:rsidRPr="000C21D7">
        <w:rPr>
          <w:rFonts w:hAnsi="標楷體" w:hint="eastAsia"/>
          <w:color w:val="000000"/>
        </w:rPr>
        <w:t>財富管理手續費收入規模已縮減近半，各該業務辦理績效容有改善空間</w:t>
      </w:r>
      <w:bookmarkEnd w:id="3"/>
    </w:p>
    <w:p w:rsidR="00A33729" w:rsidRPr="00A33729" w:rsidRDefault="00A33729" w:rsidP="00A33729">
      <w:pPr>
        <w:ind w:left="566" w:firstLine="566"/>
        <w:rPr>
          <w:rFonts w:hAnsi="標楷體"/>
          <w:color w:val="000000"/>
        </w:rPr>
      </w:pPr>
      <w:r w:rsidRPr="008F5480">
        <w:rPr>
          <w:rFonts w:hAnsi="標楷體" w:hint="eastAsia"/>
          <w:color w:val="000000"/>
        </w:rPr>
        <w:t>臺灣銀行11</w:t>
      </w:r>
      <w:r w:rsidR="00644FE4" w:rsidRPr="008F5480">
        <w:rPr>
          <w:rFonts w:hAnsi="標楷體"/>
          <w:color w:val="000000"/>
        </w:rPr>
        <w:t>1</w:t>
      </w:r>
      <w:r w:rsidRPr="008F5480">
        <w:rPr>
          <w:rFonts w:hAnsi="標楷體" w:hint="eastAsia"/>
          <w:color w:val="000000"/>
        </w:rPr>
        <w:t>年度預算於「營業收入」之「金融保險收入」科目編列手續費收入</w:t>
      </w:r>
      <w:r w:rsidR="00743753" w:rsidRPr="00743753">
        <w:rPr>
          <w:rFonts w:hAnsi="標楷體" w:hint="eastAsia"/>
          <w:color w:val="000000"/>
        </w:rPr>
        <w:t>49億6,766萬1千元</w:t>
      </w:r>
      <w:r w:rsidRPr="008F5480">
        <w:rPr>
          <w:rFonts w:hAnsi="標楷體"/>
          <w:color w:val="000000"/>
          <w:vertAlign w:val="superscript"/>
        </w:rPr>
        <w:footnoteReference w:id="1"/>
      </w:r>
      <w:r w:rsidRPr="008F5480">
        <w:rPr>
          <w:rFonts w:hAnsi="標楷體" w:hint="eastAsia"/>
          <w:color w:val="000000"/>
        </w:rPr>
        <w:t>，</w:t>
      </w:r>
      <w:r w:rsidR="00461A34" w:rsidRPr="008F5480">
        <w:rPr>
          <w:rFonts w:hAnsi="標楷體" w:hint="eastAsia"/>
          <w:color w:val="000000"/>
        </w:rPr>
        <w:t>決算數為48億7,734萬2千元，預算達成率98.18%</w:t>
      </w:r>
      <w:r w:rsidRPr="008F5480">
        <w:rPr>
          <w:rFonts w:hAnsi="標楷體" w:hint="eastAsia"/>
          <w:color w:val="000000"/>
        </w:rPr>
        <w:t>。</w:t>
      </w:r>
      <w:r w:rsidRPr="00A33729">
        <w:rPr>
          <w:rFonts w:hAnsi="標楷體" w:hint="eastAsia"/>
          <w:color w:val="000000"/>
        </w:rPr>
        <w:t>經查</w:t>
      </w:r>
      <w:r w:rsidRPr="00A33729">
        <w:rPr>
          <w:rFonts w:hAnsi="標楷體" w:cs="全字庫正宋體" w:hint="eastAsia"/>
          <w:color w:val="000000"/>
        </w:rPr>
        <w:t>：</w:t>
      </w:r>
    </w:p>
    <w:p w:rsidR="00A33729" w:rsidRPr="00A33729" w:rsidRDefault="00A33729" w:rsidP="00A33729">
      <w:pPr>
        <w:ind w:left="849" w:hangingChars="100" w:hanging="283"/>
        <w:rPr>
          <w:rFonts w:hAnsi="標楷體"/>
          <w:b/>
          <w:color w:val="000000"/>
        </w:rPr>
      </w:pPr>
      <w:r w:rsidRPr="00A33729">
        <w:rPr>
          <w:rFonts w:hAnsi="標楷體" w:hint="eastAsia"/>
          <w:b/>
          <w:color w:val="000000"/>
        </w:rPr>
        <w:t>(一)</w:t>
      </w:r>
      <w:r w:rsidR="00644FE4" w:rsidRPr="000C21D7">
        <w:rPr>
          <w:rFonts w:hAnsi="標楷體" w:hint="eastAsia"/>
          <w:b/>
          <w:color w:val="000000"/>
        </w:rPr>
        <w:t>1</w:t>
      </w:r>
      <w:r w:rsidR="00644FE4" w:rsidRPr="000C21D7">
        <w:rPr>
          <w:rFonts w:hAnsi="標楷體"/>
          <w:b/>
          <w:color w:val="000000"/>
        </w:rPr>
        <w:t>08</w:t>
      </w:r>
      <w:r w:rsidR="00644FE4" w:rsidRPr="000C21D7">
        <w:rPr>
          <w:rFonts w:hAnsi="標楷體" w:hint="eastAsia"/>
          <w:b/>
          <w:color w:val="000000"/>
        </w:rPr>
        <w:t>至111</w:t>
      </w:r>
      <w:r w:rsidRPr="00A33729">
        <w:rPr>
          <w:rFonts w:hAnsi="標楷體" w:hint="eastAsia"/>
          <w:b/>
          <w:color w:val="000000"/>
        </w:rPr>
        <w:t>年度手續費收入決算</w:t>
      </w:r>
      <w:r w:rsidR="00644FE4" w:rsidRPr="000C21D7">
        <w:rPr>
          <w:rFonts w:hAnsi="標楷體" w:hint="eastAsia"/>
          <w:b/>
          <w:color w:val="000000"/>
        </w:rPr>
        <w:t>數逐年</w:t>
      </w:r>
      <w:r w:rsidRPr="00A33729">
        <w:rPr>
          <w:rFonts w:hAnsi="標楷體" w:hint="eastAsia"/>
          <w:b/>
          <w:color w:val="000000"/>
        </w:rPr>
        <w:t>下滑，整體業務規模呈縮減</w:t>
      </w:r>
      <w:r w:rsidR="00743753">
        <w:rPr>
          <w:rFonts w:hAnsi="標楷體" w:hint="eastAsia"/>
          <w:b/>
          <w:color w:val="000000"/>
        </w:rPr>
        <w:t>趨</w:t>
      </w:r>
      <w:r w:rsidRPr="00A33729">
        <w:rPr>
          <w:rFonts w:hAnsi="標楷體" w:hint="eastAsia"/>
          <w:b/>
          <w:color w:val="000000"/>
        </w:rPr>
        <w:t>勢</w:t>
      </w:r>
    </w:p>
    <w:p w:rsidR="00A33729" w:rsidRPr="00A33729" w:rsidRDefault="00A33729" w:rsidP="00A33729">
      <w:pPr>
        <w:ind w:leftChars="300" w:left="850" w:firstLine="566"/>
        <w:rPr>
          <w:rFonts w:hAnsi="標楷體"/>
          <w:color w:val="000000"/>
        </w:rPr>
      </w:pPr>
      <w:r w:rsidRPr="00A33729">
        <w:rPr>
          <w:rFonts w:hAnsi="標楷體" w:hint="eastAsia"/>
          <w:color w:val="000000"/>
        </w:rPr>
        <w:t>參據該行近年度手續費收入預、決算情形(詳表1)，決算數由108年度58億6</w:t>
      </w:r>
      <w:r w:rsidRPr="00A33729">
        <w:rPr>
          <w:rFonts w:hAnsi="標楷體"/>
          <w:color w:val="000000"/>
        </w:rPr>
        <w:t>,</w:t>
      </w:r>
      <w:r w:rsidRPr="00A33729">
        <w:rPr>
          <w:rFonts w:hAnsi="標楷體" w:hint="eastAsia"/>
          <w:color w:val="000000"/>
        </w:rPr>
        <w:t>659萬8千元逐年減至111年度48億7</w:t>
      </w:r>
      <w:r w:rsidRPr="00A33729">
        <w:rPr>
          <w:rFonts w:hAnsi="標楷體"/>
          <w:color w:val="000000"/>
        </w:rPr>
        <w:t>,</w:t>
      </w:r>
      <w:r w:rsidRPr="00A33729">
        <w:rPr>
          <w:rFonts w:hAnsi="標楷體" w:hint="eastAsia"/>
          <w:color w:val="000000"/>
        </w:rPr>
        <w:t>734萬2千元，減幅16.86%。且手續費淨收益由108年度51億7</w:t>
      </w:r>
      <w:r w:rsidRPr="00A33729">
        <w:rPr>
          <w:rFonts w:hAnsi="標楷體"/>
          <w:color w:val="000000"/>
        </w:rPr>
        <w:t>,</w:t>
      </w:r>
      <w:r w:rsidRPr="00A33729">
        <w:rPr>
          <w:rFonts w:hAnsi="標楷體" w:hint="eastAsia"/>
          <w:color w:val="000000"/>
        </w:rPr>
        <w:t>408萬7千元逐年降至111年度40億7</w:t>
      </w:r>
      <w:r w:rsidRPr="00A33729">
        <w:rPr>
          <w:rFonts w:hAnsi="標楷體"/>
          <w:color w:val="000000"/>
        </w:rPr>
        <w:t>,</w:t>
      </w:r>
      <w:r w:rsidRPr="00A33729">
        <w:rPr>
          <w:rFonts w:hAnsi="標楷體" w:hint="eastAsia"/>
          <w:color w:val="000000"/>
        </w:rPr>
        <w:t>036萬8千元，減幅達21.33%，111年度占總淨收益比率</w:t>
      </w:r>
      <w:r w:rsidR="00743753">
        <w:rPr>
          <w:rFonts w:hAnsi="標楷體" w:hint="eastAsia"/>
          <w:color w:val="000000"/>
        </w:rPr>
        <w:t>下滑</w:t>
      </w:r>
      <w:r w:rsidRPr="00A33729">
        <w:rPr>
          <w:rFonts w:hAnsi="標楷體" w:hint="eastAsia"/>
          <w:color w:val="000000"/>
        </w:rPr>
        <w:t>至10%以下，業務收益規模顯著萎縮。據該行說明主要係銷售保險手續費收入</w:t>
      </w:r>
      <w:r w:rsidR="00743753">
        <w:rPr>
          <w:rFonts w:hAnsi="標楷體" w:hint="eastAsia"/>
          <w:color w:val="000000"/>
        </w:rPr>
        <w:t>中最大宗之</w:t>
      </w:r>
      <w:r w:rsidRPr="00A33729">
        <w:rPr>
          <w:rFonts w:hAnsi="標楷體" w:hint="eastAsia"/>
          <w:color w:val="000000"/>
        </w:rPr>
        <w:t>合作推廣業務手續費減少所致，該項收入自109年起因主管機關陸續採行多項監理措施</w:t>
      </w:r>
      <w:r w:rsidRPr="000C21D7">
        <w:rPr>
          <w:rFonts w:hAnsi="標楷體"/>
          <w:color w:val="000000"/>
          <w:vertAlign w:val="superscript"/>
        </w:rPr>
        <w:footnoteReference w:id="2"/>
      </w:r>
      <w:r w:rsidRPr="00A33729">
        <w:rPr>
          <w:rFonts w:hAnsi="標楷體" w:hint="eastAsia"/>
          <w:color w:val="000000"/>
        </w:rPr>
        <w:t>影響銷售、110年受新冠肺炎</w:t>
      </w:r>
      <w:r w:rsidR="00743753">
        <w:rPr>
          <w:rFonts w:hAnsi="標楷體" w:hint="eastAsia"/>
          <w:color w:val="000000"/>
        </w:rPr>
        <w:t>(C</w:t>
      </w:r>
      <w:r w:rsidR="00743753">
        <w:rPr>
          <w:rFonts w:hAnsi="標楷體"/>
          <w:color w:val="000000"/>
        </w:rPr>
        <w:t>ovid-19</w:t>
      </w:r>
      <w:r w:rsidR="00743753">
        <w:rPr>
          <w:rFonts w:hAnsi="標楷體" w:hint="eastAsia"/>
          <w:color w:val="000000"/>
        </w:rPr>
        <w:t>)</w:t>
      </w:r>
      <w:r w:rsidRPr="00A33729">
        <w:rPr>
          <w:rFonts w:hAnsi="標楷體" w:hint="eastAsia"/>
          <w:color w:val="000000"/>
        </w:rPr>
        <w:t>疫情影響業務推展、111年</w:t>
      </w:r>
      <w:r w:rsidR="00743753">
        <w:rPr>
          <w:rFonts w:hAnsi="標楷體" w:hint="eastAsia"/>
          <w:color w:val="000000"/>
        </w:rPr>
        <w:t>則因</w:t>
      </w:r>
      <w:r w:rsidRPr="00A33729">
        <w:rPr>
          <w:rFonts w:hAnsi="標楷體" w:hint="eastAsia"/>
          <w:color w:val="000000"/>
        </w:rPr>
        <w:t>美國及國內啟動升息循環與全球股市大跌影響保單推展。</w:t>
      </w:r>
    </w:p>
    <w:p w:rsidR="00A33729" w:rsidRPr="000C21D7" w:rsidRDefault="00A33729" w:rsidP="00A33729">
      <w:pPr>
        <w:ind w:leftChars="0" w:left="0" w:firstLineChars="0" w:firstLine="0"/>
        <w:rPr>
          <w:rFonts w:hAnsi="標楷體"/>
          <w:b/>
          <w:color w:val="000000"/>
        </w:rPr>
      </w:pPr>
      <w:r w:rsidRPr="00A33729">
        <w:rPr>
          <w:rFonts w:hAnsi="標楷體" w:hint="eastAsia"/>
          <w:b/>
          <w:color w:val="000000"/>
        </w:rPr>
        <w:t>表1 臺灣銀行</w:t>
      </w:r>
      <w:r w:rsidRPr="000C21D7">
        <w:rPr>
          <w:rFonts w:hAnsi="標楷體" w:hint="eastAsia"/>
          <w:b/>
          <w:color w:val="000000"/>
        </w:rPr>
        <w:t>108至111</w:t>
      </w:r>
      <w:r w:rsidRPr="00A33729">
        <w:rPr>
          <w:rFonts w:hAnsi="標楷體" w:hint="eastAsia"/>
          <w:b/>
          <w:color w:val="000000"/>
        </w:rPr>
        <w:t>年度手續費收入預、決算情形表</w:t>
      </w:r>
    </w:p>
    <w:p w:rsidR="00A33729" w:rsidRPr="00A33729" w:rsidRDefault="00A33729" w:rsidP="00A33729">
      <w:pPr>
        <w:spacing w:line="360" w:lineRule="exact"/>
        <w:ind w:leftChars="0" w:left="0" w:firstLineChars="0" w:firstLine="0"/>
        <w:rPr>
          <w:rFonts w:hAnsi="標楷體"/>
          <w:color w:val="000000"/>
        </w:rPr>
      </w:pPr>
      <w:r w:rsidRPr="000C21D7">
        <w:rPr>
          <w:rFonts w:hAnsi="標楷體" w:hint="eastAsia"/>
          <w:b/>
          <w:color w:val="000000"/>
        </w:rPr>
        <w:t xml:space="preserve">                                               </w:t>
      </w:r>
      <w:r w:rsidRPr="00A33729">
        <w:rPr>
          <w:rFonts w:hAnsi="標楷體" w:hint="eastAsia"/>
          <w:color w:val="000000"/>
          <w:sz w:val="24"/>
          <w:szCs w:val="24"/>
        </w:rPr>
        <w:t>單位</w:t>
      </w:r>
      <w:r w:rsidRPr="00A33729">
        <w:rPr>
          <w:rFonts w:hAnsi="標楷體" w:cs="全字庫正宋體" w:hint="eastAsia"/>
          <w:color w:val="000000"/>
          <w:sz w:val="24"/>
          <w:szCs w:val="24"/>
        </w:rPr>
        <w:t>：</w:t>
      </w:r>
      <w:r w:rsidRPr="00A33729">
        <w:rPr>
          <w:rFonts w:hAnsi="標楷體" w:hint="eastAsia"/>
          <w:color w:val="000000"/>
          <w:sz w:val="24"/>
          <w:szCs w:val="24"/>
        </w:rPr>
        <w:t>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51"/>
        <w:gridCol w:w="1665"/>
        <w:gridCol w:w="1666"/>
        <w:gridCol w:w="1665"/>
        <w:gridCol w:w="1666"/>
      </w:tblGrid>
      <w:tr w:rsidR="00A33729" w:rsidRPr="000C21D7" w:rsidTr="00A33729">
        <w:trPr>
          <w:tblHeader/>
        </w:trPr>
        <w:tc>
          <w:tcPr>
            <w:tcW w:w="1951" w:type="dxa"/>
            <w:shd w:val="clear" w:color="auto" w:fill="auto"/>
          </w:tcPr>
          <w:p w:rsidR="00A33729" w:rsidRPr="00A33729" w:rsidRDefault="00A33729" w:rsidP="00A33729">
            <w:pPr>
              <w:spacing w:line="360" w:lineRule="exact"/>
              <w:ind w:leftChars="0" w:left="0" w:firstLineChars="0" w:firstLine="0"/>
              <w:jc w:val="center"/>
              <w:rPr>
                <w:rFonts w:hAnsi="標楷體" w:hint="eastAsia"/>
                <w:sz w:val="24"/>
                <w:szCs w:val="24"/>
              </w:rPr>
            </w:pPr>
            <w:r w:rsidRPr="00A33729">
              <w:rPr>
                <w:rFonts w:hAnsi="標楷體" w:hint="eastAsia"/>
                <w:sz w:val="24"/>
                <w:szCs w:val="24"/>
              </w:rPr>
              <w:t>項目</w:t>
            </w:r>
          </w:p>
        </w:tc>
        <w:tc>
          <w:tcPr>
            <w:tcW w:w="1665" w:type="dxa"/>
            <w:shd w:val="clear" w:color="auto" w:fill="auto"/>
          </w:tcPr>
          <w:p w:rsidR="00A33729" w:rsidRPr="00A33729" w:rsidRDefault="00A33729" w:rsidP="00A33729">
            <w:pPr>
              <w:spacing w:line="360" w:lineRule="exact"/>
              <w:ind w:leftChars="0" w:left="0" w:firstLineChars="0" w:firstLine="0"/>
              <w:jc w:val="center"/>
              <w:rPr>
                <w:rFonts w:hAnsi="標楷體" w:hint="eastAsia"/>
                <w:sz w:val="24"/>
                <w:szCs w:val="24"/>
              </w:rPr>
            </w:pPr>
            <w:r w:rsidRPr="00A33729">
              <w:rPr>
                <w:rFonts w:hAnsi="標楷體" w:hint="eastAsia"/>
                <w:sz w:val="24"/>
                <w:szCs w:val="24"/>
              </w:rPr>
              <w:t>1</w:t>
            </w:r>
            <w:r w:rsidRPr="00A33729">
              <w:rPr>
                <w:rFonts w:hAnsi="標楷體"/>
                <w:sz w:val="24"/>
                <w:szCs w:val="24"/>
              </w:rPr>
              <w:t>08</w:t>
            </w:r>
            <w:r w:rsidRPr="00A33729">
              <w:rPr>
                <w:rFonts w:hAnsi="標楷體" w:hint="eastAsia"/>
                <w:sz w:val="24"/>
                <w:szCs w:val="24"/>
              </w:rPr>
              <w:t>年度</w:t>
            </w:r>
          </w:p>
        </w:tc>
        <w:tc>
          <w:tcPr>
            <w:tcW w:w="1666" w:type="dxa"/>
            <w:shd w:val="clear" w:color="auto" w:fill="auto"/>
          </w:tcPr>
          <w:p w:rsidR="00A33729" w:rsidRPr="00A33729" w:rsidRDefault="00A33729" w:rsidP="00A33729">
            <w:pPr>
              <w:spacing w:line="360" w:lineRule="exact"/>
              <w:ind w:leftChars="0" w:left="0" w:firstLineChars="0" w:firstLine="0"/>
              <w:jc w:val="center"/>
              <w:rPr>
                <w:rFonts w:hAnsi="標楷體" w:hint="eastAsia"/>
                <w:sz w:val="24"/>
                <w:szCs w:val="24"/>
              </w:rPr>
            </w:pPr>
            <w:r w:rsidRPr="00A33729">
              <w:rPr>
                <w:rFonts w:hAnsi="標楷體" w:hint="eastAsia"/>
                <w:sz w:val="24"/>
                <w:szCs w:val="24"/>
              </w:rPr>
              <w:t>10</w:t>
            </w:r>
            <w:r w:rsidRPr="00A33729">
              <w:rPr>
                <w:rFonts w:hAnsi="標楷體"/>
                <w:sz w:val="24"/>
                <w:szCs w:val="24"/>
              </w:rPr>
              <w:t>9</w:t>
            </w:r>
            <w:r w:rsidRPr="00A33729">
              <w:rPr>
                <w:rFonts w:hAnsi="標楷體" w:hint="eastAsia"/>
                <w:sz w:val="24"/>
                <w:szCs w:val="24"/>
              </w:rPr>
              <w:t>年度</w:t>
            </w:r>
          </w:p>
        </w:tc>
        <w:tc>
          <w:tcPr>
            <w:tcW w:w="1665" w:type="dxa"/>
            <w:shd w:val="clear" w:color="auto" w:fill="auto"/>
          </w:tcPr>
          <w:p w:rsidR="00A33729" w:rsidRPr="00A33729" w:rsidRDefault="00A33729" w:rsidP="00A33729">
            <w:pPr>
              <w:spacing w:line="360" w:lineRule="exact"/>
              <w:ind w:leftChars="0" w:left="0" w:firstLineChars="0" w:firstLine="0"/>
              <w:jc w:val="center"/>
              <w:rPr>
                <w:rFonts w:hAnsi="標楷體" w:hint="eastAsia"/>
                <w:sz w:val="24"/>
                <w:szCs w:val="24"/>
              </w:rPr>
            </w:pPr>
            <w:r w:rsidRPr="00A33729">
              <w:rPr>
                <w:rFonts w:hAnsi="標楷體" w:hint="eastAsia"/>
                <w:sz w:val="24"/>
                <w:szCs w:val="24"/>
              </w:rPr>
              <w:t>110年度</w:t>
            </w:r>
          </w:p>
        </w:tc>
        <w:tc>
          <w:tcPr>
            <w:tcW w:w="1666" w:type="dxa"/>
            <w:shd w:val="clear" w:color="auto" w:fill="auto"/>
          </w:tcPr>
          <w:p w:rsidR="00A33729" w:rsidRPr="00A33729" w:rsidRDefault="00A33729" w:rsidP="00A33729">
            <w:pPr>
              <w:spacing w:line="360" w:lineRule="exact"/>
              <w:ind w:leftChars="0" w:left="0" w:firstLineChars="0" w:firstLine="0"/>
              <w:jc w:val="center"/>
              <w:rPr>
                <w:rFonts w:hAnsi="標楷體" w:hint="eastAsia"/>
                <w:sz w:val="24"/>
                <w:szCs w:val="24"/>
              </w:rPr>
            </w:pPr>
            <w:r w:rsidRPr="00A33729">
              <w:rPr>
                <w:rFonts w:hAnsi="標楷體" w:hint="eastAsia"/>
                <w:sz w:val="24"/>
                <w:szCs w:val="24"/>
              </w:rPr>
              <w:t>111年度</w:t>
            </w:r>
          </w:p>
        </w:tc>
      </w:tr>
      <w:tr w:rsidR="00A33729" w:rsidRPr="000C21D7" w:rsidTr="00A33729">
        <w:tc>
          <w:tcPr>
            <w:tcW w:w="1951" w:type="dxa"/>
            <w:shd w:val="clear" w:color="auto" w:fill="auto"/>
          </w:tcPr>
          <w:p w:rsidR="00A33729" w:rsidRPr="00A33729" w:rsidRDefault="00A33729" w:rsidP="00A33729">
            <w:pPr>
              <w:spacing w:line="360" w:lineRule="exact"/>
              <w:ind w:leftChars="0" w:left="0" w:firstLineChars="0" w:firstLine="0"/>
              <w:jc w:val="left"/>
              <w:rPr>
                <w:rFonts w:hAnsi="標楷體" w:hint="eastAsia"/>
                <w:sz w:val="24"/>
                <w:szCs w:val="24"/>
              </w:rPr>
            </w:pPr>
            <w:r w:rsidRPr="00A33729">
              <w:rPr>
                <w:rFonts w:hAnsi="標楷體" w:hint="eastAsia"/>
                <w:sz w:val="24"/>
                <w:szCs w:val="24"/>
              </w:rPr>
              <w:t>預算數</w:t>
            </w:r>
          </w:p>
        </w:tc>
        <w:tc>
          <w:tcPr>
            <w:tcW w:w="1665" w:type="dxa"/>
            <w:shd w:val="clear" w:color="auto" w:fill="auto"/>
          </w:tcPr>
          <w:p w:rsidR="00A33729" w:rsidRPr="00A33729" w:rsidRDefault="00A33729" w:rsidP="00A33729">
            <w:pPr>
              <w:spacing w:line="360" w:lineRule="exact"/>
              <w:ind w:leftChars="0" w:left="0" w:firstLineChars="0" w:firstLine="0"/>
              <w:jc w:val="right"/>
              <w:rPr>
                <w:rFonts w:hAnsi="標楷體" w:hint="eastAsia"/>
                <w:sz w:val="24"/>
                <w:szCs w:val="24"/>
              </w:rPr>
            </w:pPr>
            <w:r w:rsidRPr="00A33729">
              <w:rPr>
                <w:rFonts w:hAnsi="標楷體" w:hint="eastAsia"/>
                <w:sz w:val="24"/>
                <w:szCs w:val="24"/>
              </w:rPr>
              <w:t>5</w:t>
            </w:r>
            <w:r w:rsidRPr="00A33729">
              <w:rPr>
                <w:rFonts w:hAnsi="標楷體"/>
                <w:sz w:val="24"/>
                <w:szCs w:val="24"/>
              </w:rPr>
              <w:t>,528,795</w:t>
            </w:r>
          </w:p>
        </w:tc>
        <w:tc>
          <w:tcPr>
            <w:tcW w:w="1666" w:type="dxa"/>
            <w:shd w:val="clear" w:color="auto" w:fill="auto"/>
          </w:tcPr>
          <w:p w:rsidR="00A33729" w:rsidRPr="00A33729" w:rsidRDefault="00A33729" w:rsidP="00A33729">
            <w:pPr>
              <w:spacing w:line="360" w:lineRule="exact"/>
              <w:ind w:leftChars="0" w:left="0" w:firstLineChars="0" w:firstLine="0"/>
              <w:jc w:val="right"/>
              <w:rPr>
                <w:rFonts w:hAnsi="標楷體" w:hint="eastAsia"/>
                <w:sz w:val="24"/>
                <w:szCs w:val="24"/>
              </w:rPr>
            </w:pPr>
            <w:r w:rsidRPr="00A33729">
              <w:rPr>
                <w:rFonts w:hAnsi="標楷體" w:hint="eastAsia"/>
                <w:sz w:val="24"/>
                <w:szCs w:val="24"/>
              </w:rPr>
              <w:t>5</w:t>
            </w:r>
            <w:r w:rsidRPr="00A33729">
              <w:rPr>
                <w:rFonts w:hAnsi="標楷體"/>
                <w:sz w:val="24"/>
                <w:szCs w:val="24"/>
              </w:rPr>
              <w:t>,400,206</w:t>
            </w:r>
          </w:p>
        </w:tc>
        <w:tc>
          <w:tcPr>
            <w:tcW w:w="1665" w:type="dxa"/>
            <w:shd w:val="clear" w:color="auto" w:fill="auto"/>
          </w:tcPr>
          <w:p w:rsidR="00A33729" w:rsidRPr="00A33729" w:rsidRDefault="00A33729" w:rsidP="00A33729">
            <w:pPr>
              <w:spacing w:line="360" w:lineRule="exact"/>
              <w:ind w:leftChars="0" w:left="0" w:firstLineChars="0" w:firstLine="0"/>
              <w:jc w:val="right"/>
              <w:rPr>
                <w:rFonts w:hAnsi="標楷體" w:hint="eastAsia"/>
                <w:sz w:val="24"/>
                <w:szCs w:val="24"/>
              </w:rPr>
            </w:pPr>
            <w:r w:rsidRPr="00A33729">
              <w:rPr>
                <w:rFonts w:hAnsi="標楷體" w:hint="eastAsia"/>
                <w:sz w:val="24"/>
                <w:szCs w:val="24"/>
              </w:rPr>
              <w:t>5</w:t>
            </w:r>
            <w:r w:rsidRPr="00A33729">
              <w:rPr>
                <w:rFonts w:hAnsi="標楷體"/>
                <w:sz w:val="24"/>
                <w:szCs w:val="24"/>
              </w:rPr>
              <w:t>,251,799</w:t>
            </w:r>
          </w:p>
        </w:tc>
        <w:tc>
          <w:tcPr>
            <w:tcW w:w="1666" w:type="dxa"/>
            <w:shd w:val="clear" w:color="auto" w:fill="auto"/>
          </w:tcPr>
          <w:p w:rsidR="00A33729" w:rsidRPr="00A33729" w:rsidRDefault="00A33729" w:rsidP="00A33729">
            <w:pPr>
              <w:spacing w:line="360" w:lineRule="exact"/>
              <w:ind w:leftChars="0" w:left="0" w:firstLineChars="0" w:firstLine="0"/>
              <w:jc w:val="right"/>
              <w:rPr>
                <w:rFonts w:hAnsi="標楷體" w:hint="eastAsia"/>
                <w:sz w:val="24"/>
                <w:szCs w:val="24"/>
              </w:rPr>
            </w:pPr>
            <w:r w:rsidRPr="00A33729">
              <w:rPr>
                <w:rFonts w:hAnsi="標楷體" w:hint="eastAsia"/>
                <w:sz w:val="24"/>
                <w:szCs w:val="24"/>
              </w:rPr>
              <w:t>4</w:t>
            </w:r>
            <w:r w:rsidRPr="00A33729">
              <w:rPr>
                <w:rFonts w:hAnsi="標楷體"/>
                <w:sz w:val="24"/>
                <w:szCs w:val="24"/>
              </w:rPr>
              <w:t>,967,661</w:t>
            </w:r>
          </w:p>
        </w:tc>
      </w:tr>
      <w:tr w:rsidR="00A33729" w:rsidRPr="000C21D7" w:rsidTr="00A33729">
        <w:tc>
          <w:tcPr>
            <w:tcW w:w="1951" w:type="dxa"/>
            <w:shd w:val="clear" w:color="auto" w:fill="auto"/>
          </w:tcPr>
          <w:p w:rsidR="00A33729" w:rsidRPr="00A33729" w:rsidRDefault="00A33729" w:rsidP="00A33729">
            <w:pPr>
              <w:spacing w:line="360" w:lineRule="exact"/>
              <w:ind w:leftChars="0" w:left="0" w:firstLineChars="0" w:firstLine="0"/>
              <w:jc w:val="left"/>
              <w:rPr>
                <w:rFonts w:hAnsi="標楷體" w:hint="eastAsia"/>
                <w:sz w:val="24"/>
                <w:szCs w:val="24"/>
              </w:rPr>
            </w:pPr>
            <w:r w:rsidRPr="00A33729">
              <w:rPr>
                <w:rFonts w:hAnsi="標楷體" w:hint="eastAsia"/>
                <w:sz w:val="24"/>
                <w:szCs w:val="24"/>
              </w:rPr>
              <w:t>決算數</w:t>
            </w:r>
          </w:p>
        </w:tc>
        <w:tc>
          <w:tcPr>
            <w:tcW w:w="1665" w:type="dxa"/>
            <w:shd w:val="clear" w:color="auto" w:fill="auto"/>
          </w:tcPr>
          <w:p w:rsidR="00A33729" w:rsidRPr="00A33729" w:rsidRDefault="00A33729" w:rsidP="00A33729">
            <w:pPr>
              <w:spacing w:line="360" w:lineRule="exact"/>
              <w:ind w:leftChars="0" w:left="0" w:firstLineChars="0" w:firstLine="0"/>
              <w:jc w:val="right"/>
              <w:rPr>
                <w:rFonts w:hAnsi="標楷體" w:hint="eastAsia"/>
                <w:sz w:val="24"/>
                <w:szCs w:val="24"/>
              </w:rPr>
            </w:pPr>
            <w:r w:rsidRPr="00A33729">
              <w:rPr>
                <w:rFonts w:hAnsi="標楷體" w:hint="eastAsia"/>
                <w:sz w:val="24"/>
                <w:szCs w:val="24"/>
              </w:rPr>
              <w:t>5</w:t>
            </w:r>
            <w:r w:rsidRPr="00A33729">
              <w:rPr>
                <w:rFonts w:hAnsi="標楷體"/>
                <w:sz w:val="24"/>
                <w:szCs w:val="24"/>
              </w:rPr>
              <w:t>,866,598</w:t>
            </w:r>
          </w:p>
        </w:tc>
        <w:tc>
          <w:tcPr>
            <w:tcW w:w="1666" w:type="dxa"/>
            <w:shd w:val="clear" w:color="auto" w:fill="auto"/>
          </w:tcPr>
          <w:p w:rsidR="00A33729" w:rsidRPr="00A33729" w:rsidRDefault="00A33729" w:rsidP="00A33729">
            <w:pPr>
              <w:spacing w:line="360" w:lineRule="exact"/>
              <w:ind w:leftChars="0" w:left="0" w:firstLineChars="0" w:firstLine="0"/>
              <w:jc w:val="right"/>
              <w:rPr>
                <w:rFonts w:hAnsi="標楷體" w:hint="eastAsia"/>
                <w:sz w:val="24"/>
                <w:szCs w:val="24"/>
              </w:rPr>
            </w:pPr>
            <w:r w:rsidRPr="00A33729">
              <w:rPr>
                <w:rFonts w:hAnsi="標楷體" w:hint="eastAsia"/>
                <w:sz w:val="24"/>
                <w:szCs w:val="24"/>
              </w:rPr>
              <w:t>5</w:t>
            </w:r>
            <w:r w:rsidRPr="00A33729">
              <w:rPr>
                <w:rFonts w:hAnsi="標楷體"/>
                <w:sz w:val="24"/>
                <w:szCs w:val="24"/>
              </w:rPr>
              <w:t>,567,488</w:t>
            </w:r>
          </w:p>
        </w:tc>
        <w:tc>
          <w:tcPr>
            <w:tcW w:w="1665" w:type="dxa"/>
            <w:shd w:val="clear" w:color="auto" w:fill="auto"/>
          </w:tcPr>
          <w:p w:rsidR="00A33729" w:rsidRPr="00A33729" w:rsidRDefault="00A33729" w:rsidP="00A33729">
            <w:pPr>
              <w:spacing w:line="360" w:lineRule="exact"/>
              <w:ind w:leftChars="0" w:left="0" w:firstLineChars="0" w:firstLine="0"/>
              <w:jc w:val="right"/>
              <w:rPr>
                <w:rFonts w:hAnsi="標楷體" w:hint="eastAsia"/>
                <w:sz w:val="24"/>
                <w:szCs w:val="24"/>
              </w:rPr>
            </w:pPr>
            <w:r w:rsidRPr="00A33729">
              <w:rPr>
                <w:rFonts w:hAnsi="標楷體" w:hint="eastAsia"/>
                <w:sz w:val="24"/>
                <w:szCs w:val="24"/>
              </w:rPr>
              <w:t>5</w:t>
            </w:r>
            <w:r w:rsidRPr="00A33729">
              <w:rPr>
                <w:rFonts w:hAnsi="標楷體"/>
                <w:sz w:val="24"/>
                <w:szCs w:val="24"/>
              </w:rPr>
              <w:t>,283,011</w:t>
            </w:r>
          </w:p>
        </w:tc>
        <w:tc>
          <w:tcPr>
            <w:tcW w:w="1666" w:type="dxa"/>
            <w:shd w:val="clear" w:color="auto" w:fill="auto"/>
          </w:tcPr>
          <w:p w:rsidR="00A33729" w:rsidRPr="00A33729" w:rsidRDefault="00A33729" w:rsidP="00A33729">
            <w:pPr>
              <w:spacing w:line="360" w:lineRule="exact"/>
              <w:ind w:leftChars="0" w:left="0" w:firstLineChars="0" w:firstLine="0"/>
              <w:jc w:val="right"/>
              <w:rPr>
                <w:rFonts w:hAnsi="標楷體" w:hint="eastAsia"/>
                <w:sz w:val="24"/>
                <w:szCs w:val="24"/>
              </w:rPr>
            </w:pPr>
            <w:r w:rsidRPr="00A33729">
              <w:rPr>
                <w:rFonts w:hAnsi="標楷體" w:hint="eastAsia"/>
                <w:sz w:val="24"/>
                <w:szCs w:val="24"/>
              </w:rPr>
              <w:t>4</w:t>
            </w:r>
            <w:r w:rsidRPr="00A33729">
              <w:rPr>
                <w:rFonts w:hAnsi="標楷體"/>
                <w:sz w:val="24"/>
                <w:szCs w:val="24"/>
              </w:rPr>
              <w:t>,877,342</w:t>
            </w:r>
          </w:p>
        </w:tc>
      </w:tr>
      <w:tr w:rsidR="00A33729" w:rsidRPr="000C21D7" w:rsidTr="00A33729">
        <w:tc>
          <w:tcPr>
            <w:tcW w:w="1951" w:type="dxa"/>
            <w:tcBorders>
              <w:bottom w:val="double" w:sz="4" w:space="0" w:color="auto"/>
            </w:tcBorders>
            <w:shd w:val="clear" w:color="auto" w:fill="auto"/>
          </w:tcPr>
          <w:p w:rsidR="00A33729" w:rsidRPr="00A33729" w:rsidRDefault="00A33729" w:rsidP="00A33729">
            <w:pPr>
              <w:spacing w:line="360" w:lineRule="exact"/>
              <w:ind w:leftChars="0" w:left="0" w:firstLineChars="0" w:firstLine="0"/>
              <w:jc w:val="left"/>
              <w:rPr>
                <w:rFonts w:hAnsi="標楷體" w:hint="eastAsia"/>
                <w:sz w:val="24"/>
                <w:szCs w:val="24"/>
              </w:rPr>
            </w:pPr>
            <w:r w:rsidRPr="00A33729">
              <w:rPr>
                <w:rFonts w:hAnsi="標楷體" w:hint="eastAsia"/>
                <w:sz w:val="24"/>
                <w:szCs w:val="24"/>
              </w:rPr>
              <w:t>達成率</w:t>
            </w:r>
          </w:p>
        </w:tc>
        <w:tc>
          <w:tcPr>
            <w:tcW w:w="1665" w:type="dxa"/>
            <w:tcBorders>
              <w:bottom w:val="doub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snapToGrid/>
                <w:color w:val="000000"/>
                <w:kern w:val="0"/>
                <w:sz w:val="24"/>
                <w:szCs w:val="24"/>
              </w:rPr>
            </w:pPr>
            <w:r w:rsidRPr="00A33729">
              <w:rPr>
                <w:rFonts w:hAnsi="標楷體" w:hint="eastAsia"/>
                <w:color w:val="000000"/>
                <w:sz w:val="24"/>
                <w:szCs w:val="24"/>
              </w:rPr>
              <w:t>106.11%</w:t>
            </w:r>
          </w:p>
        </w:tc>
        <w:tc>
          <w:tcPr>
            <w:tcW w:w="1666" w:type="dxa"/>
            <w:tcBorders>
              <w:bottom w:val="doub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hint="eastAsia"/>
                <w:color w:val="000000"/>
                <w:sz w:val="24"/>
                <w:szCs w:val="24"/>
              </w:rPr>
            </w:pPr>
            <w:r w:rsidRPr="00A33729">
              <w:rPr>
                <w:rFonts w:hAnsi="標楷體" w:hint="eastAsia"/>
                <w:color w:val="000000"/>
                <w:sz w:val="24"/>
                <w:szCs w:val="24"/>
              </w:rPr>
              <w:t>103.10%</w:t>
            </w:r>
          </w:p>
        </w:tc>
        <w:tc>
          <w:tcPr>
            <w:tcW w:w="1665" w:type="dxa"/>
            <w:tcBorders>
              <w:bottom w:val="doub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hint="eastAsia"/>
                <w:color w:val="000000"/>
                <w:sz w:val="24"/>
                <w:szCs w:val="24"/>
              </w:rPr>
            </w:pPr>
            <w:r w:rsidRPr="00A33729">
              <w:rPr>
                <w:rFonts w:hAnsi="標楷體" w:hint="eastAsia"/>
                <w:color w:val="000000"/>
                <w:sz w:val="24"/>
                <w:szCs w:val="24"/>
              </w:rPr>
              <w:t>100.59%</w:t>
            </w:r>
          </w:p>
        </w:tc>
        <w:tc>
          <w:tcPr>
            <w:tcW w:w="1666" w:type="dxa"/>
            <w:tcBorders>
              <w:bottom w:val="doub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hint="eastAsia"/>
                <w:color w:val="000000"/>
                <w:sz w:val="24"/>
                <w:szCs w:val="24"/>
              </w:rPr>
            </w:pPr>
            <w:r w:rsidRPr="00A33729">
              <w:rPr>
                <w:rFonts w:hAnsi="標楷體" w:hint="eastAsia"/>
                <w:color w:val="000000"/>
                <w:sz w:val="24"/>
                <w:szCs w:val="24"/>
              </w:rPr>
              <w:t>98.18%</w:t>
            </w:r>
          </w:p>
        </w:tc>
      </w:tr>
      <w:tr w:rsidR="00A33729" w:rsidRPr="000C21D7" w:rsidTr="00A33729">
        <w:tc>
          <w:tcPr>
            <w:tcW w:w="1951" w:type="dxa"/>
            <w:tcBorders>
              <w:top w:val="double" w:sz="4" w:space="0" w:color="auto"/>
              <w:bottom w:val="single" w:sz="4" w:space="0" w:color="auto"/>
            </w:tcBorders>
            <w:shd w:val="clear" w:color="auto" w:fill="auto"/>
          </w:tcPr>
          <w:p w:rsidR="00A33729" w:rsidRPr="00A33729" w:rsidRDefault="00A33729" w:rsidP="00A33729">
            <w:pPr>
              <w:spacing w:line="360" w:lineRule="exact"/>
              <w:ind w:leftChars="0" w:left="0" w:firstLineChars="0" w:firstLine="0"/>
              <w:jc w:val="left"/>
              <w:rPr>
                <w:rFonts w:hAnsi="標楷體" w:hint="eastAsia"/>
                <w:sz w:val="24"/>
                <w:szCs w:val="24"/>
              </w:rPr>
            </w:pPr>
            <w:r w:rsidRPr="00A33729">
              <w:rPr>
                <w:rFonts w:hAnsi="標楷體" w:hint="eastAsia"/>
                <w:sz w:val="24"/>
                <w:szCs w:val="24"/>
              </w:rPr>
              <w:t>手續費淨收益</w:t>
            </w:r>
          </w:p>
        </w:tc>
        <w:tc>
          <w:tcPr>
            <w:tcW w:w="1665" w:type="dxa"/>
            <w:tcBorders>
              <w:top w:val="double" w:sz="4" w:space="0" w:color="auto"/>
              <w:bottom w:val="sing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hint="eastAsia"/>
                <w:color w:val="000000"/>
                <w:sz w:val="24"/>
                <w:szCs w:val="24"/>
              </w:rPr>
            </w:pPr>
            <w:r w:rsidRPr="00A33729">
              <w:rPr>
                <w:rFonts w:hAnsi="標楷體" w:hint="eastAsia"/>
                <w:color w:val="000000"/>
                <w:sz w:val="24"/>
                <w:szCs w:val="24"/>
              </w:rPr>
              <w:t>5</w:t>
            </w:r>
            <w:r w:rsidRPr="00A33729">
              <w:rPr>
                <w:rFonts w:hAnsi="標楷體"/>
                <w:color w:val="000000"/>
                <w:sz w:val="24"/>
                <w:szCs w:val="24"/>
              </w:rPr>
              <w:t>,174,087</w:t>
            </w:r>
          </w:p>
        </w:tc>
        <w:tc>
          <w:tcPr>
            <w:tcW w:w="1666" w:type="dxa"/>
            <w:tcBorders>
              <w:top w:val="double" w:sz="4" w:space="0" w:color="auto"/>
              <w:bottom w:val="sing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hint="eastAsia"/>
                <w:color w:val="000000"/>
                <w:sz w:val="24"/>
                <w:szCs w:val="24"/>
              </w:rPr>
            </w:pPr>
            <w:r w:rsidRPr="00A33729">
              <w:rPr>
                <w:rFonts w:hAnsi="標楷體" w:hint="eastAsia"/>
                <w:color w:val="000000"/>
                <w:sz w:val="24"/>
                <w:szCs w:val="24"/>
              </w:rPr>
              <w:t>4</w:t>
            </w:r>
            <w:r w:rsidRPr="00A33729">
              <w:rPr>
                <w:rFonts w:hAnsi="標楷體"/>
                <w:color w:val="000000"/>
                <w:sz w:val="24"/>
                <w:szCs w:val="24"/>
              </w:rPr>
              <w:t>,832,319</w:t>
            </w:r>
          </w:p>
        </w:tc>
        <w:tc>
          <w:tcPr>
            <w:tcW w:w="1665" w:type="dxa"/>
            <w:tcBorders>
              <w:top w:val="double" w:sz="4" w:space="0" w:color="auto"/>
              <w:bottom w:val="sing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hint="eastAsia"/>
                <w:color w:val="000000"/>
                <w:sz w:val="24"/>
                <w:szCs w:val="24"/>
              </w:rPr>
            </w:pPr>
            <w:r w:rsidRPr="00A33729">
              <w:rPr>
                <w:rFonts w:hAnsi="標楷體" w:hint="eastAsia"/>
                <w:color w:val="000000"/>
                <w:sz w:val="24"/>
                <w:szCs w:val="24"/>
              </w:rPr>
              <w:t>4</w:t>
            </w:r>
            <w:r w:rsidRPr="00A33729">
              <w:rPr>
                <w:rFonts w:hAnsi="標楷體"/>
                <w:color w:val="000000"/>
                <w:sz w:val="24"/>
                <w:szCs w:val="24"/>
              </w:rPr>
              <w:t>,519,121</w:t>
            </w:r>
          </w:p>
        </w:tc>
        <w:tc>
          <w:tcPr>
            <w:tcW w:w="1666" w:type="dxa"/>
            <w:tcBorders>
              <w:top w:val="double" w:sz="4" w:space="0" w:color="auto"/>
              <w:bottom w:val="sing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hint="eastAsia"/>
                <w:color w:val="000000"/>
                <w:sz w:val="24"/>
                <w:szCs w:val="24"/>
              </w:rPr>
            </w:pPr>
            <w:r w:rsidRPr="00A33729">
              <w:rPr>
                <w:rFonts w:hAnsi="標楷體" w:hint="eastAsia"/>
                <w:color w:val="000000"/>
                <w:sz w:val="24"/>
                <w:szCs w:val="24"/>
              </w:rPr>
              <w:t>4</w:t>
            </w:r>
            <w:r w:rsidRPr="00A33729">
              <w:rPr>
                <w:rFonts w:hAnsi="標楷體"/>
                <w:color w:val="000000"/>
                <w:sz w:val="24"/>
                <w:szCs w:val="24"/>
              </w:rPr>
              <w:t>,070,368</w:t>
            </w:r>
          </w:p>
        </w:tc>
      </w:tr>
      <w:tr w:rsidR="00A33729" w:rsidRPr="000C21D7" w:rsidTr="00A33729">
        <w:tc>
          <w:tcPr>
            <w:tcW w:w="1951" w:type="dxa"/>
            <w:tcBorders>
              <w:top w:val="single" w:sz="4" w:space="0" w:color="auto"/>
            </w:tcBorders>
            <w:shd w:val="clear" w:color="auto" w:fill="auto"/>
          </w:tcPr>
          <w:p w:rsidR="00A33729" w:rsidRPr="00A33729" w:rsidRDefault="00A33729" w:rsidP="00A33729">
            <w:pPr>
              <w:spacing w:line="360" w:lineRule="exact"/>
              <w:ind w:leftChars="0" w:left="0" w:firstLineChars="0" w:firstLine="0"/>
              <w:jc w:val="right"/>
              <w:rPr>
                <w:rFonts w:hAnsi="標楷體" w:hint="eastAsia"/>
                <w:sz w:val="24"/>
                <w:szCs w:val="24"/>
              </w:rPr>
            </w:pPr>
            <w:r w:rsidRPr="00A33729">
              <w:rPr>
                <w:rFonts w:hAnsi="標楷體" w:hint="eastAsia"/>
                <w:sz w:val="24"/>
                <w:szCs w:val="24"/>
              </w:rPr>
              <w:t>占總淨收益比率</w:t>
            </w:r>
          </w:p>
        </w:tc>
        <w:tc>
          <w:tcPr>
            <w:tcW w:w="1665" w:type="dxa"/>
            <w:tcBorders>
              <w:top w:val="sing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hint="eastAsia"/>
                <w:color w:val="000000"/>
                <w:sz w:val="24"/>
                <w:szCs w:val="24"/>
              </w:rPr>
            </w:pPr>
            <w:r w:rsidRPr="00A33729">
              <w:rPr>
                <w:rFonts w:hAnsi="標楷體" w:hint="eastAsia"/>
                <w:color w:val="000000"/>
                <w:sz w:val="24"/>
                <w:szCs w:val="24"/>
              </w:rPr>
              <w:t>1</w:t>
            </w:r>
            <w:r w:rsidRPr="00A33729">
              <w:rPr>
                <w:rFonts w:hAnsi="標楷體"/>
                <w:color w:val="000000"/>
                <w:sz w:val="24"/>
                <w:szCs w:val="24"/>
              </w:rPr>
              <w:t>2.27%</w:t>
            </w:r>
          </w:p>
        </w:tc>
        <w:tc>
          <w:tcPr>
            <w:tcW w:w="1666" w:type="dxa"/>
            <w:tcBorders>
              <w:top w:val="sing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hint="eastAsia"/>
                <w:color w:val="000000"/>
                <w:sz w:val="24"/>
                <w:szCs w:val="24"/>
              </w:rPr>
            </w:pPr>
            <w:r w:rsidRPr="00A33729">
              <w:rPr>
                <w:rFonts w:hAnsi="標楷體" w:hint="eastAsia"/>
                <w:color w:val="000000"/>
                <w:sz w:val="24"/>
                <w:szCs w:val="24"/>
              </w:rPr>
              <w:t>1</w:t>
            </w:r>
            <w:r w:rsidRPr="00A33729">
              <w:rPr>
                <w:rFonts w:hAnsi="標楷體"/>
                <w:color w:val="000000"/>
                <w:sz w:val="24"/>
                <w:szCs w:val="24"/>
              </w:rPr>
              <w:t>4.16%</w:t>
            </w:r>
          </w:p>
        </w:tc>
        <w:tc>
          <w:tcPr>
            <w:tcW w:w="1665" w:type="dxa"/>
            <w:tcBorders>
              <w:top w:val="sing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hint="eastAsia"/>
                <w:color w:val="000000"/>
                <w:sz w:val="24"/>
                <w:szCs w:val="24"/>
              </w:rPr>
            </w:pPr>
            <w:r w:rsidRPr="00A33729">
              <w:rPr>
                <w:rFonts w:hAnsi="標楷體" w:hint="eastAsia"/>
                <w:color w:val="000000"/>
                <w:sz w:val="24"/>
                <w:szCs w:val="24"/>
              </w:rPr>
              <w:t>1</w:t>
            </w:r>
            <w:r w:rsidRPr="00A33729">
              <w:rPr>
                <w:rFonts w:hAnsi="標楷體"/>
                <w:color w:val="000000"/>
                <w:sz w:val="24"/>
                <w:szCs w:val="24"/>
              </w:rPr>
              <w:t>1.57%</w:t>
            </w:r>
          </w:p>
        </w:tc>
        <w:tc>
          <w:tcPr>
            <w:tcW w:w="1666" w:type="dxa"/>
            <w:tcBorders>
              <w:top w:val="single" w:sz="4" w:space="0" w:color="auto"/>
            </w:tcBorders>
            <w:shd w:val="clear" w:color="auto" w:fill="auto"/>
            <w:vAlign w:val="center"/>
          </w:tcPr>
          <w:p w:rsidR="00A33729" w:rsidRPr="00A33729" w:rsidRDefault="00A33729" w:rsidP="00A33729">
            <w:pPr>
              <w:spacing w:line="360" w:lineRule="exact"/>
              <w:ind w:leftChars="0" w:left="0" w:firstLineChars="0" w:firstLine="0"/>
              <w:jc w:val="right"/>
              <w:rPr>
                <w:rFonts w:hAnsi="標楷體" w:hint="eastAsia"/>
                <w:color w:val="000000"/>
                <w:sz w:val="24"/>
                <w:szCs w:val="24"/>
              </w:rPr>
            </w:pPr>
            <w:r w:rsidRPr="00A33729">
              <w:rPr>
                <w:rFonts w:hAnsi="標楷體" w:hint="eastAsia"/>
                <w:color w:val="000000"/>
                <w:sz w:val="24"/>
                <w:szCs w:val="24"/>
              </w:rPr>
              <w:t>9</w:t>
            </w:r>
            <w:r w:rsidRPr="00A33729">
              <w:rPr>
                <w:rFonts w:hAnsi="標楷體"/>
                <w:color w:val="000000"/>
                <w:sz w:val="24"/>
                <w:szCs w:val="24"/>
              </w:rPr>
              <w:t>.51%</w:t>
            </w:r>
          </w:p>
        </w:tc>
      </w:tr>
    </w:tbl>
    <w:p w:rsidR="00A33729" w:rsidRPr="00A33729" w:rsidRDefault="00A33729" w:rsidP="00A33729">
      <w:pPr>
        <w:spacing w:line="320" w:lineRule="exact"/>
        <w:ind w:leftChars="0" w:left="0" w:rightChars="-50" w:right="-142" w:firstLineChars="0" w:firstLine="0"/>
        <w:jc w:val="left"/>
        <w:rPr>
          <w:rFonts w:hAnsi="標楷體" w:hint="eastAsia"/>
          <w:color w:val="000000"/>
          <w:sz w:val="24"/>
        </w:rPr>
      </w:pPr>
      <w:r w:rsidRPr="00A33729">
        <w:rPr>
          <w:rFonts w:hAnsi="標楷體" w:hint="eastAsia"/>
          <w:color w:val="000000"/>
          <w:sz w:val="24"/>
        </w:rPr>
        <w:t>資料來源：臺灣銀行各年度年報。</w:t>
      </w:r>
    </w:p>
    <w:p w:rsidR="00A33729" w:rsidRPr="00A33729" w:rsidRDefault="00A33729" w:rsidP="00A33729">
      <w:pPr>
        <w:ind w:left="849" w:hangingChars="100" w:hanging="283"/>
        <w:rPr>
          <w:rFonts w:hAnsi="標楷體" w:hint="eastAsia"/>
          <w:b/>
          <w:color w:val="000000"/>
        </w:rPr>
      </w:pPr>
      <w:r w:rsidRPr="00A33729">
        <w:rPr>
          <w:rFonts w:hAnsi="標楷體" w:hint="eastAsia"/>
          <w:b/>
          <w:color w:val="000000"/>
        </w:rPr>
        <w:t>(二)財富管理手續費收入逐年下滑，且多未如預期</w:t>
      </w:r>
    </w:p>
    <w:p w:rsidR="00A33729" w:rsidRPr="00A33729" w:rsidRDefault="00A33729" w:rsidP="00A33729">
      <w:pPr>
        <w:ind w:leftChars="300" w:left="850" w:firstLine="566"/>
        <w:rPr>
          <w:rFonts w:hAnsi="標楷體"/>
          <w:color w:val="000000"/>
        </w:rPr>
      </w:pPr>
      <w:r w:rsidRPr="00A33729">
        <w:rPr>
          <w:rFonts w:hAnsi="標楷體" w:hint="eastAsia"/>
          <w:color w:val="000000"/>
        </w:rPr>
        <w:t>該行財富管理業務係利用金控集團商品及通路整合行銷效益，建立多元化金融商品銷售平臺，拓展理財業務之服務網，並優化理財業務專業人才培訓，實施業務輔導機制，以強化目標管理，並賡續辦理投資理財講座，深耕理財客戶。</w:t>
      </w:r>
    </w:p>
    <w:p w:rsidR="00A33729" w:rsidRPr="00A33729" w:rsidRDefault="00A33729" w:rsidP="00A33729">
      <w:pPr>
        <w:ind w:leftChars="300" w:left="850" w:firstLine="566"/>
        <w:rPr>
          <w:rFonts w:hAnsi="標楷體"/>
          <w:color w:val="000000"/>
        </w:rPr>
      </w:pPr>
      <w:r w:rsidRPr="00A33729">
        <w:rPr>
          <w:rFonts w:hAnsi="標楷體" w:hint="eastAsia"/>
          <w:color w:val="000000"/>
        </w:rPr>
        <w:t>參據近年度財富管理業務之執行情形(詳表2)，分述如次</w:t>
      </w:r>
      <w:r w:rsidRPr="00A33729">
        <w:rPr>
          <w:rFonts w:hAnsi="標楷體" w:cs="全字庫正宋體" w:hint="eastAsia"/>
          <w:color w:val="000000"/>
        </w:rPr>
        <w:t>：</w:t>
      </w:r>
    </w:p>
    <w:p w:rsidR="00A33729" w:rsidRPr="00A33729" w:rsidRDefault="00A33729" w:rsidP="00A33729">
      <w:pPr>
        <w:ind w:leftChars="300" w:left="1133" w:hangingChars="100" w:hanging="283"/>
        <w:rPr>
          <w:rFonts w:hAnsi="標楷體"/>
        </w:rPr>
      </w:pPr>
      <w:r w:rsidRPr="00A33729">
        <w:rPr>
          <w:rFonts w:hAnsi="標楷體" w:hint="eastAsia"/>
          <w:b/>
        </w:rPr>
        <w:t>1.基金手續費收入</w:t>
      </w:r>
      <w:r w:rsidRPr="00A33729">
        <w:rPr>
          <w:rFonts w:hAnsi="標楷體" w:cs="全字庫正宋體" w:hint="eastAsia"/>
          <w:b/>
        </w:rPr>
        <w:t>：</w:t>
      </w:r>
      <w:r w:rsidRPr="00A33729">
        <w:rPr>
          <w:rFonts w:hAnsi="標楷體" w:hint="eastAsia"/>
        </w:rPr>
        <w:t>由108年度2.27億元增至110年度3.62億元，惟111年度反降至2.22億元(</w:t>
      </w:r>
      <w:r w:rsidR="00743753">
        <w:rPr>
          <w:rFonts w:hAnsi="標楷體" w:hint="eastAsia"/>
        </w:rPr>
        <w:t>較上年度</w:t>
      </w:r>
      <w:r w:rsidRPr="00A33729">
        <w:rPr>
          <w:rFonts w:hAnsi="標楷體" w:hint="eastAsia"/>
        </w:rPr>
        <w:t>減幅38.67%)，據該行表示主要係111年全球金融市場波動劇烈，該行客戶投資屬性偏保守穩健多持觀望以對，致達成情形未如預期。</w:t>
      </w:r>
    </w:p>
    <w:p w:rsidR="00A33729" w:rsidRPr="00A33729" w:rsidRDefault="00A33729" w:rsidP="00A33729">
      <w:pPr>
        <w:ind w:leftChars="300" w:left="1133" w:hangingChars="100" w:hanging="283"/>
        <w:rPr>
          <w:rFonts w:hAnsi="標楷體"/>
        </w:rPr>
      </w:pPr>
      <w:r w:rsidRPr="00A33729">
        <w:rPr>
          <w:rFonts w:hAnsi="標楷體" w:hint="eastAsia"/>
          <w:b/>
        </w:rPr>
        <w:t>2保險手續費收入</w:t>
      </w:r>
      <w:r w:rsidRPr="00A33729">
        <w:rPr>
          <w:rFonts w:hAnsi="標楷體" w:cs="全字庫正宋體" w:hint="eastAsia"/>
          <w:b/>
        </w:rPr>
        <w:t>：</w:t>
      </w:r>
      <w:r w:rsidRPr="00A33729">
        <w:rPr>
          <w:rFonts w:hAnsi="標楷體" w:hint="eastAsia"/>
        </w:rPr>
        <w:t>由108年度11.52億元逐年減至111年度3.86億元(</w:t>
      </w:r>
      <w:r w:rsidR="00743753">
        <w:rPr>
          <w:rFonts w:hAnsi="標楷體" w:hint="eastAsia"/>
        </w:rPr>
        <w:t>較108年度</w:t>
      </w:r>
      <w:r w:rsidRPr="00A33729">
        <w:rPr>
          <w:rFonts w:hAnsi="標楷體" w:hint="eastAsia"/>
        </w:rPr>
        <w:t>減幅66.49%)，據該行表示主要係產品銷售主力-儲蓄型保單及投資型保單銷售推展困難，已逐步調整商品策略，將持續轉型銷售高保障型商品，以符合該行眾多中小企業主之退休規劃、資產傳承、預留稅源等需求。</w:t>
      </w:r>
    </w:p>
    <w:p w:rsidR="00A33729" w:rsidRPr="00A33729" w:rsidRDefault="00A33729" w:rsidP="00A33729">
      <w:pPr>
        <w:ind w:leftChars="300" w:left="1133" w:hangingChars="100" w:hanging="283"/>
        <w:rPr>
          <w:rFonts w:hAnsi="標楷體"/>
        </w:rPr>
      </w:pPr>
      <w:r w:rsidRPr="00A33729">
        <w:rPr>
          <w:rFonts w:hAnsi="標楷體" w:hint="eastAsia"/>
          <w:b/>
        </w:rPr>
        <w:t>3.黃金存摺手續費收入</w:t>
      </w:r>
      <w:r w:rsidRPr="00A33729">
        <w:rPr>
          <w:rFonts w:hAnsi="標楷體" w:cs="全字庫正宋體" w:hint="eastAsia"/>
          <w:b/>
        </w:rPr>
        <w:t>：</w:t>
      </w:r>
      <w:r w:rsidRPr="00A33729">
        <w:rPr>
          <w:rFonts w:hAnsi="標楷體" w:hint="eastAsia"/>
        </w:rPr>
        <w:t>由109年度1.48億元減至111年度0.70億元(</w:t>
      </w:r>
      <w:r w:rsidR="00743753">
        <w:rPr>
          <w:rFonts w:hAnsi="標楷體" w:hint="eastAsia"/>
        </w:rPr>
        <w:t>較109年度</w:t>
      </w:r>
      <w:r w:rsidRPr="00A33729">
        <w:rPr>
          <w:rFonts w:hAnsi="標楷體" w:hint="eastAsia"/>
        </w:rPr>
        <w:t>減幅52.70%)，據該行表示111年因全球通貨膨脹及歐美金融危機事件影響，投資人避險需求增加，業務量成長達標，惟111年度部分受強勢美元衝擊影響，金價震盪，手續費率較低之黃金存摺回售量遠高於銷售量致收入未如預期。</w:t>
      </w:r>
    </w:p>
    <w:p w:rsidR="00743753" w:rsidRPr="00A33729" w:rsidRDefault="00A33729" w:rsidP="00A33729">
      <w:pPr>
        <w:ind w:leftChars="300" w:left="850" w:firstLine="566"/>
        <w:rPr>
          <w:rFonts w:hAnsi="標楷體" w:hint="eastAsia"/>
        </w:rPr>
      </w:pPr>
      <w:r w:rsidRPr="00A33729">
        <w:rPr>
          <w:rFonts w:hAnsi="標楷體" w:hint="eastAsia"/>
        </w:rPr>
        <w:t>整體財富管理業務</w:t>
      </w:r>
      <w:r w:rsidRPr="00A33729">
        <w:rPr>
          <w:rFonts w:hAnsi="標楷體" w:hint="eastAsia"/>
          <w:color w:val="000000"/>
        </w:rPr>
        <w:t>收入</w:t>
      </w:r>
      <w:r w:rsidRPr="00A33729">
        <w:rPr>
          <w:rFonts w:hAnsi="標楷體" w:hint="eastAsia"/>
        </w:rPr>
        <w:t>由108年度14.42億元逐年減至111年度6.78億元(減幅52.98%)，業務規模縮減近半，</w:t>
      </w:r>
      <w:r w:rsidR="00743753">
        <w:rPr>
          <w:rFonts w:hAnsi="標楷體" w:hint="eastAsia"/>
        </w:rPr>
        <w:t>且111年度均未及目標數，</w:t>
      </w:r>
      <w:r w:rsidRPr="00A33729">
        <w:rPr>
          <w:rFonts w:hAnsi="標楷體" w:hint="eastAsia"/>
        </w:rPr>
        <w:t>業務拓展成效難謂良善。</w:t>
      </w:r>
    </w:p>
    <w:p w:rsidR="00A33729" w:rsidRPr="00A33729" w:rsidRDefault="00A33729" w:rsidP="00A33729">
      <w:pPr>
        <w:ind w:leftChars="0" w:left="0" w:firstLineChars="0" w:firstLine="0"/>
        <w:rPr>
          <w:rFonts w:hAnsi="標楷體"/>
          <w:snapToGrid/>
          <w:color w:val="000000"/>
          <w:spacing w:val="-5"/>
          <w:kern w:val="0"/>
          <w:sz w:val="24"/>
          <w:szCs w:val="24"/>
        </w:rPr>
      </w:pPr>
      <w:r w:rsidRPr="00A33729">
        <w:rPr>
          <w:rFonts w:hAnsi="標楷體" w:hint="eastAsia"/>
          <w:b/>
          <w:color w:val="000000"/>
        </w:rPr>
        <w:t xml:space="preserve">表2 近年臺灣銀行財富管理業務之執行情形一覽表   </w:t>
      </w:r>
      <w:r w:rsidRPr="00A33729">
        <w:rPr>
          <w:rFonts w:hAnsi="標楷體" w:hint="eastAsia"/>
          <w:color w:val="000000"/>
          <w:sz w:val="24"/>
          <w:szCs w:val="24"/>
        </w:rPr>
        <w:t>單位：新臺幣億元</w:t>
      </w:r>
    </w:p>
    <w:tbl>
      <w:tblPr>
        <w:tblW w:w="8646"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69"/>
        <w:gridCol w:w="1204"/>
        <w:gridCol w:w="1205"/>
        <w:gridCol w:w="1205"/>
        <w:gridCol w:w="1205"/>
        <w:gridCol w:w="1558"/>
      </w:tblGrid>
      <w:tr w:rsidR="00743753" w:rsidRPr="000C21D7" w:rsidTr="00743753">
        <w:tc>
          <w:tcPr>
            <w:tcW w:w="2269" w:type="dxa"/>
            <w:shd w:val="clear" w:color="auto" w:fill="auto"/>
            <w:vAlign w:val="center"/>
          </w:tcPr>
          <w:p w:rsidR="00743753" w:rsidRPr="00A33729" w:rsidRDefault="00743753" w:rsidP="00743753">
            <w:pPr>
              <w:widowControl/>
              <w:spacing w:line="360" w:lineRule="exact"/>
              <w:ind w:leftChars="0" w:left="0" w:firstLineChars="0" w:firstLine="0"/>
              <w:jc w:val="center"/>
              <w:rPr>
                <w:rFonts w:hAnsi="標楷體"/>
                <w:snapToGrid/>
                <w:color w:val="000000"/>
                <w:spacing w:val="-5"/>
                <w:kern w:val="0"/>
                <w:sz w:val="24"/>
                <w:szCs w:val="24"/>
              </w:rPr>
            </w:pPr>
            <w:r w:rsidRPr="00A33729">
              <w:rPr>
                <w:rFonts w:hAnsi="標楷體"/>
                <w:snapToGrid/>
                <w:color w:val="000000"/>
                <w:spacing w:val="-5"/>
                <w:kern w:val="0"/>
                <w:sz w:val="24"/>
                <w:szCs w:val="24"/>
              </w:rPr>
              <w:t>項目</w:t>
            </w:r>
          </w:p>
        </w:tc>
        <w:tc>
          <w:tcPr>
            <w:tcW w:w="1204" w:type="dxa"/>
            <w:shd w:val="clear" w:color="auto" w:fill="auto"/>
            <w:vAlign w:val="center"/>
          </w:tcPr>
          <w:p w:rsidR="00743753" w:rsidRPr="00A33729" w:rsidRDefault="00743753" w:rsidP="00743753">
            <w:pPr>
              <w:widowControl/>
              <w:spacing w:line="360" w:lineRule="exact"/>
              <w:ind w:leftChars="0" w:left="0" w:firstLineChars="0" w:firstLine="0"/>
              <w:jc w:val="center"/>
              <w:rPr>
                <w:rFonts w:hAnsi="標楷體"/>
                <w:snapToGrid/>
                <w:color w:val="000000"/>
                <w:spacing w:val="-5"/>
                <w:kern w:val="0"/>
                <w:sz w:val="24"/>
                <w:szCs w:val="24"/>
              </w:rPr>
            </w:pPr>
            <w:r w:rsidRPr="00A33729">
              <w:rPr>
                <w:rFonts w:hAnsi="標楷體" w:hint="eastAsia"/>
                <w:snapToGrid/>
                <w:color w:val="000000"/>
                <w:spacing w:val="-5"/>
                <w:kern w:val="0"/>
                <w:sz w:val="24"/>
                <w:szCs w:val="24"/>
              </w:rPr>
              <w:t>108年度</w:t>
            </w:r>
          </w:p>
        </w:tc>
        <w:tc>
          <w:tcPr>
            <w:tcW w:w="1205" w:type="dxa"/>
            <w:shd w:val="clear" w:color="auto" w:fill="auto"/>
            <w:vAlign w:val="center"/>
          </w:tcPr>
          <w:p w:rsidR="00743753" w:rsidRPr="00A33729" w:rsidRDefault="00743753" w:rsidP="00743753">
            <w:pPr>
              <w:widowControl/>
              <w:spacing w:line="360" w:lineRule="exact"/>
              <w:ind w:leftChars="0" w:left="0" w:firstLineChars="0" w:firstLine="0"/>
              <w:jc w:val="center"/>
              <w:rPr>
                <w:rFonts w:hAnsi="標楷體"/>
                <w:snapToGrid/>
                <w:color w:val="000000"/>
                <w:spacing w:val="-5"/>
                <w:kern w:val="0"/>
                <w:sz w:val="24"/>
                <w:szCs w:val="24"/>
              </w:rPr>
            </w:pPr>
            <w:r w:rsidRPr="00A33729">
              <w:rPr>
                <w:rFonts w:hAnsi="標楷體" w:hint="eastAsia"/>
                <w:snapToGrid/>
                <w:color w:val="000000"/>
                <w:spacing w:val="-5"/>
                <w:kern w:val="0"/>
                <w:sz w:val="24"/>
                <w:szCs w:val="24"/>
              </w:rPr>
              <w:t>109年度</w:t>
            </w:r>
          </w:p>
        </w:tc>
        <w:tc>
          <w:tcPr>
            <w:tcW w:w="1205" w:type="dxa"/>
            <w:shd w:val="clear" w:color="auto" w:fill="auto"/>
            <w:vAlign w:val="center"/>
          </w:tcPr>
          <w:p w:rsidR="00743753" w:rsidRPr="00A33729" w:rsidRDefault="00743753" w:rsidP="00743753">
            <w:pPr>
              <w:widowControl/>
              <w:spacing w:line="360" w:lineRule="exact"/>
              <w:ind w:leftChars="0" w:left="0" w:firstLineChars="0" w:firstLine="0"/>
              <w:jc w:val="center"/>
              <w:rPr>
                <w:rFonts w:hAnsi="標楷體"/>
                <w:snapToGrid/>
                <w:color w:val="000000"/>
                <w:spacing w:val="-5"/>
                <w:kern w:val="0"/>
                <w:sz w:val="24"/>
                <w:szCs w:val="24"/>
              </w:rPr>
            </w:pPr>
            <w:r w:rsidRPr="00A33729">
              <w:rPr>
                <w:rFonts w:hAnsi="標楷體" w:hint="eastAsia"/>
                <w:snapToGrid/>
                <w:color w:val="000000"/>
                <w:spacing w:val="-5"/>
                <w:kern w:val="0"/>
                <w:sz w:val="24"/>
                <w:szCs w:val="24"/>
              </w:rPr>
              <w:t>110年度</w:t>
            </w:r>
          </w:p>
        </w:tc>
        <w:tc>
          <w:tcPr>
            <w:tcW w:w="1205" w:type="dxa"/>
            <w:vAlign w:val="center"/>
          </w:tcPr>
          <w:p w:rsidR="00743753" w:rsidRPr="00A33729" w:rsidRDefault="00743753" w:rsidP="00743753">
            <w:pPr>
              <w:widowControl/>
              <w:spacing w:line="360" w:lineRule="exact"/>
              <w:ind w:leftChars="-25" w:left="-71" w:rightChars="-25" w:right="-71" w:firstLineChars="0" w:firstLine="0"/>
              <w:jc w:val="center"/>
              <w:rPr>
                <w:rFonts w:hAnsi="標楷體"/>
                <w:snapToGrid/>
                <w:color w:val="000000"/>
                <w:kern w:val="0"/>
                <w:sz w:val="24"/>
                <w:szCs w:val="24"/>
              </w:rPr>
            </w:pPr>
            <w:r w:rsidRPr="00A33729">
              <w:rPr>
                <w:rFonts w:hAnsi="標楷體" w:hint="eastAsia"/>
                <w:snapToGrid/>
                <w:color w:val="000000"/>
                <w:kern w:val="0"/>
                <w:sz w:val="24"/>
                <w:szCs w:val="24"/>
              </w:rPr>
              <w:t>111年</w:t>
            </w:r>
            <w:r>
              <w:rPr>
                <w:rFonts w:hAnsi="標楷體" w:hint="eastAsia"/>
                <w:snapToGrid/>
                <w:color w:val="000000"/>
                <w:kern w:val="0"/>
                <w:sz w:val="24"/>
                <w:szCs w:val="24"/>
              </w:rPr>
              <w:t>度</w:t>
            </w:r>
          </w:p>
        </w:tc>
        <w:tc>
          <w:tcPr>
            <w:tcW w:w="1558" w:type="dxa"/>
            <w:shd w:val="clear" w:color="auto" w:fill="auto"/>
            <w:vAlign w:val="center"/>
          </w:tcPr>
          <w:p w:rsidR="00743753" w:rsidRPr="00A33729" w:rsidRDefault="00743753" w:rsidP="00743753">
            <w:pPr>
              <w:widowControl/>
              <w:spacing w:line="360" w:lineRule="exact"/>
              <w:ind w:leftChars="-25" w:left="-71" w:rightChars="-25" w:right="-71" w:firstLineChars="0" w:firstLine="0"/>
              <w:jc w:val="center"/>
              <w:rPr>
                <w:rFonts w:hAnsi="標楷體"/>
                <w:snapToGrid/>
                <w:color w:val="000000"/>
                <w:kern w:val="0"/>
                <w:sz w:val="24"/>
                <w:szCs w:val="24"/>
              </w:rPr>
            </w:pPr>
            <w:r w:rsidRPr="00A33729">
              <w:rPr>
                <w:rFonts w:hAnsi="標楷體" w:hint="eastAsia"/>
                <w:snapToGrid/>
                <w:color w:val="000000"/>
                <w:kern w:val="0"/>
                <w:sz w:val="24"/>
                <w:szCs w:val="24"/>
              </w:rPr>
              <w:t>111年目標數</w:t>
            </w:r>
          </w:p>
        </w:tc>
      </w:tr>
      <w:tr w:rsidR="00743753" w:rsidRPr="000C21D7" w:rsidTr="00743753">
        <w:tc>
          <w:tcPr>
            <w:tcW w:w="2269" w:type="dxa"/>
            <w:shd w:val="clear" w:color="auto" w:fill="auto"/>
            <w:vAlign w:val="center"/>
          </w:tcPr>
          <w:p w:rsidR="00743753" w:rsidRPr="00A33729" w:rsidRDefault="00743753" w:rsidP="00743753">
            <w:pPr>
              <w:widowControl/>
              <w:spacing w:line="360" w:lineRule="exact"/>
              <w:ind w:leftChars="0" w:left="0" w:firstLineChars="0" w:firstLine="0"/>
              <w:rPr>
                <w:rFonts w:hAnsi="標楷體"/>
                <w:snapToGrid/>
                <w:color w:val="000000"/>
                <w:spacing w:val="-5"/>
                <w:kern w:val="0"/>
                <w:sz w:val="24"/>
                <w:szCs w:val="24"/>
              </w:rPr>
            </w:pPr>
            <w:r w:rsidRPr="00A33729">
              <w:rPr>
                <w:rFonts w:hAnsi="標楷體"/>
                <w:snapToGrid/>
                <w:color w:val="000000"/>
                <w:spacing w:val="-5"/>
                <w:kern w:val="0"/>
                <w:sz w:val="24"/>
                <w:szCs w:val="24"/>
              </w:rPr>
              <w:t>基金手續費收入</w:t>
            </w:r>
          </w:p>
        </w:tc>
        <w:tc>
          <w:tcPr>
            <w:tcW w:w="1204"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2.27</w:t>
            </w:r>
          </w:p>
        </w:tc>
        <w:tc>
          <w:tcPr>
            <w:tcW w:w="1205"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3.16</w:t>
            </w:r>
          </w:p>
        </w:tc>
        <w:tc>
          <w:tcPr>
            <w:tcW w:w="1205"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3.62</w:t>
            </w:r>
          </w:p>
        </w:tc>
        <w:tc>
          <w:tcPr>
            <w:tcW w:w="1205" w:type="dxa"/>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2.22</w:t>
            </w:r>
          </w:p>
        </w:tc>
        <w:tc>
          <w:tcPr>
            <w:tcW w:w="1558"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2.50</w:t>
            </w:r>
          </w:p>
        </w:tc>
      </w:tr>
      <w:tr w:rsidR="00743753" w:rsidRPr="000C21D7" w:rsidTr="00743753">
        <w:tc>
          <w:tcPr>
            <w:tcW w:w="2269" w:type="dxa"/>
            <w:shd w:val="clear" w:color="auto" w:fill="auto"/>
            <w:vAlign w:val="center"/>
          </w:tcPr>
          <w:p w:rsidR="00743753" w:rsidRPr="00A33729" w:rsidRDefault="00743753" w:rsidP="00743753">
            <w:pPr>
              <w:widowControl/>
              <w:spacing w:line="360" w:lineRule="exact"/>
              <w:ind w:leftChars="0" w:left="0" w:firstLineChars="0" w:firstLine="0"/>
              <w:rPr>
                <w:rFonts w:hAnsi="標楷體"/>
                <w:snapToGrid/>
                <w:color w:val="000000"/>
                <w:spacing w:val="-5"/>
                <w:kern w:val="0"/>
                <w:sz w:val="24"/>
                <w:szCs w:val="24"/>
              </w:rPr>
            </w:pPr>
            <w:r w:rsidRPr="00A33729">
              <w:rPr>
                <w:rFonts w:hAnsi="標楷體"/>
                <w:snapToGrid/>
                <w:color w:val="000000"/>
                <w:spacing w:val="-5"/>
                <w:kern w:val="0"/>
                <w:sz w:val="24"/>
                <w:szCs w:val="24"/>
              </w:rPr>
              <w:t>保險手續費收入</w:t>
            </w:r>
          </w:p>
        </w:tc>
        <w:tc>
          <w:tcPr>
            <w:tcW w:w="1204"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11.52</w:t>
            </w:r>
          </w:p>
        </w:tc>
        <w:tc>
          <w:tcPr>
            <w:tcW w:w="1205"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6.89</w:t>
            </w:r>
          </w:p>
        </w:tc>
        <w:tc>
          <w:tcPr>
            <w:tcW w:w="1205"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6.82</w:t>
            </w:r>
          </w:p>
        </w:tc>
        <w:tc>
          <w:tcPr>
            <w:tcW w:w="1205" w:type="dxa"/>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3.86</w:t>
            </w:r>
          </w:p>
        </w:tc>
        <w:tc>
          <w:tcPr>
            <w:tcW w:w="1558"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5.28</w:t>
            </w:r>
          </w:p>
        </w:tc>
      </w:tr>
      <w:tr w:rsidR="00743753" w:rsidRPr="000C21D7" w:rsidTr="00743753">
        <w:tc>
          <w:tcPr>
            <w:tcW w:w="2269" w:type="dxa"/>
            <w:shd w:val="clear" w:color="auto" w:fill="auto"/>
            <w:vAlign w:val="center"/>
          </w:tcPr>
          <w:p w:rsidR="00743753" w:rsidRPr="00A33729" w:rsidRDefault="00743753" w:rsidP="00743753">
            <w:pPr>
              <w:widowControl/>
              <w:spacing w:line="360" w:lineRule="exact"/>
              <w:ind w:leftChars="0" w:left="0" w:firstLineChars="0" w:firstLine="0"/>
              <w:rPr>
                <w:rFonts w:hAnsi="標楷體"/>
                <w:snapToGrid/>
                <w:color w:val="000000"/>
                <w:spacing w:val="-10"/>
                <w:kern w:val="0"/>
                <w:sz w:val="24"/>
                <w:szCs w:val="24"/>
              </w:rPr>
            </w:pPr>
            <w:r w:rsidRPr="00A33729">
              <w:rPr>
                <w:rFonts w:hAnsi="標楷體"/>
                <w:snapToGrid/>
                <w:color w:val="000000"/>
                <w:spacing w:val="-10"/>
                <w:kern w:val="0"/>
                <w:sz w:val="24"/>
                <w:szCs w:val="24"/>
              </w:rPr>
              <w:t>黃金存摺手續費收入</w:t>
            </w:r>
          </w:p>
        </w:tc>
        <w:tc>
          <w:tcPr>
            <w:tcW w:w="1204"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0.63</w:t>
            </w:r>
          </w:p>
        </w:tc>
        <w:tc>
          <w:tcPr>
            <w:tcW w:w="1205"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1.48</w:t>
            </w:r>
          </w:p>
        </w:tc>
        <w:tc>
          <w:tcPr>
            <w:tcW w:w="1205"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0.68</w:t>
            </w:r>
          </w:p>
        </w:tc>
        <w:tc>
          <w:tcPr>
            <w:tcW w:w="1205" w:type="dxa"/>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0.70</w:t>
            </w:r>
          </w:p>
        </w:tc>
        <w:tc>
          <w:tcPr>
            <w:tcW w:w="1558"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0.77</w:t>
            </w:r>
          </w:p>
        </w:tc>
      </w:tr>
      <w:tr w:rsidR="00743753" w:rsidRPr="000C21D7" w:rsidTr="00743753">
        <w:tc>
          <w:tcPr>
            <w:tcW w:w="2269" w:type="dxa"/>
            <w:shd w:val="clear" w:color="auto" w:fill="auto"/>
            <w:vAlign w:val="center"/>
          </w:tcPr>
          <w:p w:rsidR="00743753" w:rsidRPr="00A33729" w:rsidRDefault="00743753" w:rsidP="00743753">
            <w:pPr>
              <w:widowControl/>
              <w:spacing w:line="360" w:lineRule="exact"/>
              <w:ind w:leftChars="0" w:left="0" w:firstLineChars="0" w:firstLine="0"/>
              <w:rPr>
                <w:rFonts w:hAnsi="標楷體"/>
                <w:snapToGrid/>
                <w:color w:val="000000"/>
                <w:spacing w:val="-5"/>
                <w:kern w:val="0"/>
                <w:sz w:val="24"/>
                <w:szCs w:val="24"/>
              </w:rPr>
            </w:pPr>
            <w:r w:rsidRPr="00A33729">
              <w:rPr>
                <w:rFonts w:hAnsi="標楷體"/>
                <w:snapToGrid/>
                <w:color w:val="000000"/>
                <w:spacing w:val="-5"/>
                <w:kern w:val="0"/>
                <w:sz w:val="24"/>
                <w:szCs w:val="24"/>
              </w:rPr>
              <w:t>合計</w:t>
            </w:r>
          </w:p>
        </w:tc>
        <w:tc>
          <w:tcPr>
            <w:tcW w:w="1204"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14.42</w:t>
            </w:r>
          </w:p>
        </w:tc>
        <w:tc>
          <w:tcPr>
            <w:tcW w:w="1205"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11.53</w:t>
            </w:r>
          </w:p>
        </w:tc>
        <w:tc>
          <w:tcPr>
            <w:tcW w:w="1205"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11.12</w:t>
            </w:r>
          </w:p>
        </w:tc>
        <w:tc>
          <w:tcPr>
            <w:tcW w:w="1205" w:type="dxa"/>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6.78</w:t>
            </w:r>
          </w:p>
        </w:tc>
        <w:tc>
          <w:tcPr>
            <w:tcW w:w="1558" w:type="dxa"/>
            <w:shd w:val="clear" w:color="auto" w:fill="auto"/>
            <w:vAlign w:val="center"/>
          </w:tcPr>
          <w:p w:rsidR="00743753" w:rsidRPr="00A33729" w:rsidRDefault="00743753" w:rsidP="00743753">
            <w:pPr>
              <w:widowControl/>
              <w:spacing w:line="360" w:lineRule="exact"/>
              <w:ind w:leftChars="0" w:left="0" w:firstLineChars="0" w:firstLine="0"/>
              <w:jc w:val="right"/>
              <w:rPr>
                <w:rFonts w:hAnsi="標楷體"/>
                <w:snapToGrid/>
                <w:color w:val="000000"/>
                <w:spacing w:val="-5"/>
                <w:kern w:val="0"/>
                <w:sz w:val="24"/>
                <w:szCs w:val="24"/>
              </w:rPr>
            </w:pPr>
            <w:r w:rsidRPr="00A33729">
              <w:rPr>
                <w:rFonts w:hAnsi="標楷體" w:hint="eastAsia"/>
                <w:snapToGrid/>
                <w:color w:val="000000"/>
                <w:spacing w:val="-5"/>
                <w:kern w:val="0"/>
                <w:sz w:val="24"/>
                <w:szCs w:val="24"/>
              </w:rPr>
              <w:t>8.55</w:t>
            </w:r>
          </w:p>
        </w:tc>
      </w:tr>
    </w:tbl>
    <w:p w:rsidR="005C354E" w:rsidRDefault="005C354E" w:rsidP="00A33729">
      <w:pPr>
        <w:spacing w:line="360" w:lineRule="exact"/>
        <w:ind w:leftChars="0" w:left="567" w:hangingChars="233" w:hanging="567"/>
        <w:rPr>
          <w:rFonts w:hAnsi="標楷體"/>
          <w:color w:val="000000"/>
          <w:sz w:val="24"/>
          <w:szCs w:val="24"/>
        </w:rPr>
      </w:pPr>
      <w:r>
        <w:rPr>
          <w:rFonts w:hAnsi="標楷體" w:hint="eastAsia"/>
          <w:color w:val="000000"/>
          <w:sz w:val="24"/>
          <w:szCs w:val="24"/>
        </w:rPr>
        <w:t>說    明</w:t>
      </w:r>
      <w:r>
        <w:rPr>
          <w:rFonts w:ascii="全字庫正宋體" w:eastAsia="全字庫正宋體" w:hAnsi="全字庫正宋體" w:cs="全字庫正宋體" w:hint="eastAsia"/>
          <w:color w:val="000000"/>
          <w:sz w:val="24"/>
          <w:szCs w:val="24"/>
        </w:rPr>
        <w:t>：</w:t>
      </w:r>
      <w:r>
        <w:rPr>
          <w:rFonts w:hAnsi="標楷體" w:hint="eastAsia"/>
          <w:color w:val="000000"/>
          <w:sz w:val="24"/>
          <w:szCs w:val="24"/>
        </w:rPr>
        <w:t>表內108至111年度為實際數。</w:t>
      </w:r>
    </w:p>
    <w:p w:rsidR="00A33729" w:rsidRPr="00A33729" w:rsidRDefault="00A33729" w:rsidP="00A33729">
      <w:pPr>
        <w:spacing w:line="360" w:lineRule="exact"/>
        <w:ind w:leftChars="0" w:left="567" w:hangingChars="233" w:hanging="567"/>
        <w:rPr>
          <w:rFonts w:hAnsi="標楷體" w:hint="eastAsia"/>
          <w:color w:val="000000"/>
          <w:sz w:val="24"/>
          <w:szCs w:val="24"/>
        </w:rPr>
      </w:pPr>
      <w:r w:rsidRPr="00A33729">
        <w:rPr>
          <w:rFonts w:hAnsi="標楷體" w:hint="eastAsia"/>
          <w:color w:val="000000"/>
          <w:sz w:val="24"/>
          <w:szCs w:val="24"/>
        </w:rPr>
        <w:t>資料來源：摘錄自臺灣銀行各年度年報統計及臺灣銀行提供。</w:t>
      </w:r>
    </w:p>
    <w:p w:rsidR="00A33729" w:rsidRDefault="00A33729" w:rsidP="00A33729">
      <w:pPr>
        <w:ind w:left="566" w:firstLine="566"/>
        <w:rPr>
          <w:rFonts w:hAnsi="標楷體"/>
          <w:color w:val="000000"/>
        </w:rPr>
      </w:pPr>
      <w:r w:rsidRPr="000C21D7">
        <w:rPr>
          <w:rFonts w:hAnsi="標楷體" w:hint="eastAsia"/>
          <w:color w:val="000000"/>
        </w:rPr>
        <w:t>綜上，臺灣銀行</w:t>
      </w:r>
      <w:r w:rsidR="005C354E">
        <w:rPr>
          <w:rFonts w:hAnsi="標楷體" w:hint="eastAsia"/>
          <w:color w:val="000000"/>
        </w:rPr>
        <w:t>108至111年度</w:t>
      </w:r>
      <w:r w:rsidRPr="000C21D7">
        <w:rPr>
          <w:rFonts w:hAnsi="標楷體" w:hint="eastAsia"/>
          <w:color w:val="000000"/>
        </w:rPr>
        <w:t>手續費</w:t>
      </w:r>
      <w:r w:rsidR="005C354E">
        <w:rPr>
          <w:rFonts w:hAnsi="標楷體" w:hint="eastAsia"/>
          <w:color w:val="000000"/>
        </w:rPr>
        <w:t>收入及其</w:t>
      </w:r>
      <w:r w:rsidRPr="000C21D7">
        <w:rPr>
          <w:rFonts w:hAnsi="標楷體" w:hint="eastAsia"/>
          <w:color w:val="000000"/>
        </w:rPr>
        <w:t>淨收益持續下滑；</w:t>
      </w:r>
      <w:r w:rsidR="005C354E">
        <w:rPr>
          <w:rFonts w:hAnsi="標楷體" w:hint="eastAsia"/>
          <w:color w:val="000000"/>
        </w:rPr>
        <w:t>其中</w:t>
      </w:r>
      <w:r w:rsidRPr="000C21D7">
        <w:rPr>
          <w:rFonts w:hAnsi="標楷體" w:hint="eastAsia"/>
          <w:color w:val="000000"/>
        </w:rPr>
        <w:t>財富管理手續費收入由108年度14.42億元減至111年度6.78億元，業務縮減近半，各該業務辦理績效容有提升空間</w:t>
      </w:r>
      <w:r w:rsidR="005C354E">
        <w:rPr>
          <w:rFonts w:hAnsi="標楷體" w:hint="eastAsia"/>
          <w:color w:val="000000"/>
        </w:rPr>
        <w:t>。該行</w:t>
      </w:r>
      <w:r w:rsidR="005C354E" w:rsidRPr="005C354E">
        <w:rPr>
          <w:rFonts w:hAnsi="標楷體" w:hint="eastAsia"/>
          <w:color w:val="000000"/>
        </w:rPr>
        <w:t>允宜積極利用具備之銷售平台與專業人才等優勢，</w:t>
      </w:r>
      <w:r w:rsidR="005C354E">
        <w:rPr>
          <w:rFonts w:hAnsi="標楷體" w:hint="eastAsia"/>
          <w:color w:val="000000"/>
        </w:rPr>
        <w:t>並就</w:t>
      </w:r>
      <w:r w:rsidR="005C354E" w:rsidRPr="005C354E">
        <w:rPr>
          <w:rFonts w:hAnsi="標楷體" w:hint="eastAsia"/>
          <w:color w:val="000000"/>
        </w:rPr>
        <w:t>主管機關監理措施與全球經濟發展</w:t>
      </w:r>
      <w:r w:rsidR="005C354E">
        <w:rPr>
          <w:rFonts w:hAnsi="標楷體" w:hint="eastAsia"/>
          <w:color w:val="000000"/>
        </w:rPr>
        <w:t>變化，</w:t>
      </w:r>
      <w:r w:rsidR="005C354E" w:rsidRPr="005C354E">
        <w:rPr>
          <w:rFonts w:hAnsi="標楷體" w:hint="eastAsia"/>
          <w:color w:val="000000"/>
        </w:rPr>
        <w:t>滾動調整因應與改善對策</w:t>
      </w:r>
      <w:r w:rsidR="005C354E">
        <w:rPr>
          <w:rFonts w:hAnsi="標楷體" w:hint="eastAsia"/>
          <w:color w:val="000000"/>
        </w:rPr>
        <w:t>，俾</w:t>
      </w:r>
      <w:r w:rsidR="005C354E" w:rsidRPr="005C354E">
        <w:rPr>
          <w:rFonts w:hAnsi="標楷體" w:hint="eastAsia"/>
          <w:color w:val="000000"/>
        </w:rPr>
        <w:t>積極改善各該財富管理業務之推展績效。</w:t>
      </w:r>
    </w:p>
    <w:p w:rsidR="005F45D0" w:rsidRDefault="005F45D0" w:rsidP="00A33729">
      <w:pPr>
        <w:pStyle w:val="14"/>
        <w:ind w:left="567" w:hanging="567"/>
        <w:rPr>
          <w:rFonts w:hAnsi="標楷體"/>
          <w:snapToGrid/>
        </w:rPr>
      </w:pPr>
    </w:p>
    <w:p w:rsidR="00A33729" w:rsidRPr="000C21D7" w:rsidRDefault="00CC3E1F" w:rsidP="00A33729">
      <w:pPr>
        <w:pStyle w:val="14"/>
        <w:ind w:left="567" w:hanging="567"/>
        <w:rPr>
          <w:rFonts w:hAnsi="標楷體"/>
        </w:rPr>
      </w:pPr>
      <w:bookmarkStart w:id="4" w:name="_Toc162964070"/>
      <w:r w:rsidRPr="000C21D7">
        <w:rPr>
          <w:rFonts w:hAnsi="標楷體" w:hint="eastAsia"/>
          <w:snapToGrid/>
        </w:rPr>
        <w:t>三、</w:t>
      </w:r>
      <w:r w:rsidR="008865FC" w:rsidRPr="00A33729">
        <w:rPr>
          <w:rFonts w:hAnsi="標楷體" w:hint="eastAsia"/>
          <w:color w:val="000000"/>
        </w:rPr>
        <w:t>臺灣銀行</w:t>
      </w:r>
      <w:r w:rsidR="00A33729" w:rsidRPr="000C21D7">
        <w:rPr>
          <w:rFonts w:hAnsi="標楷體" w:hint="eastAsia"/>
        </w:rPr>
        <w:t>111年度投資運用公教人員保險準備金之投資收益率為負14.50%，</w:t>
      </w:r>
      <w:r w:rsidR="005C354E">
        <w:rPr>
          <w:rFonts w:hAnsi="標楷體" w:hint="eastAsia"/>
        </w:rPr>
        <w:t>係</w:t>
      </w:r>
      <w:r w:rsidR="00A33729" w:rsidRPr="000C21D7">
        <w:rPr>
          <w:rFonts w:hAnsi="標楷體" w:hint="eastAsia"/>
        </w:rPr>
        <w:t>近10年首度大幅虧損，允宜注意並改善，俾公保準備金永續穩健經營</w:t>
      </w:r>
      <w:bookmarkEnd w:id="4"/>
    </w:p>
    <w:p w:rsidR="00A33729" w:rsidRPr="008F5480" w:rsidRDefault="00A33729" w:rsidP="00A33729">
      <w:pPr>
        <w:adjustRightInd w:val="0"/>
        <w:ind w:left="566" w:firstLine="566"/>
        <w:rPr>
          <w:rFonts w:hAnsi="標楷體"/>
          <w:color w:val="000000"/>
        </w:rPr>
      </w:pPr>
      <w:r w:rsidRPr="00A33729">
        <w:rPr>
          <w:rFonts w:hAnsi="標楷體" w:hint="eastAsia"/>
        </w:rPr>
        <w:t>臺灣銀行11</w:t>
      </w:r>
      <w:r w:rsidR="00644FE4" w:rsidRPr="000C21D7">
        <w:rPr>
          <w:rFonts w:hAnsi="標楷體" w:hint="eastAsia"/>
        </w:rPr>
        <w:t>1</w:t>
      </w:r>
      <w:r w:rsidRPr="00A33729">
        <w:rPr>
          <w:rFonts w:hAnsi="標楷體" w:hint="eastAsia"/>
        </w:rPr>
        <w:t>年度預算</w:t>
      </w:r>
      <w:r w:rsidR="007B5651">
        <w:rPr>
          <w:rFonts w:hAnsi="標楷體" w:hint="eastAsia"/>
        </w:rPr>
        <w:t>編列「</w:t>
      </w:r>
      <w:r w:rsidRPr="00A33729">
        <w:rPr>
          <w:rFonts w:hAnsi="標楷體" w:hint="eastAsia"/>
        </w:rPr>
        <w:t>保險業務</w:t>
      </w:r>
      <w:r w:rsidR="007B5651">
        <w:rPr>
          <w:rFonts w:hAnsi="標楷體" w:hint="eastAsia"/>
        </w:rPr>
        <w:t>」</w:t>
      </w:r>
      <w:r w:rsidR="007B5651" w:rsidRPr="008F5480">
        <w:rPr>
          <w:rFonts w:hAnsi="標楷體" w:hint="eastAsia"/>
          <w:color w:val="000000"/>
        </w:rPr>
        <w:t>之</w:t>
      </w:r>
      <w:r w:rsidRPr="008F5480">
        <w:rPr>
          <w:rFonts w:hAnsi="標楷體" w:hint="eastAsia"/>
          <w:color w:val="000000"/>
        </w:rPr>
        <w:t>營運</w:t>
      </w:r>
      <w:r w:rsidR="007B5651" w:rsidRPr="008F5480">
        <w:rPr>
          <w:rFonts w:hAnsi="標楷體" w:hint="eastAsia"/>
          <w:color w:val="000000"/>
        </w:rPr>
        <w:t>值</w:t>
      </w:r>
      <w:r w:rsidRPr="008F5480">
        <w:rPr>
          <w:rFonts w:hAnsi="標楷體" w:hint="eastAsia"/>
          <w:color w:val="000000"/>
        </w:rPr>
        <w:t>為2</w:t>
      </w:r>
      <w:r w:rsidR="007B5651" w:rsidRPr="008F5480">
        <w:rPr>
          <w:rFonts w:hAnsi="標楷體" w:hint="eastAsia"/>
          <w:color w:val="000000"/>
        </w:rPr>
        <w:t>32</w:t>
      </w:r>
      <w:r w:rsidRPr="008F5480">
        <w:rPr>
          <w:rFonts w:hAnsi="標楷體" w:hint="eastAsia"/>
          <w:color w:val="000000"/>
        </w:rPr>
        <w:t>億</w:t>
      </w:r>
      <w:r w:rsidR="007B5651" w:rsidRPr="008F5480">
        <w:rPr>
          <w:rFonts w:hAnsi="標楷體" w:hint="eastAsia"/>
          <w:color w:val="000000"/>
        </w:rPr>
        <w:t>9</w:t>
      </w:r>
      <w:r w:rsidRPr="008F5480">
        <w:rPr>
          <w:rFonts w:hAnsi="標楷體"/>
          <w:color w:val="000000"/>
        </w:rPr>
        <w:t>,</w:t>
      </w:r>
      <w:r w:rsidR="007B5651" w:rsidRPr="008F5480">
        <w:rPr>
          <w:rFonts w:hAnsi="標楷體" w:hint="eastAsia"/>
          <w:color w:val="000000"/>
        </w:rPr>
        <w:t>5</w:t>
      </w:r>
      <w:r w:rsidRPr="008F5480">
        <w:rPr>
          <w:rFonts w:hAnsi="標楷體" w:hint="eastAsia"/>
          <w:color w:val="000000"/>
        </w:rPr>
        <w:t>00萬元</w:t>
      </w:r>
      <w:r w:rsidR="007B5651" w:rsidRPr="008F5480">
        <w:rPr>
          <w:rFonts w:hAnsi="標楷體" w:hint="eastAsia"/>
          <w:color w:val="000000"/>
        </w:rPr>
        <w:t>(</w:t>
      </w:r>
      <w:r w:rsidRPr="008F5480">
        <w:rPr>
          <w:rFonts w:hAnsi="標楷體" w:hint="eastAsia"/>
          <w:color w:val="000000"/>
        </w:rPr>
        <w:t>包括公教人員保險23</w:t>
      </w:r>
      <w:r w:rsidR="007B5651" w:rsidRPr="008F5480">
        <w:rPr>
          <w:rFonts w:hAnsi="標楷體" w:hint="eastAsia"/>
          <w:color w:val="000000"/>
        </w:rPr>
        <w:t>2</w:t>
      </w:r>
      <w:r w:rsidRPr="008F5480">
        <w:rPr>
          <w:rFonts w:hAnsi="標楷體" w:hint="eastAsia"/>
          <w:color w:val="000000"/>
        </w:rPr>
        <w:t>億</w:t>
      </w:r>
      <w:r w:rsidR="007B5651" w:rsidRPr="008F5480">
        <w:rPr>
          <w:rFonts w:hAnsi="標楷體" w:hint="eastAsia"/>
          <w:color w:val="000000"/>
        </w:rPr>
        <w:t>9</w:t>
      </w:r>
      <w:r w:rsidRPr="008F5480">
        <w:rPr>
          <w:rFonts w:hAnsi="標楷體"/>
          <w:color w:val="000000"/>
        </w:rPr>
        <w:t>,</w:t>
      </w:r>
      <w:r w:rsidR="007B5651" w:rsidRPr="008F5480">
        <w:rPr>
          <w:rFonts w:hAnsi="標楷體" w:hint="eastAsia"/>
          <w:color w:val="000000"/>
        </w:rPr>
        <w:t>489</w:t>
      </w:r>
      <w:r w:rsidRPr="008F5480">
        <w:rPr>
          <w:rFonts w:hAnsi="標楷體" w:hint="eastAsia"/>
          <w:color w:val="000000"/>
        </w:rPr>
        <w:t>萬</w:t>
      </w:r>
      <w:r w:rsidR="007B5651" w:rsidRPr="008F5480">
        <w:rPr>
          <w:rFonts w:hAnsi="標楷體" w:hint="eastAsia"/>
          <w:color w:val="000000"/>
        </w:rPr>
        <w:t>9</w:t>
      </w:r>
      <w:r w:rsidRPr="008F5480">
        <w:rPr>
          <w:rFonts w:hAnsi="標楷體" w:hint="eastAsia"/>
          <w:color w:val="000000"/>
        </w:rPr>
        <w:t>千元及退休人員保險</w:t>
      </w:r>
      <w:r w:rsidR="007B5651" w:rsidRPr="008F5480">
        <w:rPr>
          <w:rFonts w:hAnsi="標楷體" w:hint="eastAsia"/>
          <w:color w:val="000000"/>
        </w:rPr>
        <w:t>10</w:t>
      </w:r>
      <w:r w:rsidRPr="008F5480">
        <w:rPr>
          <w:rFonts w:hAnsi="標楷體" w:hint="eastAsia"/>
          <w:color w:val="000000"/>
        </w:rPr>
        <w:t>萬</w:t>
      </w:r>
      <w:r w:rsidR="007B5651" w:rsidRPr="008F5480">
        <w:rPr>
          <w:rFonts w:hAnsi="標楷體" w:hint="eastAsia"/>
          <w:color w:val="000000"/>
        </w:rPr>
        <w:t>1</w:t>
      </w:r>
      <w:r w:rsidRPr="008F5480">
        <w:rPr>
          <w:rFonts w:hAnsi="標楷體" w:hint="eastAsia"/>
          <w:color w:val="000000"/>
        </w:rPr>
        <w:t>千元)</w:t>
      </w:r>
      <w:r w:rsidR="007B5651" w:rsidRPr="008F5480">
        <w:rPr>
          <w:rFonts w:hAnsi="標楷體" w:hint="eastAsia"/>
          <w:color w:val="000000"/>
        </w:rPr>
        <w:t>，決算數為226億2,613萬1千元(包括公教人員保險226億2,600萬8千元及退休人員保險12萬3千元)，預算達成率97.13%。</w:t>
      </w:r>
      <w:r w:rsidRPr="00A33729">
        <w:rPr>
          <w:rFonts w:hAnsi="標楷體" w:hint="eastAsia"/>
        </w:rPr>
        <w:t>主要係執行政府政策，受委託辦理公教人員保險(以下簡稱公保)準備金運用及管理事項，並於「其他營業收入」</w:t>
      </w:r>
      <w:r w:rsidRPr="008F5480">
        <w:rPr>
          <w:rFonts w:hAnsi="標楷體" w:hint="eastAsia"/>
          <w:color w:val="000000"/>
        </w:rPr>
        <w:t>項下編列銓敘部補助事務費收入2億</w:t>
      </w:r>
      <w:r w:rsidR="00BC3E2A" w:rsidRPr="008F5480">
        <w:rPr>
          <w:rFonts w:hAnsi="標楷體" w:hint="eastAsia"/>
          <w:color w:val="000000"/>
        </w:rPr>
        <w:t>4</w:t>
      </w:r>
      <w:r w:rsidR="00BC3E2A" w:rsidRPr="008F5480">
        <w:rPr>
          <w:rFonts w:hAnsi="標楷體"/>
          <w:color w:val="000000"/>
        </w:rPr>
        <w:t>,</w:t>
      </w:r>
      <w:r w:rsidR="00BC3E2A" w:rsidRPr="008F5480">
        <w:rPr>
          <w:rFonts w:hAnsi="標楷體" w:hint="eastAsia"/>
          <w:color w:val="000000"/>
        </w:rPr>
        <w:t>531</w:t>
      </w:r>
      <w:r w:rsidRPr="008F5480">
        <w:rPr>
          <w:rFonts w:hAnsi="標楷體" w:hint="eastAsia"/>
          <w:color w:val="000000"/>
        </w:rPr>
        <w:t>萬</w:t>
      </w:r>
      <w:r w:rsidR="00BC3E2A" w:rsidRPr="008F5480">
        <w:rPr>
          <w:rFonts w:hAnsi="標楷體" w:hint="eastAsia"/>
          <w:color w:val="000000"/>
        </w:rPr>
        <w:t>9</w:t>
      </w:r>
      <w:r w:rsidRPr="008F5480">
        <w:rPr>
          <w:rFonts w:hAnsi="標楷體" w:hint="eastAsia"/>
          <w:color w:val="000000"/>
        </w:rPr>
        <w:t>千元</w:t>
      </w:r>
      <w:r w:rsidR="00BC3E2A" w:rsidRPr="008F5480">
        <w:rPr>
          <w:rFonts w:hAnsi="標楷體" w:hint="eastAsia"/>
          <w:color w:val="000000"/>
        </w:rPr>
        <w:t>，決算數同</w:t>
      </w:r>
      <w:r w:rsidR="00BC3E2A" w:rsidRPr="008F5480">
        <w:rPr>
          <w:rStyle w:val="afa"/>
          <w:rFonts w:hAnsi="標楷體"/>
          <w:color w:val="000000"/>
        </w:rPr>
        <w:footnoteReference w:id="3"/>
      </w:r>
      <w:r w:rsidRPr="008F5480">
        <w:rPr>
          <w:rFonts w:hAnsi="標楷體" w:hint="eastAsia"/>
          <w:color w:val="000000"/>
        </w:rPr>
        <w:t>。</w:t>
      </w:r>
    </w:p>
    <w:p w:rsidR="00A33729" w:rsidRPr="00A33729" w:rsidRDefault="00A33729" w:rsidP="00A33729">
      <w:pPr>
        <w:adjustRightInd w:val="0"/>
        <w:ind w:left="566" w:firstLine="566"/>
        <w:rPr>
          <w:rFonts w:hAnsi="標楷體"/>
        </w:rPr>
      </w:pPr>
      <w:r w:rsidRPr="00A33729">
        <w:rPr>
          <w:rFonts w:hAnsi="標楷體" w:hint="eastAsia"/>
        </w:rPr>
        <w:t>據該行說明，公保準備金係屬長期性之退休型基金，其操作本質係以長期投資角度進行資產配置，透過長期穩定之投資布局，以增加投資績效，達到永續經營之目的。參據</w:t>
      </w:r>
      <w:r w:rsidR="005C354E">
        <w:rPr>
          <w:rFonts w:hAnsi="標楷體" w:hint="eastAsia"/>
        </w:rPr>
        <w:t>102至111</w:t>
      </w:r>
      <w:r w:rsidRPr="00A33729">
        <w:rPr>
          <w:rFonts w:hAnsi="標楷體" w:hint="eastAsia"/>
        </w:rPr>
        <w:t>年</w:t>
      </w:r>
      <w:r w:rsidR="005C354E">
        <w:rPr>
          <w:rFonts w:hAnsi="標楷體" w:hint="eastAsia"/>
        </w:rPr>
        <w:t>度</w:t>
      </w:r>
      <w:r w:rsidRPr="00A33729">
        <w:rPr>
          <w:rFonts w:hAnsi="標楷體" w:hint="eastAsia"/>
        </w:rPr>
        <w:t>公保財務收支決算情形(詳表1)，政府每年補助費用(包括銓敘部補助公教人員保險事務經費及臺灣銀行補助之聯行其他收入)均逾2億元</w:t>
      </w:r>
      <w:r w:rsidR="005C354E">
        <w:rPr>
          <w:rFonts w:hAnsi="標楷體" w:hint="eastAsia"/>
        </w:rPr>
        <w:t>；另</w:t>
      </w:r>
      <w:r w:rsidRPr="00A33729">
        <w:rPr>
          <w:rFonts w:hAnsi="標楷體" w:hint="eastAsia"/>
        </w:rPr>
        <w:t>除111年度外，各年度均為賸餘，111年度由餘轉絀，且短絀數達430億1,675萬元，是近10年首度大幅虧損。</w:t>
      </w:r>
    </w:p>
    <w:p w:rsidR="00A33729" w:rsidRPr="00A33729" w:rsidRDefault="00A33729" w:rsidP="00A33729">
      <w:pPr>
        <w:adjustRightInd w:val="0"/>
        <w:ind w:left="566" w:firstLine="566"/>
        <w:rPr>
          <w:rFonts w:hAnsi="標楷體"/>
        </w:rPr>
      </w:pPr>
      <w:r w:rsidRPr="00A33729">
        <w:rPr>
          <w:rFonts w:hAnsi="標楷體" w:hint="eastAsia"/>
        </w:rPr>
        <w:t>參據111年度決算書所載，111年底止公保準備金運用金額為3,579.7億元，經評價後整體投資收益率為負12.91%，倘扣除新臺幣存款及墊借國庫等運用項目，該行投資運用金額為3,206.69億元(占比89.58%)，評價後投資收益率為負14.50%，較評價後整體投資收益率</w:t>
      </w:r>
      <w:r w:rsidR="005C354E">
        <w:rPr>
          <w:rFonts w:hAnsi="標楷體" w:hint="eastAsia"/>
        </w:rPr>
        <w:t>負值增加，</w:t>
      </w:r>
      <w:r w:rsidR="005C354E" w:rsidRPr="005C354E">
        <w:rPr>
          <w:rFonts w:hAnsi="標楷體" w:hint="eastAsia"/>
        </w:rPr>
        <w:t>致111年底止之公保準備金淨值為4,103億7,752萬9千元，較110年底止(4,533億9,427萬8千元)減少430億1,674萬9千元(減幅9.49%)。</w:t>
      </w:r>
      <w:r w:rsidRPr="00A33729">
        <w:rPr>
          <w:rFonts w:hAnsi="標楷體" w:hint="eastAsia"/>
        </w:rPr>
        <w:t>該行稱係因全球高通膨及高升息等影響下修經濟成長率，且金融市場表現不佳，股債雙跌導致短期績效受有影響，該準備金投資於資本利得型資產部位近半，其中配置於半導體及科技類股之比重較高，加上基期相對偏高，致公保準備金投資按公允價值衡量之金融資產產生未實現評價損失偏高。</w:t>
      </w:r>
    </w:p>
    <w:p w:rsidR="00A33729" w:rsidRPr="00A33729" w:rsidRDefault="00A33729" w:rsidP="00A33729">
      <w:pPr>
        <w:ind w:leftChars="-50" w:left="-142" w:firstLineChars="0" w:firstLine="0"/>
        <w:rPr>
          <w:rFonts w:hAnsi="標楷體"/>
          <w:b/>
        </w:rPr>
      </w:pPr>
      <w:r w:rsidRPr="00A33729">
        <w:rPr>
          <w:rFonts w:hAnsi="標楷體" w:hint="eastAsia"/>
          <w:b/>
        </w:rPr>
        <w:t>表1 102至11</w:t>
      </w:r>
      <w:r w:rsidR="00644FE4" w:rsidRPr="000C21D7">
        <w:rPr>
          <w:rFonts w:hAnsi="標楷體" w:hint="eastAsia"/>
          <w:b/>
        </w:rPr>
        <w:t>1</w:t>
      </w:r>
      <w:r w:rsidRPr="00A33729">
        <w:rPr>
          <w:rFonts w:hAnsi="標楷體" w:hint="eastAsia"/>
          <w:b/>
        </w:rPr>
        <w:t>年度公教人員保險財務收支決算概況表</w:t>
      </w:r>
    </w:p>
    <w:p w:rsidR="00A33729" w:rsidRPr="00A33729" w:rsidRDefault="00A33729" w:rsidP="00A33729">
      <w:pPr>
        <w:spacing w:line="340" w:lineRule="exact"/>
        <w:ind w:leftChars="-50" w:left="-142" w:firstLineChars="0" w:firstLine="0"/>
        <w:rPr>
          <w:rFonts w:hAnsi="標楷體" w:cs="全字庫正宋體"/>
          <w:sz w:val="24"/>
          <w:szCs w:val="24"/>
        </w:rPr>
      </w:pPr>
      <w:r w:rsidRPr="00A33729">
        <w:rPr>
          <w:rFonts w:hAnsi="標楷體" w:hint="eastAsia"/>
          <w:sz w:val="24"/>
          <w:szCs w:val="24"/>
        </w:rPr>
        <w:t xml:space="preserve">                                                        單位</w:t>
      </w:r>
      <w:r w:rsidRPr="00A33729">
        <w:rPr>
          <w:rFonts w:hAnsi="標楷體" w:cs="全字庫正宋體" w:hint="eastAsia"/>
          <w:sz w:val="24"/>
          <w:szCs w:val="24"/>
        </w:rPr>
        <w:t>：新臺幣千元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17"/>
        <w:gridCol w:w="1935"/>
        <w:gridCol w:w="1936"/>
        <w:gridCol w:w="1657"/>
        <w:gridCol w:w="2215"/>
      </w:tblGrid>
      <w:tr w:rsidR="00A33729" w:rsidRPr="00A33729" w:rsidTr="0026307A">
        <w:trPr>
          <w:tblHeader/>
        </w:trPr>
        <w:tc>
          <w:tcPr>
            <w:tcW w:w="81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年度</w:t>
            </w:r>
          </w:p>
        </w:tc>
        <w:tc>
          <w:tcPr>
            <w:tcW w:w="1935"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總收入</w:t>
            </w:r>
          </w:p>
        </w:tc>
        <w:tc>
          <w:tcPr>
            <w:tcW w:w="1936"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總支出</w:t>
            </w:r>
          </w:p>
        </w:tc>
        <w:tc>
          <w:tcPr>
            <w:tcW w:w="165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餘(絀)</w:t>
            </w:r>
          </w:p>
        </w:tc>
        <w:tc>
          <w:tcPr>
            <w:tcW w:w="2215"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政府補助事務費</w:t>
            </w:r>
          </w:p>
        </w:tc>
      </w:tr>
      <w:tr w:rsidR="00A33729" w:rsidRPr="00A33729" w:rsidTr="0026307A">
        <w:tc>
          <w:tcPr>
            <w:tcW w:w="81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102</w:t>
            </w:r>
          </w:p>
        </w:tc>
        <w:tc>
          <w:tcPr>
            <w:tcW w:w="193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36</w:t>
            </w:r>
            <w:r w:rsidRPr="00A33729">
              <w:rPr>
                <w:rFonts w:hAnsi="標楷體"/>
                <w:sz w:val="24"/>
                <w:szCs w:val="24"/>
              </w:rPr>
              <w:t>,151,850</w:t>
            </w:r>
          </w:p>
        </w:tc>
        <w:tc>
          <w:tcPr>
            <w:tcW w:w="1936"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1</w:t>
            </w:r>
            <w:r w:rsidRPr="00A33729">
              <w:rPr>
                <w:rFonts w:hAnsi="標楷體"/>
                <w:sz w:val="24"/>
                <w:szCs w:val="24"/>
              </w:rPr>
              <w:t>4,231,379</w:t>
            </w:r>
          </w:p>
        </w:tc>
        <w:tc>
          <w:tcPr>
            <w:tcW w:w="1657"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1,920,471</w:t>
            </w:r>
          </w:p>
        </w:tc>
        <w:tc>
          <w:tcPr>
            <w:tcW w:w="221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22,799</w:t>
            </w:r>
          </w:p>
        </w:tc>
      </w:tr>
      <w:tr w:rsidR="00A33729" w:rsidRPr="00A33729" w:rsidTr="0026307A">
        <w:tc>
          <w:tcPr>
            <w:tcW w:w="81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103</w:t>
            </w:r>
          </w:p>
        </w:tc>
        <w:tc>
          <w:tcPr>
            <w:tcW w:w="193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3</w:t>
            </w:r>
            <w:r w:rsidRPr="00A33729">
              <w:rPr>
                <w:rFonts w:hAnsi="標楷體"/>
                <w:sz w:val="24"/>
                <w:szCs w:val="24"/>
              </w:rPr>
              <w:t>6,864,274</w:t>
            </w:r>
          </w:p>
        </w:tc>
        <w:tc>
          <w:tcPr>
            <w:tcW w:w="1936"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1</w:t>
            </w:r>
            <w:r w:rsidRPr="00A33729">
              <w:rPr>
                <w:rFonts w:hAnsi="標楷體"/>
                <w:sz w:val="24"/>
                <w:szCs w:val="24"/>
              </w:rPr>
              <w:t>2,989,043</w:t>
            </w:r>
          </w:p>
        </w:tc>
        <w:tc>
          <w:tcPr>
            <w:tcW w:w="1657"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3,875,232</w:t>
            </w:r>
          </w:p>
        </w:tc>
        <w:tc>
          <w:tcPr>
            <w:tcW w:w="221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28,068</w:t>
            </w:r>
          </w:p>
        </w:tc>
      </w:tr>
      <w:tr w:rsidR="00A33729" w:rsidRPr="00A33729" w:rsidTr="0026307A">
        <w:tc>
          <w:tcPr>
            <w:tcW w:w="81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104</w:t>
            </w:r>
          </w:p>
        </w:tc>
        <w:tc>
          <w:tcPr>
            <w:tcW w:w="193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3</w:t>
            </w:r>
            <w:r w:rsidRPr="00A33729">
              <w:rPr>
                <w:rFonts w:hAnsi="標楷體"/>
                <w:sz w:val="24"/>
                <w:szCs w:val="24"/>
              </w:rPr>
              <w:t>1,640,904</w:t>
            </w:r>
          </w:p>
        </w:tc>
        <w:tc>
          <w:tcPr>
            <w:tcW w:w="1936"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6,113,535</w:t>
            </w:r>
          </w:p>
        </w:tc>
        <w:tc>
          <w:tcPr>
            <w:tcW w:w="1657"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5</w:t>
            </w:r>
            <w:r w:rsidRPr="00A33729">
              <w:rPr>
                <w:rFonts w:hAnsi="標楷體"/>
                <w:sz w:val="24"/>
                <w:szCs w:val="24"/>
              </w:rPr>
              <w:t>,527,369</w:t>
            </w:r>
          </w:p>
        </w:tc>
        <w:tc>
          <w:tcPr>
            <w:tcW w:w="221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24,628</w:t>
            </w:r>
          </w:p>
        </w:tc>
      </w:tr>
      <w:tr w:rsidR="00A33729" w:rsidRPr="00A33729" w:rsidTr="0026307A">
        <w:tc>
          <w:tcPr>
            <w:tcW w:w="81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105</w:t>
            </w:r>
          </w:p>
        </w:tc>
        <w:tc>
          <w:tcPr>
            <w:tcW w:w="193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4</w:t>
            </w:r>
            <w:r w:rsidRPr="00A33729">
              <w:rPr>
                <w:rFonts w:hAnsi="標楷體"/>
                <w:sz w:val="24"/>
                <w:szCs w:val="24"/>
              </w:rPr>
              <w:t>0,187,279</w:t>
            </w:r>
          </w:p>
        </w:tc>
        <w:tc>
          <w:tcPr>
            <w:tcW w:w="1936"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1,345,215</w:t>
            </w:r>
          </w:p>
        </w:tc>
        <w:tc>
          <w:tcPr>
            <w:tcW w:w="1657"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1</w:t>
            </w:r>
            <w:r w:rsidRPr="00A33729">
              <w:rPr>
                <w:rFonts w:hAnsi="標楷體"/>
                <w:sz w:val="24"/>
                <w:szCs w:val="24"/>
              </w:rPr>
              <w:t>8,842,064</w:t>
            </w:r>
          </w:p>
        </w:tc>
        <w:tc>
          <w:tcPr>
            <w:tcW w:w="221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24,247</w:t>
            </w:r>
          </w:p>
        </w:tc>
      </w:tr>
      <w:tr w:rsidR="00A33729" w:rsidRPr="00A33729" w:rsidTr="0026307A">
        <w:tc>
          <w:tcPr>
            <w:tcW w:w="81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106</w:t>
            </w:r>
          </w:p>
        </w:tc>
        <w:tc>
          <w:tcPr>
            <w:tcW w:w="193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5</w:t>
            </w:r>
            <w:r w:rsidRPr="00A33729">
              <w:rPr>
                <w:rFonts w:hAnsi="標楷體"/>
                <w:sz w:val="24"/>
                <w:szCs w:val="24"/>
              </w:rPr>
              <w:t>1,428,813</w:t>
            </w:r>
          </w:p>
        </w:tc>
        <w:tc>
          <w:tcPr>
            <w:tcW w:w="1936"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1,215,919</w:t>
            </w:r>
          </w:p>
        </w:tc>
        <w:tc>
          <w:tcPr>
            <w:tcW w:w="1657"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3</w:t>
            </w:r>
            <w:r w:rsidRPr="00A33729">
              <w:rPr>
                <w:rFonts w:hAnsi="標楷體"/>
                <w:sz w:val="24"/>
                <w:szCs w:val="24"/>
              </w:rPr>
              <w:t>0,212,894</w:t>
            </w:r>
          </w:p>
        </w:tc>
        <w:tc>
          <w:tcPr>
            <w:tcW w:w="221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25,729</w:t>
            </w:r>
          </w:p>
        </w:tc>
      </w:tr>
      <w:tr w:rsidR="00A33729" w:rsidRPr="00A33729" w:rsidTr="0026307A">
        <w:tc>
          <w:tcPr>
            <w:tcW w:w="81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107</w:t>
            </w:r>
          </w:p>
        </w:tc>
        <w:tc>
          <w:tcPr>
            <w:tcW w:w="193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3</w:t>
            </w:r>
            <w:r w:rsidRPr="00A33729">
              <w:rPr>
                <w:rFonts w:hAnsi="標楷體"/>
                <w:sz w:val="24"/>
                <w:szCs w:val="24"/>
              </w:rPr>
              <w:t>7,482,014</w:t>
            </w:r>
          </w:p>
        </w:tc>
        <w:tc>
          <w:tcPr>
            <w:tcW w:w="1936"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3</w:t>
            </w:r>
            <w:r w:rsidRPr="00A33729">
              <w:rPr>
                <w:rFonts w:hAnsi="標楷體"/>
                <w:sz w:val="24"/>
                <w:szCs w:val="24"/>
              </w:rPr>
              <w:t>6,112,312</w:t>
            </w:r>
          </w:p>
        </w:tc>
        <w:tc>
          <w:tcPr>
            <w:tcW w:w="1657"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1</w:t>
            </w:r>
            <w:r w:rsidRPr="00A33729">
              <w:rPr>
                <w:rFonts w:hAnsi="標楷體"/>
                <w:sz w:val="24"/>
                <w:szCs w:val="24"/>
              </w:rPr>
              <w:t>,369,702</w:t>
            </w:r>
          </w:p>
        </w:tc>
        <w:tc>
          <w:tcPr>
            <w:tcW w:w="221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28,117</w:t>
            </w:r>
          </w:p>
        </w:tc>
      </w:tr>
      <w:tr w:rsidR="00A33729" w:rsidRPr="00A33729" w:rsidTr="0026307A">
        <w:tc>
          <w:tcPr>
            <w:tcW w:w="81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108</w:t>
            </w:r>
          </w:p>
        </w:tc>
        <w:tc>
          <w:tcPr>
            <w:tcW w:w="193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66</w:t>
            </w:r>
            <w:r w:rsidRPr="00A33729">
              <w:rPr>
                <w:rFonts w:hAnsi="標楷體"/>
                <w:sz w:val="24"/>
                <w:szCs w:val="24"/>
              </w:rPr>
              <w:t>,627,081</w:t>
            </w:r>
          </w:p>
        </w:tc>
        <w:tc>
          <w:tcPr>
            <w:tcW w:w="1936"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1,269,329</w:t>
            </w:r>
          </w:p>
        </w:tc>
        <w:tc>
          <w:tcPr>
            <w:tcW w:w="1657"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4</w:t>
            </w:r>
            <w:r w:rsidRPr="00A33729">
              <w:rPr>
                <w:rFonts w:hAnsi="標楷體"/>
                <w:sz w:val="24"/>
                <w:szCs w:val="24"/>
              </w:rPr>
              <w:t>5,357,751</w:t>
            </w:r>
          </w:p>
        </w:tc>
        <w:tc>
          <w:tcPr>
            <w:tcW w:w="221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42,866</w:t>
            </w:r>
          </w:p>
        </w:tc>
      </w:tr>
      <w:tr w:rsidR="00A33729" w:rsidRPr="00A33729" w:rsidTr="0026307A">
        <w:tc>
          <w:tcPr>
            <w:tcW w:w="81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109</w:t>
            </w:r>
          </w:p>
        </w:tc>
        <w:tc>
          <w:tcPr>
            <w:tcW w:w="193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7</w:t>
            </w:r>
            <w:r w:rsidRPr="00A33729">
              <w:rPr>
                <w:rFonts w:hAnsi="標楷體"/>
                <w:sz w:val="24"/>
                <w:szCs w:val="24"/>
              </w:rPr>
              <w:t>9,980,454</w:t>
            </w:r>
          </w:p>
        </w:tc>
        <w:tc>
          <w:tcPr>
            <w:tcW w:w="1936"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2,543,256</w:t>
            </w:r>
          </w:p>
        </w:tc>
        <w:tc>
          <w:tcPr>
            <w:tcW w:w="1657"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5</w:t>
            </w:r>
            <w:r w:rsidRPr="00A33729">
              <w:rPr>
                <w:rFonts w:hAnsi="標楷體"/>
                <w:sz w:val="24"/>
                <w:szCs w:val="24"/>
              </w:rPr>
              <w:t>7,437,198</w:t>
            </w:r>
          </w:p>
        </w:tc>
        <w:tc>
          <w:tcPr>
            <w:tcW w:w="221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53,955</w:t>
            </w:r>
          </w:p>
        </w:tc>
      </w:tr>
      <w:tr w:rsidR="00A33729" w:rsidRPr="00A33729" w:rsidTr="0026307A">
        <w:tc>
          <w:tcPr>
            <w:tcW w:w="81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110</w:t>
            </w:r>
          </w:p>
        </w:tc>
        <w:tc>
          <w:tcPr>
            <w:tcW w:w="193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7</w:t>
            </w:r>
            <w:r w:rsidRPr="00A33729">
              <w:rPr>
                <w:rFonts w:hAnsi="標楷體"/>
                <w:sz w:val="24"/>
                <w:szCs w:val="24"/>
              </w:rPr>
              <w:t>5,121,815</w:t>
            </w:r>
          </w:p>
        </w:tc>
        <w:tc>
          <w:tcPr>
            <w:tcW w:w="1936"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0,636,440</w:t>
            </w:r>
          </w:p>
        </w:tc>
        <w:tc>
          <w:tcPr>
            <w:tcW w:w="1657"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5</w:t>
            </w:r>
            <w:r w:rsidRPr="00A33729">
              <w:rPr>
                <w:rFonts w:hAnsi="標楷體"/>
                <w:sz w:val="24"/>
                <w:szCs w:val="24"/>
              </w:rPr>
              <w:t>4,485,375</w:t>
            </w:r>
          </w:p>
        </w:tc>
        <w:tc>
          <w:tcPr>
            <w:tcW w:w="221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58,773</w:t>
            </w:r>
          </w:p>
        </w:tc>
      </w:tr>
      <w:tr w:rsidR="00A33729" w:rsidRPr="00A33729" w:rsidTr="0026307A">
        <w:tc>
          <w:tcPr>
            <w:tcW w:w="81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111</w:t>
            </w:r>
          </w:p>
        </w:tc>
        <w:tc>
          <w:tcPr>
            <w:tcW w:w="193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5</w:t>
            </w:r>
            <w:r w:rsidRPr="00A33729">
              <w:rPr>
                <w:rFonts w:hAnsi="標楷體"/>
                <w:sz w:val="24"/>
                <w:szCs w:val="24"/>
              </w:rPr>
              <w:t>0,355,107</w:t>
            </w:r>
          </w:p>
        </w:tc>
        <w:tc>
          <w:tcPr>
            <w:tcW w:w="1936"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9</w:t>
            </w:r>
            <w:r w:rsidRPr="00A33729">
              <w:rPr>
                <w:rFonts w:hAnsi="標楷體"/>
                <w:sz w:val="24"/>
                <w:szCs w:val="24"/>
              </w:rPr>
              <w:t>3,371,857</w:t>
            </w:r>
          </w:p>
        </w:tc>
        <w:tc>
          <w:tcPr>
            <w:tcW w:w="1657"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sz w:val="24"/>
                <w:szCs w:val="24"/>
              </w:rPr>
              <w:t>(43,016,750)</w:t>
            </w:r>
          </w:p>
        </w:tc>
        <w:tc>
          <w:tcPr>
            <w:tcW w:w="221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52,783</w:t>
            </w:r>
          </w:p>
        </w:tc>
      </w:tr>
    </w:tbl>
    <w:p w:rsidR="00A33729" w:rsidRPr="00A33729" w:rsidRDefault="00A33729" w:rsidP="00644FE4">
      <w:pPr>
        <w:spacing w:line="300" w:lineRule="exact"/>
        <w:ind w:leftChars="0" w:left="1459" w:hangingChars="600" w:hanging="1459"/>
        <w:jc w:val="left"/>
        <w:rPr>
          <w:rFonts w:hAnsi="標楷體"/>
          <w:sz w:val="24"/>
          <w:szCs w:val="24"/>
        </w:rPr>
      </w:pPr>
      <w:r w:rsidRPr="00A33729">
        <w:rPr>
          <w:rFonts w:hAnsi="標楷體" w:hint="eastAsia"/>
          <w:sz w:val="24"/>
          <w:szCs w:val="24"/>
        </w:rPr>
        <w:t>說    明</w:t>
      </w:r>
      <w:r w:rsidRPr="00A33729">
        <w:rPr>
          <w:rFonts w:hAnsi="標楷體" w:cs="全字庫正宋體" w:hint="eastAsia"/>
          <w:sz w:val="24"/>
          <w:szCs w:val="24"/>
        </w:rPr>
        <w:t>：1</w:t>
      </w:r>
      <w:r w:rsidR="00644FE4" w:rsidRPr="000C21D7">
        <w:rPr>
          <w:rFonts w:hAnsi="標楷體" w:cs="全字庫正宋體" w:hint="eastAsia"/>
          <w:sz w:val="24"/>
          <w:szCs w:val="24"/>
        </w:rPr>
        <w:t>.</w:t>
      </w:r>
      <w:r w:rsidRPr="00A33729">
        <w:rPr>
          <w:rFonts w:hAnsi="標楷體" w:hint="eastAsia"/>
          <w:sz w:val="24"/>
          <w:szCs w:val="24"/>
        </w:rPr>
        <w:t>政府補助事務費包括銓敘部補助公教人員保險事務經費及臺灣銀行補助之聯行其他收入。</w:t>
      </w:r>
    </w:p>
    <w:p w:rsidR="00A33729" w:rsidRPr="00A33729" w:rsidRDefault="00A33729" w:rsidP="00A33729">
      <w:pPr>
        <w:spacing w:line="300" w:lineRule="exact"/>
        <w:ind w:leftChars="0" w:left="0" w:firstLineChars="0" w:firstLine="0"/>
        <w:jc w:val="left"/>
        <w:rPr>
          <w:rFonts w:hAnsi="標楷體" w:hint="eastAsia"/>
          <w:sz w:val="24"/>
          <w:szCs w:val="24"/>
        </w:rPr>
      </w:pPr>
      <w:r w:rsidRPr="00A33729">
        <w:rPr>
          <w:rFonts w:hAnsi="標楷體" w:hint="eastAsia"/>
          <w:sz w:val="24"/>
          <w:szCs w:val="24"/>
        </w:rPr>
        <w:t>資料來源</w:t>
      </w:r>
      <w:r w:rsidRPr="00A33729">
        <w:rPr>
          <w:rFonts w:hAnsi="標楷體" w:cs="全字庫正宋體" w:hint="eastAsia"/>
          <w:sz w:val="24"/>
          <w:szCs w:val="24"/>
        </w:rPr>
        <w:t>：111年公教人員保險統計及及臺灣銀行公教保險部提供。</w:t>
      </w:r>
    </w:p>
    <w:p w:rsidR="00A33729" w:rsidRPr="000C21D7" w:rsidRDefault="00A33729" w:rsidP="00A33729">
      <w:pPr>
        <w:adjustRightInd w:val="0"/>
        <w:ind w:leftChars="201" w:left="569" w:firstLine="566"/>
        <w:rPr>
          <w:rFonts w:hAnsi="標楷體"/>
          <w:snapToGrid/>
        </w:rPr>
      </w:pPr>
      <w:r w:rsidRPr="000C21D7">
        <w:rPr>
          <w:rFonts w:hAnsi="標楷體" w:hint="eastAsia"/>
        </w:rPr>
        <w:t>綜上，臺灣銀行接受政府委託辦理公教人員保險準備金運用及管理事項，期健全公保制度並改善財務結構。惟111年度公教人員保險收支決算為短絀430億1,675萬元，為近10年之首次短絀，</w:t>
      </w:r>
      <w:r w:rsidR="005C354E" w:rsidRPr="005C354E">
        <w:rPr>
          <w:rFonts w:hAnsi="標楷體" w:hint="eastAsia"/>
        </w:rPr>
        <w:t>鑒於以往公保財務收支多為賸餘，前揭111年度短絀雖因全球金融市場波動影響，仍允宜妥適管理投資組合，期穩健提升投資收益，增益公保準備金</w:t>
      </w:r>
      <w:r w:rsidRPr="000C21D7">
        <w:rPr>
          <w:rFonts w:hAnsi="標楷體" w:hint="eastAsia"/>
        </w:rPr>
        <w:t>，俾公保制度健全及永續發展。</w:t>
      </w:r>
    </w:p>
    <w:p w:rsidR="005376E5" w:rsidRPr="000C21D7" w:rsidRDefault="000C5C66" w:rsidP="000C5C66">
      <w:pPr>
        <w:pStyle w:val="ac"/>
        <w:rPr>
          <w:rFonts w:hAnsi="標楷體"/>
        </w:rPr>
      </w:pPr>
      <w:r w:rsidRPr="000C21D7">
        <w:rPr>
          <w:rFonts w:hAnsi="標楷體" w:hint="eastAsia"/>
        </w:rPr>
        <w:t>（分機：1929 吳昀雲</w:t>
      </w:r>
      <w:r w:rsidR="005376E5" w:rsidRPr="000C21D7">
        <w:rPr>
          <w:rFonts w:hAnsi="標楷體" w:hint="eastAsia"/>
        </w:rPr>
        <w:t>）</w:t>
      </w:r>
    </w:p>
    <w:sectPr w:rsidR="005376E5" w:rsidRPr="000C21D7" w:rsidSect="00B11139">
      <w:footerReference w:type="default" r:id="rId9"/>
      <w:type w:val="continuous"/>
      <w:pgSz w:w="11906" w:h="16838" w:code="9"/>
      <w:pgMar w:top="1701" w:right="1701" w:bottom="1701" w:left="1701" w:header="0" w:footer="1134" w:gutter="0"/>
      <w:pgNumType w:start="0"/>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2E5" w:rsidRDefault="005262E5" w:rsidP="00956559">
      <w:pPr>
        <w:spacing w:line="240" w:lineRule="auto"/>
        <w:ind w:left="560" w:firstLine="560"/>
      </w:pPr>
      <w:r>
        <w:separator/>
      </w:r>
    </w:p>
  </w:endnote>
  <w:endnote w:type="continuationSeparator" w:id="0">
    <w:p w:rsidR="005262E5" w:rsidRDefault="005262E5" w:rsidP="009565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3FD" w:rsidRDefault="000873FD" w:rsidP="00281E8D">
    <w:pPr>
      <w:spacing w:line="240" w:lineRule="auto"/>
      <w:ind w:left="560" w:firstLine="560"/>
    </w:pPr>
  </w:p>
  <w:p w:rsidR="000873FD" w:rsidRDefault="000873FD" w:rsidP="00281E8D">
    <w:pPr>
      <w:ind w:left="560" w:firstLine="560"/>
    </w:pPr>
  </w:p>
  <w:p w:rsidR="000873FD" w:rsidRDefault="000873FD" w:rsidP="00281E8D">
    <w:pPr>
      <w:spacing w:line="240" w:lineRule="auto"/>
      <w:ind w:left="560" w:firstLine="560"/>
    </w:pPr>
    <w:r>
      <w:continuationSeparator/>
    </w:r>
  </w:p>
  <w:p w:rsidR="000873FD" w:rsidRDefault="000873FD" w:rsidP="00281E8D">
    <w:pPr>
      <w:ind w:left="560" w:firstLine="560"/>
    </w:pPr>
  </w:p>
  <w:p w:rsidR="000873FD" w:rsidRDefault="000873FD" w:rsidP="00281E8D">
    <w:pPr>
      <w:spacing w:line="240" w:lineRule="auto"/>
      <w:ind w:left="560" w:firstLine="560"/>
    </w:pPr>
    <w:r>
      <w:separator/>
    </w:r>
  </w:p>
  <w:p w:rsidR="000873FD" w:rsidRDefault="000873FD" w:rsidP="00281E8D">
    <w:pPr>
      <w:ind w:left="560" w:firstLine="560"/>
    </w:pPr>
  </w:p>
  <w:p w:rsidR="000873FD" w:rsidRDefault="000873FD" w:rsidP="00281E8D">
    <w:pPr>
      <w:spacing w:line="240" w:lineRule="auto"/>
      <w:ind w:left="560" w:firstLine="560"/>
    </w:pPr>
    <w:r>
      <w:continuationSeparator/>
    </w:r>
  </w:p>
  <w:p w:rsidR="000873FD" w:rsidRDefault="000873FD" w:rsidP="00281E8D">
    <w:pPr>
      <w:ind w:left="560" w:firstLine="560"/>
    </w:pPr>
  </w:p>
  <w:p w:rsidR="000873FD" w:rsidRDefault="000873FD" w:rsidP="00281E8D">
    <w:pPr>
      <w:pStyle w:val="af"/>
      <w:ind w:left="560" w:firstLine="400"/>
    </w:pPr>
  </w:p>
  <w:p w:rsidR="000873FD" w:rsidRDefault="000873FD" w:rsidP="00281E8D">
    <w:pPr>
      <w:ind w:left="560" w:firstLine="560"/>
    </w:pPr>
  </w:p>
  <w:p w:rsidR="000873FD" w:rsidRDefault="000873FD" w:rsidP="00281E8D">
    <w:pPr>
      <w:pStyle w:val="af"/>
      <w:ind w:left="560" w:firstLine="400"/>
    </w:pPr>
  </w:p>
  <w:p w:rsidR="000873FD" w:rsidRDefault="000873FD" w:rsidP="00281E8D">
    <w:pPr>
      <w:ind w:left="560" w:firstLine="560"/>
    </w:pPr>
  </w:p>
  <w:p w:rsidR="000873FD" w:rsidRDefault="000873FD" w:rsidP="00281E8D">
    <w:pPr>
      <w:pStyle w:val="af1"/>
      <w:ind w:left="560" w:firstLine="400"/>
    </w:pPr>
  </w:p>
  <w:p w:rsidR="000873FD" w:rsidRDefault="000873FD" w:rsidP="00281E8D">
    <w:pPr>
      <w:ind w:left="560" w:firstLine="560"/>
    </w:pPr>
  </w:p>
  <w:p w:rsidR="000873FD" w:rsidRPr="00B85352" w:rsidRDefault="000873FD" w:rsidP="00281E8D">
    <w:pPr>
      <w:pStyle w:val="af1"/>
      <w:ind w:left="560" w:firstLine="400"/>
    </w:pPr>
  </w:p>
  <w:p w:rsidR="000873FD" w:rsidRDefault="000873FD" w:rsidP="00281E8D">
    <w:pPr>
      <w:ind w:left="560" w:firstLine="560"/>
    </w:pPr>
  </w:p>
  <w:p w:rsidR="000873FD" w:rsidRDefault="000873FD" w:rsidP="00281E8D">
    <w:pPr>
      <w:pStyle w:val="af"/>
      <w:ind w:left="560" w:firstLine="400"/>
    </w:pPr>
  </w:p>
  <w:p w:rsidR="000873FD" w:rsidRDefault="000873FD" w:rsidP="00281E8D">
    <w:pPr>
      <w:ind w:left="560" w:firstLine="560"/>
    </w:pPr>
  </w:p>
  <w:p w:rsidR="000873FD" w:rsidRPr="00C0457A" w:rsidRDefault="000873FD" w:rsidP="00281E8D">
    <w:pPr>
      <w:spacing w:beforeLines="80" w:before="192"/>
      <w:ind w:leftChars="0" w:left="566" w:firstLineChars="0" w:firstLine="406"/>
      <w:jc w:val="center"/>
      <w:rPr>
        <w:sz w:val="24"/>
        <w:szCs w:val="24"/>
      </w:rPr>
    </w:pPr>
    <w:r>
      <w:rPr>
        <w:rFonts w:hint="eastAsia"/>
        <w:sz w:val="24"/>
        <w:szCs w:val="24"/>
      </w:rPr>
      <w:t>1</w:t>
    </w:r>
  </w:p>
  <w:p w:rsidR="000873FD" w:rsidRDefault="000873FD" w:rsidP="008B5FC6">
    <w:pPr>
      <w:pStyle w:val="af1"/>
      <w:ind w:leftChars="0" w:left="566" w:firstLineChars="0" w:hanging="566"/>
      <w:jc w:val="center"/>
    </w:pPr>
    <w:r>
      <w:rPr>
        <w:noProof/>
        <w:sz w:val="28"/>
        <w:szCs w:val="28"/>
      </w:rPr>
      <w:t>1</w:t>
    </w:r>
    <w:r>
      <w:fldChar w:fldCharType="begin"/>
    </w:r>
    <w:r>
      <w:instrText>P</w:instrTex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3FD" w:rsidRDefault="000873FD" w:rsidP="008B5FC6">
    <w:pPr>
      <w:pStyle w:val="af1"/>
      <w:ind w:leftChars="0" w:left="566" w:firstLineChars="0" w:hanging="566"/>
      <w:jc w:val="center"/>
    </w:pPr>
    <w:r>
      <w:fldChar w:fldCharType="begin"/>
    </w:r>
    <w:r>
      <w:instrText>PAGE   \* MERGEFORMAT</w:instrText>
    </w:r>
    <w:r>
      <w:fldChar w:fldCharType="separate"/>
    </w:r>
    <w:r w:rsidR="001C520E" w:rsidRPr="001C520E">
      <w:rPr>
        <w:noProof/>
        <w:lang w:val="zh-TW"/>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2E5" w:rsidRDefault="005262E5" w:rsidP="003F0A05">
      <w:pPr>
        <w:spacing w:line="240" w:lineRule="auto"/>
        <w:ind w:left="560" w:firstLine="560"/>
      </w:pPr>
      <w:r>
        <w:separator/>
      </w:r>
    </w:p>
  </w:footnote>
  <w:footnote w:type="continuationSeparator" w:id="0">
    <w:p w:rsidR="005262E5" w:rsidRDefault="005262E5" w:rsidP="00956559">
      <w:pPr>
        <w:spacing w:line="240" w:lineRule="auto"/>
        <w:ind w:left="560" w:firstLine="560"/>
      </w:pPr>
      <w:r>
        <w:continuationSeparator/>
      </w:r>
    </w:p>
  </w:footnote>
  <w:footnote w:id="1">
    <w:p w:rsidR="00A33729" w:rsidRDefault="00A33729" w:rsidP="00A33729">
      <w:pPr>
        <w:pStyle w:val="142"/>
        <w:ind w:left="36" w:hangingChars="15" w:hanging="36"/>
        <w:jc w:val="both"/>
        <w:rPr>
          <w:rFonts w:hint="eastAsia"/>
        </w:rPr>
      </w:pPr>
      <w:r>
        <w:rPr>
          <w:rStyle w:val="afa"/>
        </w:rPr>
        <w:footnoteRef/>
      </w:r>
      <w:r>
        <w:rPr>
          <w:rFonts w:hint="eastAsia"/>
        </w:rPr>
        <w:t>包括承購帳款手續費等34項手續費收入，前5大收入項目依序為合作推廣業務手續費、信託手續費、保證手續費、聯貸手續費及託辦手續費。</w:t>
      </w:r>
    </w:p>
  </w:footnote>
  <w:footnote w:id="2">
    <w:p w:rsidR="00A33729" w:rsidRPr="00BB7B97" w:rsidRDefault="00A33729" w:rsidP="00BC3E2A">
      <w:pPr>
        <w:pStyle w:val="142"/>
        <w:ind w:left="36" w:hangingChars="15" w:hanging="36"/>
        <w:jc w:val="both"/>
        <w:rPr>
          <w:rStyle w:val="143"/>
        </w:rPr>
      </w:pPr>
      <w:r>
        <w:rPr>
          <w:rStyle w:val="afa"/>
        </w:rPr>
        <w:footnoteRef/>
      </w:r>
      <w:r w:rsidRPr="00BB7B97">
        <w:rPr>
          <w:rFonts w:hint="eastAsia"/>
          <w:snapToGrid/>
        </w:rPr>
        <w:t>如調降新</w:t>
      </w:r>
      <w:r w:rsidRPr="006B108A">
        <w:rPr>
          <w:rFonts w:hint="eastAsia"/>
        </w:rPr>
        <w:t>契約</w:t>
      </w:r>
      <w:r w:rsidRPr="00BB7B97">
        <w:rPr>
          <w:rStyle w:val="143"/>
          <w:rFonts w:hint="eastAsia"/>
        </w:rPr>
        <w:t>責任準備金利率、實施宣告利率平穩機制及提高人壽保險死亡保障門檻等</w:t>
      </w:r>
      <w:r>
        <w:rPr>
          <w:rStyle w:val="143"/>
          <w:rFonts w:hint="eastAsia"/>
        </w:rPr>
        <w:t>。</w:t>
      </w:r>
    </w:p>
  </w:footnote>
  <w:footnote w:id="3">
    <w:p w:rsidR="00BC3E2A" w:rsidRDefault="00BC3E2A" w:rsidP="00BC3E2A">
      <w:pPr>
        <w:pStyle w:val="142"/>
        <w:ind w:left="36" w:hangingChars="15" w:hanging="36"/>
        <w:jc w:val="both"/>
        <w:rPr>
          <w:rFonts w:hint="eastAsia"/>
        </w:rPr>
      </w:pPr>
      <w:r>
        <w:rPr>
          <w:rStyle w:val="afa"/>
        </w:rPr>
        <w:footnoteRef/>
      </w:r>
      <w:r>
        <w:rPr>
          <w:rFonts w:hint="eastAsia"/>
        </w:rPr>
        <w:t>111年度</w:t>
      </w:r>
      <w:r w:rsidRPr="00BC3E2A">
        <w:rPr>
          <w:rFonts w:hint="eastAsia"/>
        </w:rPr>
        <w:t>政府補助事務費</w:t>
      </w:r>
      <w:r>
        <w:rPr>
          <w:rFonts w:hint="eastAsia"/>
        </w:rPr>
        <w:t>決算數為2億5</w:t>
      </w:r>
      <w:r>
        <w:t>,</w:t>
      </w:r>
      <w:r>
        <w:rPr>
          <w:rFonts w:hint="eastAsia"/>
        </w:rPr>
        <w:t>278萬3千元，係包括</w:t>
      </w:r>
      <w:r w:rsidRPr="00BC3E2A">
        <w:rPr>
          <w:rFonts w:hint="eastAsia"/>
        </w:rPr>
        <w:t>銓敘部補助公教人員保險事務經費2億4,531萬9千元，及臺灣銀行補助之聯行其他收入</w:t>
      </w:r>
      <w:r>
        <w:rPr>
          <w:rFonts w:hint="eastAsia"/>
        </w:rPr>
        <w:t>746萬4千元。</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71D94"/>
    <w:multiLevelType w:val="hybridMultilevel"/>
    <w:tmpl w:val="5D7CB5BE"/>
    <w:lvl w:ilvl="0" w:tplc="36049786">
      <w:start w:val="11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19B0323F"/>
    <w:multiLevelType w:val="hybridMultilevel"/>
    <w:tmpl w:val="3B0EF748"/>
    <w:lvl w:ilvl="0" w:tplc="49709DEC">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07A1631"/>
    <w:multiLevelType w:val="hybridMultilevel"/>
    <w:tmpl w:val="D764C23A"/>
    <w:lvl w:ilvl="0" w:tplc="2168DDDC">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0321C13"/>
    <w:multiLevelType w:val="hybridMultilevel"/>
    <w:tmpl w:val="CD28156A"/>
    <w:lvl w:ilvl="0" w:tplc="C3D45938">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9E5EA5"/>
    <w:multiLevelType w:val="hybridMultilevel"/>
    <w:tmpl w:val="686C54AA"/>
    <w:lvl w:ilvl="0" w:tplc="0610F6D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3654018"/>
    <w:multiLevelType w:val="hybridMultilevel"/>
    <w:tmpl w:val="CA00172C"/>
    <w:lvl w:ilvl="0" w:tplc="9CDE82EA">
      <w:start w:val="1"/>
      <w:numFmt w:val="taiwaneseCountingThousand"/>
      <w:lvlText w:val="(%1)"/>
      <w:lvlJc w:val="left"/>
      <w:pPr>
        <w:ind w:left="846" w:hanging="28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4CFF2318"/>
    <w:multiLevelType w:val="hybridMultilevel"/>
    <w:tmpl w:val="79AAFF30"/>
    <w:lvl w:ilvl="0" w:tplc="8E363E9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AA539F"/>
    <w:multiLevelType w:val="hybridMultilevel"/>
    <w:tmpl w:val="ED3258BA"/>
    <w:lvl w:ilvl="0" w:tplc="03A06390">
      <w:start w:val="1"/>
      <w:numFmt w:val="taiwaneseCountingThousand"/>
      <w:lvlText w:val="%1、"/>
      <w:lvlJc w:val="left"/>
      <w:pPr>
        <w:ind w:left="4831" w:hanging="720"/>
      </w:pPr>
      <w:rPr>
        <w:rFonts w:hint="default"/>
      </w:rPr>
    </w:lvl>
    <w:lvl w:ilvl="1" w:tplc="04090019" w:tentative="1">
      <w:start w:val="1"/>
      <w:numFmt w:val="ideographTraditional"/>
      <w:lvlText w:val="%2、"/>
      <w:lvlJc w:val="left"/>
      <w:pPr>
        <w:ind w:left="3795" w:hanging="480"/>
      </w:pPr>
    </w:lvl>
    <w:lvl w:ilvl="2" w:tplc="0409001B" w:tentative="1">
      <w:start w:val="1"/>
      <w:numFmt w:val="lowerRoman"/>
      <w:lvlText w:val="%3."/>
      <w:lvlJc w:val="right"/>
      <w:pPr>
        <w:ind w:left="4275" w:hanging="480"/>
      </w:pPr>
    </w:lvl>
    <w:lvl w:ilvl="3" w:tplc="0409000F" w:tentative="1">
      <w:start w:val="1"/>
      <w:numFmt w:val="decimal"/>
      <w:lvlText w:val="%4."/>
      <w:lvlJc w:val="left"/>
      <w:pPr>
        <w:ind w:left="4755" w:hanging="480"/>
      </w:pPr>
    </w:lvl>
    <w:lvl w:ilvl="4" w:tplc="04090019" w:tentative="1">
      <w:start w:val="1"/>
      <w:numFmt w:val="ideographTraditional"/>
      <w:lvlText w:val="%5、"/>
      <w:lvlJc w:val="left"/>
      <w:pPr>
        <w:ind w:left="5235" w:hanging="480"/>
      </w:pPr>
    </w:lvl>
    <w:lvl w:ilvl="5" w:tplc="0409001B" w:tentative="1">
      <w:start w:val="1"/>
      <w:numFmt w:val="lowerRoman"/>
      <w:lvlText w:val="%6."/>
      <w:lvlJc w:val="right"/>
      <w:pPr>
        <w:ind w:left="5715" w:hanging="480"/>
      </w:pPr>
    </w:lvl>
    <w:lvl w:ilvl="6" w:tplc="0409000F" w:tentative="1">
      <w:start w:val="1"/>
      <w:numFmt w:val="decimal"/>
      <w:lvlText w:val="%7."/>
      <w:lvlJc w:val="left"/>
      <w:pPr>
        <w:ind w:left="6195" w:hanging="480"/>
      </w:pPr>
    </w:lvl>
    <w:lvl w:ilvl="7" w:tplc="04090019" w:tentative="1">
      <w:start w:val="1"/>
      <w:numFmt w:val="ideographTraditional"/>
      <w:lvlText w:val="%8、"/>
      <w:lvlJc w:val="left"/>
      <w:pPr>
        <w:ind w:left="6675" w:hanging="480"/>
      </w:pPr>
    </w:lvl>
    <w:lvl w:ilvl="8" w:tplc="0409001B" w:tentative="1">
      <w:start w:val="1"/>
      <w:numFmt w:val="lowerRoman"/>
      <w:lvlText w:val="%9."/>
      <w:lvlJc w:val="right"/>
      <w:pPr>
        <w:ind w:left="7155" w:hanging="480"/>
      </w:pPr>
    </w:lvl>
  </w:abstractNum>
  <w:num w:numId="1">
    <w:abstractNumId w:val="3"/>
  </w:num>
  <w:num w:numId="2">
    <w:abstractNumId w:val="2"/>
  </w:num>
  <w:num w:numId="3">
    <w:abstractNumId w:val="4"/>
  </w:num>
  <w:num w:numId="4">
    <w:abstractNumId w:val="1"/>
  </w:num>
  <w:num w:numId="5">
    <w:abstractNumId w:val="6"/>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HorizontalDrawingGridEvery w:val="0"/>
  <w:displayVerticalDrawingGridEvery w:val="2"/>
  <w:characterSpacingControl w:val="compressPunctuation"/>
  <w:hdrShapeDefaults>
    <o:shapedefaults v:ext="edit" spidmax="3074">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E5874"/>
    <w:rsid w:val="0000090A"/>
    <w:rsid w:val="00000A00"/>
    <w:rsid w:val="00000FC9"/>
    <w:rsid w:val="0000119D"/>
    <w:rsid w:val="000011AF"/>
    <w:rsid w:val="000028CC"/>
    <w:rsid w:val="00003B2E"/>
    <w:rsid w:val="00003E20"/>
    <w:rsid w:val="0000401F"/>
    <w:rsid w:val="00004DB1"/>
    <w:rsid w:val="00006FCC"/>
    <w:rsid w:val="00007BA3"/>
    <w:rsid w:val="00007F36"/>
    <w:rsid w:val="00010970"/>
    <w:rsid w:val="0001140B"/>
    <w:rsid w:val="000118AD"/>
    <w:rsid w:val="00011CDD"/>
    <w:rsid w:val="00011E87"/>
    <w:rsid w:val="00012ADC"/>
    <w:rsid w:val="000137D7"/>
    <w:rsid w:val="00013E9A"/>
    <w:rsid w:val="000147DD"/>
    <w:rsid w:val="000152F0"/>
    <w:rsid w:val="00017BF5"/>
    <w:rsid w:val="000211D4"/>
    <w:rsid w:val="00021ED5"/>
    <w:rsid w:val="0002265D"/>
    <w:rsid w:val="000228D7"/>
    <w:rsid w:val="00022ED3"/>
    <w:rsid w:val="000233F1"/>
    <w:rsid w:val="00023A5E"/>
    <w:rsid w:val="00023E26"/>
    <w:rsid w:val="00024A64"/>
    <w:rsid w:val="000255A3"/>
    <w:rsid w:val="00025FF3"/>
    <w:rsid w:val="00026C06"/>
    <w:rsid w:val="00027247"/>
    <w:rsid w:val="00030798"/>
    <w:rsid w:val="000307AA"/>
    <w:rsid w:val="00030D65"/>
    <w:rsid w:val="000313B0"/>
    <w:rsid w:val="00033715"/>
    <w:rsid w:val="00034739"/>
    <w:rsid w:val="00035B28"/>
    <w:rsid w:val="00035FD5"/>
    <w:rsid w:val="000361A4"/>
    <w:rsid w:val="000362D9"/>
    <w:rsid w:val="00036B70"/>
    <w:rsid w:val="0004041D"/>
    <w:rsid w:val="00040A3A"/>
    <w:rsid w:val="0004122C"/>
    <w:rsid w:val="00041585"/>
    <w:rsid w:val="000423D3"/>
    <w:rsid w:val="0004386B"/>
    <w:rsid w:val="00043BE0"/>
    <w:rsid w:val="000448C6"/>
    <w:rsid w:val="00044D4A"/>
    <w:rsid w:val="0004607B"/>
    <w:rsid w:val="0004615A"/>
    <w:rsid w:val="00046211"/>
    <w:rsid w:val="000462FF"/>
    <w:rsid w:val="00050CD5"/>
    <w:rsid w:val="0005218B"/>
    <w:rsid w:val="00053080"/>
    <w:rsid w:val="00053A8D"/>
    <w:rsid w:val="00053B41"/>
    <w:rsid w:val="00054165"/>
    <w:rsid w:val="00054A1C"/>
    <w:rsid w:val="00055B74"/>
    <w:rsid w:val="00056163"/>
    <w:rsid w:val="00056B3A"/>
    <w:rsid w:val="00056FA2"/>
    <w:rsid w:val="000571D7"/>
    <w:rsid w:val="0005764D"/>
    <w:rsid w:val="00061630"/>
    <w:rsid w:val="00061D81"/>
    <w:rsid w:val="00061F6D"/>
    <w:rsid w:val="0006238D"/>
    <w:rsid w:val="0006246D"/>
    <w:rsid w:val="00062831"/>
    <w:rsid w:val="00062A03"/>
    <w:rsid w:val="00063504"/>
    <w:rsid w:val="0006376A"/>
    <w:rsid w:val="00063D72"/>
    <w:rsid w:val="00064353"/>
    <w:rsid w:val="0006462B"/>
    <w:rsid w:val="0006523E"/>
    <w:rsid w:val="00065999"/>
    <w:rsid w:val="00066083"/>
    <w:rsid w:val="00067CF8"/>
    <w:rsid w:val="0007042D"/>
    <w:rsid w:val="000705EE"/>
    <w:rsid w:val="00070E5C"/>
    <w:rsid w:val="00071AA1"/>
    <w:rsid w:val="00073314"/>
    <w:rsid w:val="00074493"/>
    <w:rsid w:val="00074B89"/>
    <w:rsid w:val="0007500E"/>
    <w:rsid w:val="00075C7D"/>
    <w:rsid w:val="000760C8"/>
    <w:rsid w:val="00076183"/>
    <w:rsid w:val="0007626E"/>
    <w:rsid w:val="00076A46"/>
    <w:rsid w:val="00080EFB"/>
    <w:rsid w:val="00083876"/>
    <w:rsid w:val="00083890"/>
    <w:rsid w:val="0008498F"/>
    <w:rsid w:val="00085753"/>
    <w:rsid w:val="00085F4B"/>
    <w:rsid w:val="000863CC"/>
    <w:rsid w:val="0008643F"/>
    <w:rsid w:val="0008646A"/>
    <w:rsid w:val="00086992"/>
    <w:rsid w:val="00086A76"/>
    <w:rsid w:val="000873FD"/>
    <w:rsid w:val="00090941"/>
    <w:rsid w:val="00090DB4"/>
    <w:rsid w:val="0009418D"/>
    <w:rsid w:val="000941FD"/>
    <w:rsid w:val="00095517"/>
    <w:rsid w:val="00095606"/>
    <w:rsid w:val="000969AE"/>
    <w:rsid w:val="00097129"/>
    <w:rsid w:val="00097DB3"/>
    <w:rsid w:val="00097E3F"/>
    <w:rsid w:val="000A002D"/>
    <w:rsid w:val="000A01A2"/>
    <w:rsid w:val="000A0FA5"/>
    <w:rsid w:val="000A0FF2"/>
    <w:rsid w:val="000A1252"/>
    <w:rsid w:val="000A3C87"/>
    <w:rsid w:val="000A543E"/>
    <w:rsid w:val="000A5448"/>
    <w:rsid w:val="000A5544"/>
    <w:rsid w:val="000A5C4D"/>
    <w:rsid w:val="000B09C1"/>
    <w:rsid w:val="000B35B7"/>
    <w:rsid w:val="000B3D4A"/>
    <w:rsid w:val="000B426B"/>
    <w:rsid w:val="000B49DB"/>
    <w:rsid w:val="000B4AD1"/>
    <w:rsid w:val="000B565B"/>
    <w:rsid w:val="000B6598"/>
    <w:rsid w:val="000B67CA"/>
    <w:rsid w:val="000B7A4B"/>
    <w:rsid w:val="000B7E92"/>
    <w:rsid w:val="000B7F2E"/>
    <w:rsid w:val="000C05E4"/>
    <w:rsid w:val="000C19DF"/>
    <w:rsid w:val="000C20C1"/>
    <w:rsid w:val="000C21D7"/>
    <w:rsid w:val="000C24BF"/>
    <w:rsid w:val="000C2B6F"/>
    <w:rsid w:val="000C3C8C"/>
    <w:rsid w:val="000C4994"/>
    <w:rsid w:val="000C5C66"/>
    <w:rsid w:val="000C5FF1"/>
    <w:rsid w:val="000C6FBA"/>
    <w:rsid w:val="000C74EB"/>
    <w:rsid w:val="000D124F"/>
    <w:rsid w:val="000D1478"/>
    <w:rsid w:val="000D1D65"/>
    <w:rsid w:val="000D2066"/>
    <w:rsid w:val="000D38EA"/>
    <w:rsid w:val="000D3A09"/>
    <w:rsid w:val="000D49D5"/>
    <w:rsid w:val="000D5581"/>
    <w:rsid w:val="000D66C6"/>
    <w:rsid w:val="000D67ED"/>
    <w:rsid w:val="000D6D4D"/>
    <w:rsid w:val="000D7472"/>
    <w:rsid w:val="000E048B"/>
    <w:rsid w:val="000E05D0"/>
    <w:rsid w:val="000E1C75"/>
    <w:rsid w:val="000E309B"/>
    <w:rsid w:val="000E3425"/>
    <w:rsid w:val="000E3520"/>
    <w:rsid w:val="000E4BF9"/>
    <w:rsid w:val="000E60F3"/>
    <w:rsid w:val="000E6252"/>
    <w:rsid w:val="000E6823"/>
    <w:rsid w:val="000E727D"/>
    <w:rsid w:val="000E75CA"/>
    <w:rsid w:val="000F05E8"/>
    <w:rsid w:val="000F2799"/>
    <w:rsid w:val="000F29C3"/>
    <w:rsid w:val="000F33D2"/>
    <w:rsid w:val="000F53E6"/>
    <w:rsid w:val="000F6C53"/>
    <w:rsid w:val="000F7774"/>
    <w:rsid w:val="000F7919"/>
    <w:rsid w:val="00100226"/>
    <w:rsid w:val="00101A19"/>
    <w:rsid w:val="0010253A"/>
    <w:rsid w:val="00103E13"/>
    <w:rsid w:val="0010512F"/>
    <w:rsid w:val="00105A87"/>
    <w:rsid w:val="001062C1"/>
    <w:rsid w:val="00106302"/>
    <w:rsid w:val="0010680D"/>
    <w:rsid w:val="00106FF2"/>
    <w:rsid w:val="00107A91"/>
    <w:rsid w:val="00107E15"/>
    <w:rsid w:val="00110720"/>
    <w:rsid w:val="00110AC0"/>
    <w:rsid w:val="0011189C"/>
    <w:rsid w:val="00114902"/>
    <w:rsid w:val="0011519D"/>
    <w:rsid w:val="00115DB7"/>
    <w:rsid w:val="00116124"/>
    <w:rsid w:val="00116CD5"/>
    <w:rsid w:val="0011712D"/>
    <w:rsid w:val="00117319"/>
    <w:rsid w:val="00117344"/>
    <w:rsid w:val="00117B9C"/>
    <w:rsid w:val="00120770"/>
    <w:rsid w:val="00122137"/>
    <w:rsid w:val="00122BDB"/>
    <w:rsid w:val="00124B56"/>
    <w:rsid w:val="00126C74"/>
    <w:rsid w:val="00126F96"/>
    <w:rsid w:val="001303E5"/>
    <w:rsid w:val="00130863"/>
    <w:rsid w:val="00130876"/>
    <w:rsid w:val="00130FF1"/>
    <w:rsid w:val="001310DB"/>
    <w:rsid w:val="00131183"/>
    <w:rsid w:val="001316EB"/>
    <w:rsid w:val="00132158"/>
    <w:rsid w:val="00132920"/>
    <w:rsid w:val="00133214"/>
    <w:rsid w:val="00133BB1"/>
    <w:rsid w:val="00134049"/>
    <w:rsid w:val="001351BB"/>
    <w:rsid w:val="00135537"/>
    <w:rsid w:val="0013586A"/>
    <w:rsid w:val="00135F98"/>
    <w:rsid w:val="00136409"/>
    <w:rsid w:val="001366BC"/>
    <w:rsid w:val="00136DFE"/>
    <w:rsid w:val="00137648"/>
    <w:rsid w:val="00140BC6"/>
    <w:rsid w:val="00140D6D"/>
    <w:rsid w:val="00141F2A"/>
    <w:rsid w:val="0014200D"/>
    <w:rsid w:val="0014276F"/>
    <w:rsid w:val="00142ACE"/>
    <w:rsid w:val="001447AB"/>
    <w:rsid w:val="00144F35"/>
    <w:rsid w:val="00145A64"/>
    <w:rsid w:val="00145FE9"/>
    <w:rsid w:val="00146197"/>
    <w:rsid w:val="00147F6F"/>
    <w:rsid w:val="001525A0"/>
    <w:rsid w:val="001527DB"/>
    <w:rsid w:val="00152C70"/>
    <w:rsid w:val="0015363C"/>
    <w:rsid w:val="00153FF1"/>
    <w:rsid w:val="0015510D"/>
    <w:rsid w:val="00155B17"/>
    <w:rsid w:val="00155B8E"/>
    <w:rsid w:val="00155CCC"/>
    <w:rsid w:val="00157730"/>
    <w:rsid w:val="00157F0A"/>
    <w:rsid w:val="00157F34"/>
    <w:rsid w:val="00160B2C"/>
    <w:rsid w:val="001619E0"/>
    <w:rsid w:val="00161C10"/>
    <w:rsid w:val="001628DB"/>
    <w:rsid w:val="00163F99"/>
    <w:rsid w:val="00164C8D"/>
    <w:rsid w:val="00166A5C"/>
    <w:rsid w:val="00170181"/>
    <w:rsid w:val="00170E0B"/>
    <w:rsid w:val="00170E81"/>
    <w:rsid w:val="00172532"/>
    <w:rsid w:val="00174C2B"/>
    <w:rsid w:val="00174D91"/>
    <w:rsid w:val="001756C5"/>
    <w:rsid w:val="00176257"/>
    <w:rsid w:val="00177483"/>
    <w:rsid w:val="00181060"/>
    <w:rsid w:val="00181798"/>
    <w:rsid w:val="00181D5F"/>
    <w:rsid w:val="00182B59"/>
    <w:rsid w:val="00182ECD"/>
    <w:rsid w:val="00183B12"/>
    <w:rsid w:val="001846D8"/>
    <w:rsid w:val="00184D6F"/>
    <w:rsid w:val="00184F5E"/>
    <w:rsid w:val="001855FC"/>
    <w:rsid w:val="0018599B"/>
    <w:rsid w:val="001871FF"/>
    <w:rsid w:val="0018752C"/>
    <w:rsid w:val="00187586"/>
    <w:rsid w:val="001879A3"/>
    <w:rsid w:val="00187D67"/>
    <w:rsid w:val="00190146"/>
    <w:rsid w:val="0019037B"/>
    <w:rsid w:val="00191CD7"/>
    <w:rsid w:val="001928C9"/>
    <w:rsid w:val="001936AA"/>
    <w:rsid w:val="00195A5A"/>
    <w:rsid w:val="00195FF2"/>
    <w:rsid w:val="00196A38"/>
    <w:rsid w:val="00196C6A"/>
    <w:rsid w:val="001A01D2"/>
    <w:rsid w:val="001A0C0D"/>
    <w:rsid w:val="001A1429"/>
    <w:rsid w:val="001A1BA8"/>
    <w:rsid w:val="001A1D9E"/>
    <w:rsid w:val="001A2871"/>
    <w:rsid w:val="001A34BC"/>
    <w:rsid w:val="001A513E"/>
    <w:rsid w:val="001A51AF"/>
    <w:rsid w:val="001A51BC"/>
    <w:rsid w:val="001A5603"/>
    <w:rsid w:val="001A594E"/>
    <w:rsid w:val="001A68B4"/>
    <w:rsid w:val="001A6DE8"/>
    <w:rsid w:val="001A779A"/>
    <w:rsid w:val="001B08CE"/>
    <w:rsid w:val="001B152C"/>
    <w:rsid w:val="001B189B"/>
    <w:rsid w:val="001B1F2C"/>
    <w:rsid w:val="001B352E"/>
    <w:rsid w:val="001B38D1"/>
    <w:rsid w:val="001C0571"/>
    <w:rsid w:val="001C21E5"/>
    <w:rsid w:val="001C28FF"/>
    <w:rsid w:val="001C2996"/>
    <w:rsid w:val="001C2D1C"/>
    <w:rsid w:val="001C35BE"/>
    <w:rsid w:val="001C3A6A"/>
    <w:rsid w:val="001C4BE2"/>
    <w:rsid w:val="001C520E"/>
    <w:rsid w:val="001C533D"/>
    <w:rsid w:val="001C6891"/>
    <w:rsid w:val="001C6A2C"/>
    <w:rsid w:val="001D12C9"/>
    <w:rsid w:val="001D183E"/>
    <w:rsid w:val="001D1924"/>
    <w:rsid w:val="001D2B56"/>
    <w:rsid w:val="001D2DF0"/>
    <w:rsid w:val="001D614E"/>
    <w:rsid w:val="001D6567"/>
    <w:rsid w:val="001D66B7"/>
    <w:rsid w:val="001D773A"/>
    <w:rsid w:val="001D7CC5"/>
    <w:rsid w:val="001D7CF1"/>
    <w:rsid w:val="001E2B9F"/>
    <w:rsid w:val="001E49F2"/>
    <w:rsid w:val="001E5386"/>
    <w:rsid w:val="001E5483"/>
    <w:rsid w:val="001E61D4"/>
    <w:rsid w:val="001E66C4"/>
    <w:rsid w:val="001E769E"/>
    <w:rsid w:val="001F17B1"/>
    <w:rsid w:val="001F210F"/>
    <w:rsid w:val="001F21AB"/>
    <w:rsid w:val="001F2C2C"/>
    <w:rsid w:val="001F31F8"/>
    <w:rsid w:val="001F51D1"/>
    <w:rsid w:val="001F5DB7"/>
    <w:rsid w:val="001F65D0"/>
    <w:rsid w:val="001F6E60"/>
    <w:rsid w:val="001F7310"/>
    <w:rsid w:val="00200546"/>
    <w:rsid w:val="00200D8A"/>
    <w:rsid w:val="0020176A"/>
    <w:rsid w:val="00201BB3"/>
    <w:rsid w:val="00203A07"/>
    <w:rsid w:val="00206D9B"/>
    <w:rsid w:val="002073CD"/>
    <w:rsid w:val="002101D1"/>
    <w:rsid w:val="0021052E"/>
    <w:rsid w:val="002119B1"/>
    <w:rsid w:val="00212221"/>
    <w:rsid w:val="002125F4"/>
    <w:rsid w:val="00213358"/>
    <w:rsid w:val="00213E04"/>
    <w:rsid w:val="002144B9"/>
    <w:rsid w:val="00220A63"/>
    <w:rsid w:val="00221D52"/>
    <w:rsid w:val="00222217"/>
    <w:rsid w:val="00223B03"/>
    <w:rsid w:val="002267BF"/>
    <w:rsid w:val="00227830"/>
    <w:rsid w:val="0022787C"/>
    <w:rsid w:val="0023070D"/>
    <w:rsid w:val="00230A1C"/>
    <w:rsid w:val="00230BAC"/>
    <w:rsid w:val="00231886"/>
    <w:rsid w:val="00231BCB"/>
    <w:rsid w:val="002340D5"/>
    <w:rsid w:val="00234D48"/>
    <w:rsid w:val="0023527B"/>
    <w:rsid w:val="00235CF4"/>
    <w:rsid w:val="002361B6"/>
    <w:rsid w:val="0023742E"/>
    <w:rsid w:val="002406A9"/>
    <w:rsid w:val="00240D57"/>
    <w:rsid w:val="002416DC"/>
    <w:rsid w:val="00241BB4"/>
    <w:rsid w:val="00242544"/>
    <w:rsid w:val="00242984"/>
    <w:rsid w:val="0024374A"/>
    <w:rsid w:val="002440D6"/>
    <w:rsid w:val="002446F7"/>
    <w:rsid w:val="002467CF"/>
    <w:rsid w:val="00247CC4"/>
    <w:rsid w:val="00247E15"/>
    <w:rsid w:val="00250178"/>
    <w:rsid w:val="00250D3B"/>
    <w:rsid w:val="002514B5"/>
    <w:rsid w:val="002516F7"/>
    <w:rsid w:val="00252BE7"/>
    <w:rsid w:val="00253691"/>
    <w:rsid w:val="00253E66"/>
    <w:rsid w:val="002558A4"/>
    <w:rsid w:val="00255954"/>
    <w:rsid w:val="002565F3"/>
    <w:rsid w:val="00260137"/>
    <w:rsid w:val="00261376"/>
    <w:rsid w:val="00261AF1"/>
    <w:rsid w:val="00261F7D"/>
    <w:rsid w:val="002620F1"/>
    <w:rsid w:val="00262151"/>
    <w:rsid w:val="00262235"/>
    <w:rsid w:val="00262D25"/>
    <w:rsid w:val="00262E1C"/>
    <w:rsid w:val="00262F76"/>
    <w:rsid w:val="0026307A"/>
    <w:rsid w:val="0026448A"/>
    <w:rsid w:val="00265357"/>
    <w:rsid w:val="00265C77"/>
    <w:rsid w:val="00266569"/>
    <w:rsid w:val="0026691B"/>
    <w:rsid w:val="0026734E"/>
    <w:rsid w:val="00271070"/>
    <w:rsid w:val="00271931"/>
    <w:rsid w:val="00273A33"/>
    <w:rsid w:val="0027495A"/>
    <w:rsid w:val="0027577D"/>
    <w:rsid w:val="002758A0"/>
    <w:rsid w:val="00275FBD"/>
    <w:rsid w:val="0027672F"/>
    <w:rsid w:val="00276881"/>
    <w:rsid w:val="00277010"/>
    <w:rsid w:val="002815E0"/>
    <w:rsid w:val="00281E8D"/>
    <w:rsid w:val="002822F1"/>
    <w:rsid w:val="002833F3"/>
    <w:rsid w:val="00283527"/>
    <w:rsid w:val="002843A7"/>
    <w:rsid w:val="00284715"/>
    <w:rsid w:val="00284A33"/>
    <w:rsid w:val="00284A88"/>
    <w:rsid w:val="002851EB"/>
    <w:rsid w:val="00285387"/>
    <w:rsid w:val="00286263"/>
    <w:rsid w:val="002864FA"/>
    <w:rsid w:val="00286AC4"/>
    <w:rsid w:val="00290614"/>
    <w:rsid w:val="002906D8"/>
    <w:rsid w:val="00290D07"/>
    <w:rsid w:val="00290DCB"/>
    <w:rsid w:val="00291005"/>
    <w:rsid w:val="002911D9"/>
    <w:rsid w:val="0029273B"/>
    <w:rsid w:val="0029282D"/>
    <w:rsid w:val="00293BB7"/>
    <w:rsid w:val="00294F9B"/>
    <w:rsid w:val="002954BF"/>
    <w:rsid w:val="00296466"/>
    <w:rsid w:val="00296514"/>
    <w:rsid w:val="00296684"/>
    <w:rsid w:val="002A13C4"/>
    <w:rsid w:val="002A1523"/>
    <w:rsid w:val="002A1CB8"/>
    <w:rsid w:val="002A2F3E"/>
    <w:rsid w:val="002A5E1D"/>
    <w:rsid w:val="002A6BE6"/>
    <w:rsid w:val="002A6DE3"/>
    <w:rsid w:val="002B1005"/>
    <w:rsid w:val="002B1618"/>
    <w:rsid w:val="002B2B75"/>
    <w:rsid w:val="002B3C02"/>
    <w:rsid w:val="002B474B"/>
    <w:rsid w:val="002B4E67"/>
    <w:rsid w:val="002B501E"/>
    <w:rsid w:val="002B52DF"/>
    <w:rsid w:val="002B6FC9"/>
    <w:rsid w:val="002B7705"/>
    <w:rsid w:val="002B7C13"/>
    <w:rsid w:val="002C1147"/>
    <w:rsid w:val="002C122A"/>
    <w:rsid w:val="002C1750"/>
    <w:rsid w:val="002C54E2"/>
    <w:rsid w:val="002C5847"/>
    <w:rsid w:val="002C59E8"/>
    <w:rsid w:val="002C5B3A"/>
    <w:rsid w:val="002C64F6"/>
    <w:rsid w:val="002C6D4A"/>
    <w:rsid w:val="002D106D"/>
    <w:rsid w:val="002D285A"/>
    <w:rsid w:val="002D4AF9"/>
    <w:rsid w:val="002D6A7E"/>
    <w:rsid w:val="002D6BC2"/>
    <w:rsid w:val="002D6BD4"/>
    <w:rsid w:val="002D6D96"/>
    <w:rsid w:val="002D6E1F"/>
    <w:rsid w:val="002D7C5D"/>
    <w:rsid w:val="002D7DAD"/>
    <w:rsid w:val="002E019A"/>
    <w:rsid w:val="002E0C6E"/>
    <w:rsid w:val="002E1426"/>
    <w:rsid w:val="002E2B54"/>
    <w:rsid w:val="002E319C"/>
    <w:rsid w:val="002E343A"/>
    <w:rsid w:val="002E4AF5"/>
    <w:rsid w:val="002E5ACF"/>
    <w:rsid w:val="002E618E"/>
    <w:rsid w:val="002E6665"/>
    <w:rsid w:val="002E6A6D"/>
    <w:rsid w:val="002E76BD"/>
    <w:rsid w:val="002E7C7C"/>
    <w:rsid w:val="002F0E5A"/>
    <w:rsid w:val="002F12BD"/>
    <w:rsid w:val="002F1674"/>
    <w:rsid w:val="002F27CA"/>
    <w:rsid w:val="002F31EA"/>
    <w:rsid w:val="002F4AA5"/>
    <w:rsid w:val="002F4C35"/>
    <w:rsid w:val="002F4C95"/>
    <w:rsid w:val="002F5062"/>
    <w:rsid w:val="00301477"/>
    <w:rsid w:val="003018F8"/>
    <w:rsid w:val="00301E73"/>
    <w:rsid w:val="00301E7D"/>
    <w:rsid w:val="0030209E"/>
    <w:rsid w:val="00302EF2"/>
    <w:rsid w:val="00304692"/>
    <w:rsid w:val="00304CC3"/>
    <w:rsid w:val="00305032"/>
    <w:rsid w:val="00306D53"/>
    <w:rsid w:val="00307B6B"/>
    <w:rsid w:val="00307BD8"/>
    <w:rsid w:val="003113BE"/>
    <w:rsid w:val="00311E96"/>
    <w:rsid w:val="00312EEB"/>
    <w:rsid w:val="00314BFB"/>
    <w:rsid w:val="003153B7"/>
    <w:rsid w:val="00315CB7"/>
    <w:rsid w:val="003168D5"/>
    <w:rsid w:val="00316E36"/>
    <w:rsid w:val="00317171"/>
    <w:rsid w:val="00317436"/>
    <w:rsid w:val="003175D2"/>
    <w:rsid w:val="003175EE"/>
    <w:rsid w:val="00321A73"/>
    <w:rsid w:val="00322273"/>
    <w:rsid w:val="003222B6"/>
    <w:rsid w:val="0032296E"/>
    <w:rsid w:val="00322FF5"/>
    <w:rsid w:val="0032371B"/>
    <w:rsid w:val="00323D3E"/>
    <w:rsid w:val="00324958"/>
    <w:rsid w:val="00325107"/>
    <w:rsid w:val="00325785"/>
    <w:rsid w:val="00326032"/>
    <w:rsid w:val="003300E7"/>
    <w:rsid w:val="003309DA"/>
    <w:rsid w:val="0033291D"/>
    <w:rsid w:val="00333D2F"/>
    <w:rsid w:val="00336251"/>
    <w:rsid w:val="0033632E"/>
    <w:rsid w:val="00336B57"/>
    <w:rsid w:val="003372F3"/>
    <w:rsid w:val="00340B51"/>
    <w:rsid w:val="00341635"/>
    <w:rsid w:val="00341899"/>
    <w:rsid w:val="00341C58"/>
    <w:rsid w:val="00341D02"/>
    <w:rsid w:val="00343AB8"/>
    <w:rsid w:val="003442B1"/>
    <w:rsid w:val="00346148"/>
    <w:rsid w:val="003472F2"/>
    <w:rsid w:val="0035206C"/>
    <w:rsid w:val="003526A3"/>
    <w:rsid w:val="003528F8"/>
    <w:rsid w:val="00352EED"/>
    <w:rsid w:val="00353433"/>
    <w:rsid w:val="00353C89"/>
    <w:rsid w:val="00353DF1"/>
    <w:rsid w:val="00357025"/>
    <w:rsid w:val="00362039"/>
    <w:rsid w:val="00362E0F"/>
    <w:rsid w:val="00363CF0"/>
    <w:rsid w:val="00363E8A"/>
    <w:rsid w:val="00364900"/>
    <w:rsid w:val="0036592F"/>
    <w:rsid w:val="00366F8C"/>
    <w:rsid w:val="00367367"/>
    <w:rsid w:val="003714A7"/>
    <w:rsid w:val="0037232E"/>
    <w:rsid w:val="00372E34"/>
    <w:rsid w:val="003732E6"/>
    <w:rsid w:val="00374060"/>
    <w:rsid w:val="00374E50"/>
    <w:rsid w:val="00375427"/>
    <w:rsid w:val="003759BC"/>
    <w:rsid w:val="00377E0E"/>
    <w:rsid w:val="00380FDB"/>
    <w:rsid w:val="00382F30"/>
    <w:rsid w:val="003837B9"/>
    <w:rsid w:val="00383FCD"/>
    <w:rsid w:val="00384722"/>
    <w:rsid w:val="00384EB5"/>
    <w:rsid w:val="00385148"/>
    <w:rsid w:val="0038727E"/>
    <w:rsid w:val="00387BCB"/>
    <w:rsid w:val="0039008F"/>
    <w:rsid w:val="00391603"/>
    <w:rsid w:val="00391D08"/>
    <w:rsid w:val="00391F62"/>
    <w:rsid w:val="003924C8"/>
    <w:rsid w:val="003930DE"/>
    <w:rsid w:val="00393E05"/>
    <w:rsid w:val="003945DE"/>
    <w:rsid w:val="00394CCE"/>
    <w:rsid w:val="00395A1D"/>
    <w:rsid w:val="00396444"/>
    <w:rsid w:val="00397EAA"/>
    <w:rsid w:val="003A1163"/>
    <w:rsid w:val="003A1178"/>
    <w:rsid w:val="003A1764"/>
    <w:rsid w:val="003A221A"/>
    <w:rsid w:val="003A3963"/>
    <w:rsid w:val="003A422E"/>
    <w:rsid w:val="003A568A"/>
    <w:rsid w:val="003A56A8"/>
    <w:rsid w:val="003A6433"/>
    <w:rsid w:val="003A6774"/>
    <w:rsid w:val="003A6AA1"/>
    <w:rsid w:val="003A7A6E"/>
    <w:rsid w:val="003B0CF4"/>
    <w:rsid w:val="003B0EE0"/>
    <w:rsid w:val="003B130D"/>
    <w:rsid w:val="003B15CC"/>
    <w:rsid w:val="003B164D"/>
    <w:rsid w:val="003B253D"/>
    <w:rsid w:val="003B2DD5"/>
    <w:rsid w:val="003B2FB5"/>
    <w:rsid w:val="003B4B2E"/>
    <w:rsid w:val="003B528C"/>
    <w:rsid w:val="003B53F9"/>
    <w:rsid w:val="003B677C"/>
    <w:rsid w:val="003B6A03"/>
    <w:rsid w:val="003B6F5C"/>
    <w:rsid w:val="003B7532"/>
    <w:rsid w:val="003C0C96"/>
    <w:rsid w:val="003C288B"/>
    <w:rsid w:val="003C5088"/>
    <w:rsid w:val="003C5421"/>
    <w:rsid w:val="003C579D"/>
    <w:rsid w:val="003C6910"/>
    <w:rsid w:val="003C725E"/>
    <w:rsid w:val="003C73D5"/>
    <w:rsid w:val="003C74F1"/>
    <w:rsid w:val="003C7633"/>
    <w:rsid w:val="003D1A41"/>
    <w:rsid w:val="003D22A9"/>
    <w:rsid w:val="003D255E"/>
    <w:rsid w:val="003D2CB3"/>
    <w:rsid w:val="003D3679"/>
    <w:rsid w:val="003D3928"/>
    <w:rsid w:val="003D394F"/>
    <w:rsid w:val="003D539D"/>
    <w:rsid w:val="003D62D1"/>
    <w:rsid w:val="003D6D5B"/>
    <w:rsid w:val="003D74C9"/>
    <w:rsid w:val="003E0A37"/>
    <w:rsid w:val="003E174B"/>
    <w:rsid w:val="003E2053"/>
    <w:rsid w:val="003E2305"/>
    <w:rsid w:val="003E2314"/>
    <w:rsid w:val="003E28EE"/>
    <w:rsid w:val="003E2EBC"/>
    <w:rsid w:val="003E44B5"/>
    <w:rsid w:val="003E4513"/>
    <w:rsid w:val="003E4ACC"/>
    <w:rsid w:val="003E56DC"/>
    <w:rsid w:val="003E5EC1"/>
    <w:rsid w:val="003E643A"/>
    <w:rsid w:val="003E6865"/>
    <w:rsid w:val="003E6BE2"/>
    <w:rsid w:val="003F04BD"/>
    <w:rsid w:val="003F05C8"/>
    <w:rsid w:val="003F0A05"/>
    <w:rsid w:val="003F100E"/>
    <w:rsid w:val="003F22B7"/>
    <w:rsid w:val="003F2E58"/>
    <w:rsid w:val="003F3574"/>
    <w:rsid w:val="003F41AC"/>
    <w:rsid w:val="003F4BA4"/>
    <w:rsid w:val="003F5113"/>
    <w:rsid w:val="003F74E0"/>
    <w:rsid w:val="003F7A9A"/>
    <w:rsid w:val="003F7E45"/>
    <w:rsid w:val="00400103"/>
    <w:rsid w:val="0040064A"/>
    <w:rsid w:val="00400818"/>
    <w:rsid w:val="00400A37"/>
    <w:rsid w:val="00400F9C"/>
    <w:rsid w:val="00401D5F"/>
    <w:rsid w:val="00402DC8"/>
    <w:rsid w:val="00402FB2"/>
    <w:rsid w:val="00403E22"/>
    <w:rsid w:val="00404ADB"/>
    <w:rsid w:val="00404C47"/>
    <w:rsid w:val="00405FEE"/>
    <w:rsid w:val="004069F2"/>
    <w:rsid w:val="00406EF2"/>
    <w:rsid w:val="004075EB"/>
    <w:rsid w:val="004078F8"/>
    <w:rsid w:val="004079B5"/>
    <w:rsid w:val="0041016C"/>
    <w:rsid w:val="00410F88"/>
    <w:rsid w:val="00411099"/>
    <w:rsid w:val="00411655"/>
    <w:rsid w:val="00411B20"/>
    <w:rsid w:val="0041298A"/>
    <w:rsid w:val="00413500"/>
    <w:rsid w:val="004140FC"/>
    <w:rsid w:val="0041469D"/>
    <w:rsid w:val="00414D99"/>
    <w:rsid w:val="004151B2"/>
    <w:rsid w:val="00415A0B"/>
    <w:rsid w:val="00416505"/>
    <w:rsid w:val="00416914"/>
    <w:rsid w:val="00416A2C"/>
    <w:rsid w:val="00416B2E"/>
    <w:rsid w:val="00420213"/>
    <w:rsid w:val="00420858"/>
    <w:rsid w:val="00420ADE"/>
    <w:rsid w:val="004229D6"/>
    <w:rsid w:val="00422A61"/>
    <w:rsid w:val="00422C04"/>
    <w:rsid w:val="0042323B"/>
    <w:rsid w:val="00423727"/>
    <w:rsid w:val="00423756"/>
    <w:rsid w:val="00423766"/>
    <w:rsid w:val="00424011"/>
    <w:rsid w:val="00425C88"/>
    <w:rsid w:val="00425F50"/>
    <w:rsid w:val="00427459"/>
    <w:rsid w:val="004300BA"/>
    <w:rsid w:val="00430BB1"/>
    <w:rsid w:val="00431321"/>
    <w:rsid w:val="004327F1"/>
    <w:rsid w:val="0043315E"/>
    <w:rsid w:val="00433984"/>
    <w:rsid w:val="00433C5F"/>
    <w:rsid w:val="00434A0A"/>
    <w:rsid w:val="00435733"/>
    <w:rsid w:val="00437103"/>
    <w:rsid w:val="00437692"/>
    <w:rsid w:val="00437DD1"/>
    <w:rsid w:val="004412BA"/>
    <w:rsid w:val="00441B6A"/>
    <w:rsid w:val="00441D60"/>
    <w:rsid w:val="004424D6"/>
    <w:rsid w:val="004426C6"/>
    <w:rsid w:val="00442840"/>
    <w:rsid w:val="00442B92"/>
    <w:rsid w:val="0044368A"/>
    <w:rsid w:val="00445216"/>
    <w:rsid w:val="00446663"/>
    <w:rsid w:val="004470D6"/>
    <w:rsid w:val="004505D2"/>
    <w:rsid w:val="00450813"/>
    <w:rsid w:val="00451B8B"/>
    <w:rsid w:val="004525B6"/>
    <w:rsid w:val="00454724"/>
    <w:rsid w:val="00454807"/>
    <w:rsid w:val="00455845"/>
    <w:rsid w:val="00456B72"/>
    <w:rsid w:val="004605CC"/>
    <w:rsid w:val="004610F4"/>
    <w:rsid w:val="00461262"/>
    <w:rsid w:val="004617D9"/>
    <w:rsid w:val="00461A34"/>
    <w:rsid w:val="00461F7E"/>
    <w:rsid w:val="00462158"/>
    <w:rsid w:val="00462939"/>
    <w:rsid w:val="00464109"/>
    <w:rsid w:val="00464224"/>
    <w:rsid w:val="0046424B"/>
    <w:rsid w:val="00465715"/>
    <w:rsid w:val="00465A72"/>
    <w:rsid w:val="00465BEB"/>
    <w:rsid w:val="00466242"/>
    <w:rsid w:val="004701F5"/>
    <w:rsid w:val="00470D21"/>
    <w:rsid w:val="00471192"/>
    <w:rsid w:val="00471C9F"/>
    <w:rsid w:val="00471EB2"/>
    <w:rsid w:val="00472786"/>
    <w:rsid w:val="004732EC"/>
    <w:rsid w:val="0047372C"/>
    <w:rsid w:val="004750CC"/>
    <w:rsid w:val="00475FFA"/>
    <w:rsid w:val="004771AF"/>
    <w:rsid w:val="00477310"/>
    <w:rsid w:val="0048134B"/>
    <w:rsid w:val="00481A8E"/>
    <w:rsid w:val="004824B2"/>
    <w:rsid w:val="00482B29"/>
    <w:rsid w:val="00482BB6"/>
    <w:rsid w:val="0048346E"/>
    <w:rsid w:val="00483C9E"/>
    <w:rsid w:val="004841CC"/>
    <w:rsid w:val="004860BC"/>
    <w:rsid w:val="00487A11"/>
    <w:rsid w:val="004902C2"/>
    <w:rsid w:val="004906F3"/>
    <w:rsid w:val="0049093D"/>
    <w:rsid w:val="00491D16"/>
    <w:rsid w:val="00495309"/>
    <w:rsid w:val="004969E0"/>
    <w:rsid w:val="00496D2A"/>
    <w:rsid w:val="004972D9"/>
    <w:rsid w:val="004A0315"/>
    <w:rsid w:val="004A05CF"/>
    <w:rsid w:val="004A099B"/>
    <w:rsid w:val="004A0A1F"/>
    <w:rsid w:val="004A1339"/>
    <w:rsid w:val="004A190E"/>
    <w:rsid w:val="004A5E33"/>
    <w:rsid w:val="004A6666"/>
    <w:rsid w:val="004A6C3F"/>
    <w:rsid w:val="004A7CA1"/>
    <w:rsid w:val="004B1AEC"/>
    <w:rsid w:val="004B3E13"/>
    <w:rsid w:val="004B552F"/>
    <w:rsid w:val="004B5E24"/>
    <w:rsid w:val="004B6C73"/>
    <w:rsid w:val="004B757B"/>
    <w:rsid w:val="004B7758"/>
    <w:rsid w:val="004C0D88"/>
    <w:rsid w:val="004C15BB"/>
    <w:rsid w:val="004C1E21"/>
    <w:rsid w:val="004C20C7"/>
    <w:rsid w:val="004C241C"/>
    <w:rsid w:val="004C361E"/>
    <w:rsid w:val="004C4818"/>
    <w:rsid w:val="004C48B4"/>
    <w:rsid w:val="004C53CE"/>
    <w:rsid w:val="004C6008"/>
    <w:rsid w:val="004C62E1"/>
    <w:rsid w:val="004C7189"/>
    <w:rsid w:val="004C71C3"/>
    <w:rsid w:val="004C7656"/>
    <w:rsid w:val="004C79E8"/>
    <w:rsid w:val="004D0CF9"/>
    <w:rsid w:val="004D0E2E"/>
    <w:rsid w:val="004D1F42"/>
    <w:rsid w:val="004D2298"/>
    <w:rsid w:val="004D2442"/>
    <w:rsid w:val="004D3537"/>
    <w:rsid w:val="004D38A8"/>
    <w:rsid w:val="004D3C55"/>
    <w:rsid w:val="004D4FF4"/>
    <w:rsid w:val="004D61A3"/>
    <w:rsid w:val="004D6AAA"/>
    <w:rsid w:val="004D6D44"/>
    <w:rsid w:val="004E0016"/>
    <w:rsid w:val="004E0AD8"/>
    <w:rsid w:val="004E0B8E"/>
    <w:rsid w:val="004E17B6"/>
    <w:rsid w:val="004E1D1D"/>
    <w:rsid w:val="004E4F3C"/>
    <w:rsid w:val="004E5126"/>
    <w:rsid w:val="004E51BD"/>
    <w:rsid w:val="004E5577"/>
    <w:rsid w:val="004E5EBB"/>
    <w:rsid w:val="004E69B8"/>
    <w:rsid w:val="004E6D40"/>
    <w:rsid w:val="004E7D56"/>
    <w:rsid w:val="004E7FBC"/>
    <w:rsid w:val="004F07D4"/>
    <w:rsid w:val="004F1BF2"/>
    <w:rsid w:val="004F2105"/>
    <w:rsid w:val="004F2110"/>
    <w:rsid w:val="004F2158"/>
    <w:rsid w:val="004F2C00"/>
    <w:rsid w:val="004F348D"/>
    <w:rsid w:val="004F3F14"/>
    <w:rsid w:val="004F50D6"/>
    <w:rsid w:val="004F52F0"/>
    <w:rsid w:val="004F5FB9"/>
    <w:rsid w:val="004F7C4F"/>
    <w:rsid w:val="004F7F7F"/>
    <w:rsid w:val="00501239"/>
    <w:rsid w:val="00501467"/>
    <w:rsid w:val="0050160C"/>
    <w:rsid w:val="00501B56"/>
    <w:rsid w:val="00501BD0"/>
    <w:rsid w:val="00502088"/>
    <w:rsid w:val="00503287"/>
    <w:rsid w:val="005033FE"/>
    <w:rsid w:val="005037E5"/>
    <w:rsid w:val="005038DD"/>
    <w:rsid w:val="00504D82"/>
    <w:rsid w:val="00505DA3"/>
    <w:rsid w:val="00506F29"/>
    <w:rsid w:val="0051472C"/>
    <w:rsid w:val="005160FD"/>
    <w:rsid w:val="00516B77"/>
    <w:rsid w:val="005212C4"/>
    <w:rsid w:val="005213C9"/>
    <w:rsid w:val="00522012"/>
    <w:rsid w:val="0052252A"/>
    <w:rsid w:val="00522D7E"/>
    <w:rsid w:val="005230CE"/>
    <w:rsid w:val="005241BD"/>
    <w:rsid w:val="00524E0E"/>
    <w:rsid w:val="00525378"/>
    <w:rsid w:val="005262E5"/>
    <w:rsid w:val="00530175"/>
    <w:rsid w:val="005301A4"/>
    <w:rsid w:val="00530331"/>
    <w:rsid w:val="0053337E"/>
    <w:rsid w:val="00533BDC"/>
    <w:rsid w:val="00533E1B"/>
    <w:rsid w:val="005342FA"/>
    <w:rsid w:val="005346AD"/>
    <w:rsid w:val="00534A63"/>
    <w:rsid w:val="00534C99"/>
    <w:rsid w:val="00534CB0"/>
    <w:rsid w:val="00536783"/>
    <w:rsid w:val="00536CCA"/>
    <w:rsid w:val="005376E5"/>
    <w:rsid w:val="00537A33"/>
    <w:rsid w:val="00537B42"/>
    <w:rsid w:val="00541F46"/>
    <w:rsid w:val="00542101"/>
    <w:rsid w:val="005423CD"/>
    <w:rsid w:val="0054369B"/>
    <w:rsid w:val="00545666"/>
    <w:rsid w:val="00546091"/>
    <w:rsid w:val="005461ED"/>
    <w:rsid w:val="00546AAD"/>
    <w:rsid w:val="00547699"/>
    <w:rsid w:val="005506B7"/>
    <w:rsid w:val="00551F77"/>
    <w:rsid w:val="00552751"/>
    <w:rsid w:val="005528B4"/>
    <w:rsid w:val="00552C8B"/>
    <w:rsid w:val="00553466"/>
    <w:rsid w:val="005543E3"/>
    <w:rsid w:val="00554BAA"/>
    <w:rsid w:val="0055573B"/>
    <w:rsid w:val="00555A61"/>
    <w:rsid w:val="00557604"/>
    <w:rsid w:val="00561476"/>
    <w:rsid w:val="005646B4"/>
    <w:rsid w:val="005654D5"/>
    <w:rsid w:val="00565CD7"/>
    <w:rsid w:val="00566392"/>
    <w:rsid w:val="00567186"/>
    <w:rsid w:val="0057018A"/>
    <w:rsid w:val="00570367"/>
    <w:rsid w:val="00570594"/>
    <w:rsid w:val="00570669"/>
    <w:rsid w:val="00571130"/>
    <w:rsid w:val="00571B61"/>
    <w:rsid w:val="00572ED3"/>
    <w:rsid w:val="0057314B"/>
    <w:rsid w:val="00575890"/>
    <w:rsid w:val="00576640"/>
    <w:rsid w:val="00576BCF"/>
    <w:rsid w:val="005772B3"/>
    <w:rsid w:val="00577BF1"/>
    <w:rsid w:val="00577F73"/>
    <w:rsid w:val="0058003F"/>
    <w:rsid w:val="00581201"/>
    <w:rsid w:val="0058197E"/>
    <w:rsid w:val="005820C8"/>
    <w:rsid w:val="00582AB0"/>
    <w:rsid w:val="005835FE"/>
    <w:rsid w:val="005837E5"/>
    <w:rsid w:val="00585D22"/>
    <w:rsid w:val="00590277"/>
    <w:rsid w:val="005906F2"/>
    <w:rsid w:val="0059094B"/>
    <w:rsid w:val="005914ED"/>
    <w:rsid w:val="005917A2"/>
    <w:rsid w:val="00592043"/>
    <w:rsid w:val="005929AC"/>
    <w:rsid w:val="00592EBB"/>
    <w:rsid w:val="005944DE"/>
    <w:rsid w:val="0059482F"/>
    <w:rsid w:val="00594F2D"/>
    <w:rsid w:val="0059512F"/>
    <w:rsid w:val="005959E6"/>
    <w:rsid w:val="00595BEF"/>
    <w:rsid w:val="00595FDD"/>
    <w:rsid w:val="005966AE"/>
    <w:rsid w:val="005969E4"/>
    <w:rsid w:val="005974B2"/>
    <w:rsid w:val="005A0097"/>
    <w:rsid w:val="005A095C"/>
    <w:rsid w:val="005A14CA"/>
    <w:rsid w:val="005A3021"/>
    <w:rsid w:val="005A41D8"/>
    <w:rsid w:val="005A4323"/>
    <w:rsid w:val="005A4962"/>
    <w:rsid w:val="005A540F"/>
    <w:rsid w:val="005A5879"/>
    <w:rsid w:val="005A5940"/>
    <w:rsid w:val="005A7691"/>
    <w:rsid w:val="005B0C23"/>
    <w:rsid w:val="005B2B61"/>
    <w:rsid w:val="005B4A17"/>
    <w:rsid w:val="005B4E80"/>
    <w:rsid w:val="005B5D25"/>
    <w:rsid w:val="005B5D81"/>
    <w:rsid w:val="005B5E01"/>
    <w:rsid w:val="005B7737"/>
    <w:rsid w:val="005C0F43"/>
    <w:rsid w:val="005C2F5B"/>
    <w:rsid w:val="005C354E"/>
    <w:rsid w:val="005C4395"/>
    <w:rsid w:val="005C60A4"/>
    <w:rsid w:val="005C65F5"/>
    <w:rsid w:val="005C6D27"/>
    <w:rsid w:val="005D05DC"/>
    <w:rsid w:val="005D0D2D"/>
    <w:rsid w:val="005D17A4"/>
    <w:rsid w:val="005D1C02"/>
    <w:rsid w:val="005D1C08"/>
    <w:rsid w:val="005D1E07"/>
    <w:rsid w:val="005D3AFC"/>
    <w:rsid w:val="005D3C25"/>
    <w:rsid w:val="005D3E0B"/>
    <w:rsid w:val="005D3FBD"/>
    <w:rsid w:val="005D45EA"/>
    <w:rsid w:val="005D46D0"/>
    <w:rsid w:val="005D4863"/>
    <w:rsid w:val="005D5064"/>
    <w:rsid w:val="005D555D"/>
    <w:rsid w:val="005D75F7"/>
    <w:rsid w:val="005D7C40"/>
    <w:rsid w:val="005D7EAD"/>
    <w:rsid w:val="005E0444"/>
    <w:rsid w:val="005E0937"/>
    <w:rsid w:val="005E1AC1"/>
    <w:rsid w:val="005E21C0"/>
    <w:rsid w:val="005E4775"/>
    <w:rsid w:val="005E58BD"/>
    <w:rsid w:val="005E7EC1"/>
    <w:rsid w:val="005E7EE7"/>
    <w:rsid w:val="005F0002"/>
    <w:rsid w:val="005F1BC1"/>
    <w:rsid w:val="005F3860"/>
    <w:rsid w:val="005F3F4A"/>
    <w:rsid w:val="005F45D0"/>
    <w:rsid w:val="005F5102"/>
    <w:rsid w:val="005F6145"/>
    <w:rsid w:val="005F6E50"/>
    <w:rsid w:val="0060086A"/>
    <w:rsid w:val="00600B6E"/>
    <w:rsid w:val="0060108A"/>
    <w:rsid w:val="0060132F"/>
    <w:rsid w:val="006014C5"/>
    <w:rsid w:val="00602AC7"/>
    <w:rsid w:val="00602C63"/>
    <w:rsid w:val="006030A4"/>
    <w:rsid w:val="00603887"/>
    <w:rsid w:val="00603F0D"/>
    <w:rsid w:val="0060588B"/>
    <w:rsid w:val="00605BD6"/>
    <w:rsid w:val="00605D92"/>
    <w:rsid w:val="00606EC8"/>
    <w:rsid w:val="00606FD7"/>
    <w:rsid w:val="00607FA4"/>
    <w:rsid w:val="0061090A"/>
    <w:rsid w:val="00611198"/>
    <w:rsid w:val="006117B7"/>
    <w:rsid w:val="00611E54"/>
    <w:rsid w:val="0061224B"/>
    <w:rsid w:val="006125E4"/>
    <w:rsid w:val="00612720"/>
    <w:rsid w:val="0061464E"/>
    <w:rsid w:val="00614967"/>
    <w:rsid w:val="006149AB"/>
    <w:rsid w:val="00614BE7"/>
    <w:rsid w:val="0061561F"/>
    <w:rsid w:val="00617746"/>
    <w:rsid w:val="006178CC"/>
    <w:rsid w:val="00617EF8"/>
    <w:rsid w:val="00621D0D"/>
    <w:rsid w:val="006224E4"/>
    <w:rsid w:val="0062297C"/>
    <w:rsid w:val="00622B80"/>
    <w:rsid w:val="006236D0"/>
    <w:rsid w:val="00623D6F"/>
    <w:rsid w:val="0062506E"/>
    <w:rsid w:val="006260F5"/>
    <w:rsid w:val="006261FE"/>
    <w:rsid w:val="00626F3C"/>
    <w:rsid w:val="00626FDD"/>
    <w:rsid w:val="00627AA9"/>
    <w:rsid w:val="006300C8"/>
    <w:rsid w:val="00630BE4"/>
    <w:rsid w:val="00630D61"/>
    <w:rsid w:val="0063136C"/>
    <w:rsid w:val="0063140D"/>
    <w:rsid w:val="00632DC0"/>
    <w:rsid w:val="0063467E"/>
    <w:rsid w:val="00635FBE"/>
    <w:rsid w:val="006376CF"/>
    <w:rsid w:val="00637B0C"/>
    <w:rsid w:val="00640385"/>
    <w:rsid w:val="00640B19"/>
    <w:rsid w:val="00640CB3"/>
    <w:rsid w:val="00640D33"/>
    <w:rsid w:val="00640F67"/>
    <w:rsid w:val="006422DD"/>
    <w:rsid w:val="0064234C"/>
    <w:rsid w:val="00642824"/>
    <w:rsid w:val="0064360E"/>
    <w:rsid w:val="00643D94"/>
    <w:rsid w:val="0064473B"/>
    <w:rsid w:val="00644FE4"/>
    <w:rsid w:val="0064505C"/>
    <w:rsid w:val="006457C0"/>
    <w:rsid w:val="00647903"/>
    <w:rsid w:val="0065115D"/>
    <w:rsid w:val="006519EF"/>
    <w:rsid w:val="00653C12"/>
    <w:rsid w:val="006543DF"/>
    <w:rsid w:val="00655180"/>
    <w:rsid w:val="00656172"/>
    <w:rsid w:val="00657B5B"/>
    <w:rsid w:val="00660FD2"/>
    <w:rsid w:val="00661FC7"/>
    <w:rsid w:val="006622C6"/>
    <w:rsid w:val="006626ED"/>
    <w:rsid w:val="00663ECB"/>
    <w:rsid w:val="006651CA"/>
    <w:rsid w:val="00665322"/>
    <w:rsid w:val="00666E0E"/>
    <w:rsid w:val="006678EC"/>
    <w:rsid w:val="00667E52"/>
    <w:rsid w:val="00670252"/>
    <w:rsid w:val="00672CE5"/>
    <w:rsid w:val="0067306B"/>
    <w:rsid w:val="006740E6"/>
    <w:rsid w:val="00674C4F"/>
    <w:rsid w:val="006757D9"/>
    <w:rsid w:val="00677063"/>
    <w:rsid w:val="006820E8"/>
    <w:rsid w:val="0068244C"/>
    <w:rsid w:val="006825C6"/>
    <w:rsid w:val="00682882"/>
    <w:rsid w:val="00682E09"/>
    <w:rsid w:val="00683856"/>
    <w:rsid w:val="0068558C"/>
    <w:rsid w:val="006855B8"/>
    <w:rsid w:val="0068628F"/>
    <w:rsid w:val="00687BD2"/>
    <w:rsid w:val="00687CF5"/>
    <w:rsid w:val="00690497"/>
    <w:rsid w:val="00690CDB"/>
    <w:rsid w:val="00691281"/>
    <w:rsid w:val="00691669"/>
    <w:rsid w:val="00691A78"/>
    <w:rsid w:val="00691F1F"/>
    <w:rsid w:val="0069229A"/>
    <w:rsid w:val="00692630"/>
    <w:rsid w:val="00694573"/>
    <w:rsid w:val="00694BEC"/>
    <w:rsid w:val="00694CDF"/>
    <w:rsid w:val="00695E41"/>
    <w:rsid w:val="00695E46"/>
    <w:rsid w:val="00696174"/>
    <w:rsid w:val="006966C9"/>
    <w:rsid w:val="00696A19"/>
    <w:rsid w:val="0069759D"/>
    <w:rsid w:val="006A07C8"/>
    <w:rsid w:val="006A26EA"/>
    <w:rsid w:val="006A3BD4"/>
    <w:rsid w:val="006A41A4"/>
    <w:rsid w:val="006A5197"/>
    <w:rsid w:val="006A537C"/>
    <w:rsid w:val="006A53C5"/>
    <w:rsid w:val="006A5762"/>
    <w:rsid w:val="006A648B"/>
    <w:rsid w:val="006A7012"/>
    <w:rsid w:val="006A7BF0"/>
    <w:rsid w:val="006B0785"/>
    <w:rsid w:val="006B0933"/>
    <w:rsid w:val="006B277D"/>
    <w:rsid w:val="006B361B"/>
    <w:rsid w:val="006B6171"/>
    <w:rsid w:val="006C082D"/>
    <w:rsid w:val="006C29DA"/>
    <w:rsid w:val="006C340C"/>
    <w:rsid w:val="006C3949"/>
    <w:rsid w:val="006C428E"/>
    <w:rsid w:val="006C4386"/>
    <w:rsid w:val="006C45A4"/>
    <w:rsid w:val="006C504A"/>
    <w:rsid w:val="006C5074"/>
    <w:rsid w:val="006C52B0"/>
    <w:rsid w:val="006C6416"/>
    <w:rsid w:val="006C6C47"/>
    <w:rsid w:val="006D011E"/>
    <w:rsid w:val="006D11F6"/>
    <w:rsid w:val="006D2E8B"/>
    <w:rsid w:val="006D493B"/>
    <w:rsid w:val="006D4A74"/>
    <w:rsid w:val="006D59E4"/>
    <w:rsid w:val="006D637A"/>
    <w:rsid w:val="006E06C2"/>
    <w:rsid w:val="006E0DC9"/>
    <w:rsid w:val="006E0F60"/>
    <w:rsid w:val="006E1198"/>
    <w:rsid w:val="006E182D"/>
    <w:rsid w:val="006E32E1"/>
    <w:rsid w:val="006E6550"/>
    <w:rsid w:val="006E72A1"/>
    <w:rsid w:val="006E7521"/>
    <w:rsid w:val="006E7557"/>
    <w:rsid w:val="006E7855"/>
    <w:rsid w:val="006F11E1"/>
    <w:rsid w:val="006F27DC"/>
    <w:rsid w:val="006F2849"/>
    <w:rsid w:val="006F3D8F"/>
    <w:rsid w:val="006F3E31"/>
    <w:rsid w:val="006F455A"/>
    <w:rsid w:val="006F4FF3"/>
    <w:rsid w:val="006F7D1F"/>
    <w:rsid w:val="006F7F38"/>
    <w:rsid w:val="007009E2"/>
    <w:rsid w:val="007015A1"/>
    <w:rsid w:val="00701BA7"/>
    <w:rsid w:val="00702030"/>
    <w:rsid w:val="0070214E"/>
    <w:rsid w:val="00703BF6"/>
    <w:rsid w:val="00703F12"/>
    <w:rsid w:val="00704423"/>
    <w:rsid w:val="00704D30"/>
    <w:rsid w:val="007057BA"/>
    <w:rsid w:val="00706116"/>
    <w:rsid w:val="007069EE"/>
    <w:rsid w:val="007115B9"/>
    <w:rsid w:val="00711C0D"/>
    <w:rsid w:val="00711DAC"/>
    <w:rsid w:val="007138DD"/>
    <w:rsid w:val="00713F2F"/>
    <w:rsid w:val="00714DD5"/>
    <w:rsid w:val="00714F11"/>
    <w:rsid w:val="00715DA1"/>
    <w:rsid w:val="007204BE"/>
    <w:rsid w:val="00720DF6"/>
    <w:rsid w:val="00721D59"/>
    <w:rsid w:val="00722689"/>
    <w:rsid w:val="00722A73"/>
    <w:rsid w:val="00722F3D"/>
    <w:rsid w:val="00724239"/>
    <w:rsid w:val="0072443A"/>
    <w:rsid w:val="00725620"/>
    <w:rsid w:val="00726B61"/>
    <w:rsid w:val="00726B87"/>
    <w:rsid w:val="007307CE"/>
    <w:rsid w:val="00730FEF"/>
    <w:rsid w:val="00731100"/>
    <w:rsid w:val="0073164A"/>
    <w:rsid w:val="00731D2C"/>
    <w:rsid w:val="007325B3"/>
    <w:rsid w:val="00733B08"/>
    <w:rsid w:val="00733CBD"/>
    <w:rsid w:val="00733ECB"/>
    <w:rsid w:val="007344E2"/>
    <w:rsid w:val="00734647"/>
    <w:rsid w:val="007354A9"/>
    <w:rsid w:val="00735683"/>
    <w:rsid w:val="007362F7"/>
    <w:rsid w:val="00737042"/>
    <w:rsid w:val="0073737F"/>
    <w:rsid w:val="007377BC"/>
    <w:rsid w:val="00740919"/>
    <w:rsid w:val="00740B1C"/>
    <w:rsid w:val="007429B1"/>
    <w:rsid w:val="0074341B"/>
    <w:rsid w:val="00743558"/>
    <w:rsid w:val="007436FF"/>
    <w:rsid w:val="00743753"/>
    <w:rsid w:val="00743E5F"/>
    <w:rsid w:val="00744408"/>
    <w:rsid w:val="0074586D"/>
    <w:rsid w:val="00745CEB"/>
    <w:rsid w:val="00746925"/>
    <w:rsid w:val="0074705D"/>
    <w:rsid w:val="0074791E"/>
    <w:rsid w:val="007510D1"/>
    <w:rsid w:val="00751776"/>
    <w:rsid w:val="0075278E"/>
    <w:rsid w:val="00753387"/>
    <w:rsid w:val="00753F8E"/>
    <w:rsid w:val="007547B3"/>
    <w:rsid w:val="00755647"/>
    <w:rsid w:val="00756B79"/>
    <w:rsid w:val="00756D7E"/>
    <w:rsid w:val="00756FA3"/>
    <w:rsid w:val="007572AF"/>
    <w:rsid w:val="007579EB"/>
    <w:rsid w:val="007600C5"/>
    <w:rsid w:val="0076039A"/>
    <w:rsid w:val="00760715"/>
    <w:rsid w:val="00761617"/>
    <w:rsid w:val="00761F1E"/>
    <w:rsid w:val="0076234B"/>
    <w:rsid w:val="00763B73"/>
    <w:rsid w:val="00763BB8"/>
    <w:rsid w:val="00763BE5"/>
    <w:rsid w:val="007647E5"/>
    <w:rsid w:val="00764D15"/>
    <w:rsid w:val="007652BD"/>
    <w:rsid w:val="00766AC6"/>
    <w:rsid w:val="00767B02"/>
    <w:rsid w:val="00767BFA"/>
    <w:rsid w:val="0077181F"/>
    <w:rsid w:val="00772C90"/>
    <w:rsid w:val="0077328F"/>
    <w:rsid w:val="007740FE"/>
    <w:rsid w:val="00774BBD"/>
    <w:rsid w:val="00774C79"/>
    <w:rsid w:val="00775714"/>
    <w:rsid w:val="00775E6D"/>
    <w:rsid w:val="007760DD"/>
    <w:rsid w:val="00776119"/>
    <w:rsid w:val="007766C6"/>
    <w:rsid w:val="0077770D"/>
    <w:rsid w:val="00777E9D"/>
    <w:rsid w:val="00780B03"/>
    <w:rsid w:val="007813E5"/>
    <w:rsid w:val="00781AFB"/>
    <w:rsid w:val="0078293F"/>
    <w:rsid w:val="00783CD8"/>
    <w:rsid w:val="007849F7"/>
    <w:rsid w:val="00786767"/>
    <w:rsid w:val="007867D9"/>
    <w:rsid w:val="007906DF"/>
    <w:rsid w:val="00790E76"/>
    <w:rsid w:val="00791B46"/>
    <w:rsid w:val="00793B1C"/>
    <w:rsid w:val="0079440F"/>
    <w:rsid w:val="0079497E"/>
    <w:rsid w:val="0079568B"/>
    <w:rsid w:val="00796CEA"/>
    <w:rsid w:val="0079708D"/>
    <w:rsid w:val="00797A3C"/>
    <w:rsid w:val="007A0B0B"/>
    <w:rsid w:val="007A2297"/>
    <w:rsid w:val="007A27D2"/>
    <w:rsid w:val="007A2A35"/>
    <w:rsid w:val="007A33D3"/>
    <w:rsid w:val="007A4096"/>
    <w:rsid w:val="007A4520"/>
    <w:rsid w:val="007A45BA"/>
    <w:rsid w:val="007A4AD7"/>
    <w:rsid w:val="007A53D0"/>
    <w:rsid w:val="007A6BBA"/>
    <w:rsid w:val="007A7448"/>
    <w:rsid w:val="007B01D3"/>
    <w:rsid w:val="007B3378"/>
    <w:rsid w:val="007B3894"/>
    <w:rsid w:val="007B48AC"/>
    <w:rsid w:val="007B4D12"/>
    <w:rsid w:val="007B5651"/>
    <w:rsid w:val="007B56FF"/>
    <w:rsid w:val="007B58BB"/>
    <w:rsid w:val="007B5BB6"/>
    <w:rsid w:val="007B7880"/>
    <w:rsid w:val="007B7DAE"/>
    <w:rsid w:val="007B7FC6"/>
    <w:rsid w:val="007C0002"/>
    <w:rsid w:val="007C1C6C"/>
    <w:rsid w:val="007C2BE6"/>
    <w:rsid w:val="007C3346"/>
    <w:rsid w:val="007C36D4"/>
    <w:rsid w:val="007C62E2"/>
    <w:rsid w:val="007C63A4"/>
    <w:rsid w:val="007C729B"/>
    <w:rsid w:val="007D0047"/>
    <w:rsid w:val="007D04B7"/>
    <w:rsid w:val="007D0E30"/>
    <w:rsid w:val="007D1F4E"/>
    <w:rsid w:val="007D2B09"/>
    <w:rsid w:val="007D2CEB"/>
    <w:rsid w:val="007D3F05"/>
    <w:rsid w:val="007D5109"/>
    <w:rsid w:val="007D549C"/>
    <w:rsid w:val="007D5559"/>
    <w:rsid w:val="007D634A"/>
    <w:rsid w:val="007D63E0"/>
    <w:rsid w:val="007D6665"/>
    <w:rsid w:val="007D684E"/>
    <w:rsid w:val="007D7F51"/>
    <w:rsid w:val="007E0050"/>
    <w:rsid w:val="007E221D"/>
    <w:rsid w:val="007E2604"/>
    <w:rsid w:val="007E36D5"/>
    <w:rsid w:val="007E4637"/>
    <w:rsid w:val="007E4B44"/>
    <w:rsid w:val="007E54FD"/>
    <w:rsid w:val="007E652D"/>
    <w:rsid w:val="007E730A"/>
    <w:rsid w:val="007E76FE"/>
    <w:rsid w:val="007E79F3"/>
    <w:rsid w:val="007F0145"/>
    <w:rsid w:val="007F0688"/>
    <w:rsid w:val="007F0C5F"/>
    <w:rsid w:val="007F18FA"/>
    <w:rsid w:val="007F21C4"/>
    <w:rsid w:val="007F3542"/>
    <w:rsid w:val="007F3A5D"/>
    <w:rsid w:val="007F55C9"/>
    <w:rsid w:val="007F5D69"/>
    <w:rsid w:val="007F5DA8"/>
    <w:rsid w:val="0080044C"/>
    <w:rsid w:val="00801128"/>
    <w:rsid w:val="00801B50"/>
    <w:rsid w:val="00801E44"/>
    <w:rsid w:val="00801F6D"/>
    <w:rsid w:val="00802025"/>
    <w:rsid w:val="008042A8"/>
    <w:rsid w:val="0080477C"/>
    <w:rsid w:val="00804C92"/>
    <w:rsid w:val="00804CD5"/>
    <w:rsid w:val="0080553F"/>
    <w:rsid w:val="00805AD9"/>
    <w:rsid w:val="0080635A"/>
    <w:rsid w:val="00811363"/>
    <w:rsid w:val="00812307"/>
    <w:rsid w:val="00812F6B"/>
    <w:rsid w:val="0081312E"/>
    <w:rsid w:val="00813149"/>
    <w:rsid w:val="00814B43"/>
    <w:rsid w:val="008159F1"/>
    <w:rsid w:val="00817FE2"/>
    <w:rsid w:val="00821241"/>
    <w:rsid w:val="00821309"/>
    <w:rsid w:val="00822345"/>
    <w:rsid w:val="00822BEF"/>
    <w:rsid w:val="008231C7"/>
    <w:rsid w:val="00823DD6"/>
    <w:rsid w:val="008250F9"/>
    <w:rsid w:val="00825E31"/>
    <w:rsid w:val="00826A23"/>
    <w:rsid w:val="0082791B"/>
    <w:rsid w:val="00827A26"/>
    <w:rsid w:val="008317CE"/>
    <w:rsid w:val="0083193E"/>
    <w:rsid w:val="00833810"/>
    <w:rsid w:val="00834933"/>
    <w:rsid w:val="00835682"/>
    <w:rsid w:val="00836684"/>
    <w:rsid w:val="0083793F"/>
    <w:rsid w:val="00837B26"/>
    <w:rsid w:val="0084034B"/>
    <w:rsid w:val="008404A2"/>
    <w:rsid w:val="008408C0"/>
    <w:rsid w:val="00840A39"/>
    <w:rsid w:val="00841833"/>
    <w:rsid w:val="00841867"/>
    <w:rsid w:val="00843340"/>
    <w:rsid w:val="00844407"/>
    <w:rsid w:val="00844F4C"/>
    <w:rsid w:val="00845C4C"/>
    <w:rsid w:val="008461F2"/>
    <w:rsid w:val="00846276"/>
    <w:rsid w:val="00846826"/>
    <w:rsid w:val="00846C6D"/>
    <w:rsid w:val="0084782B"/>
    <w:rsid w:val="0084798D"/>
    <w:rsid w:val="00847D21"/>
    <w:rsid w:val="0085072E"/>
    <w:rsid w:val="00850FA7"/>
    <w:rsid w:val="00851FEF"/>
    <w:rsid w:val="00852804"/>
    <w:rsid w:val="00853626"/>
    <w:rsid w:val="0085413A"/>
    <w:rsid w:val="008546D6"/>
    <w:rsid w:val="008558AB"/>
    <w:rsid w:val="00855B0D"/>
    <w:rsid w:val="00855E4B"/>
    <w:rsid w:val="008566D3"/>
    <w:rsid w:val="00856863"/>
    <w:rsid w:val="00857AB4"/>
    <w:rsid w:val="00857D8F"/>
    <w:rsid w:val="008605E8"/>
    <w:rsid w:val="00860A8F"/>
    <w:rsid w:val="00861114"/>
    <w:rsid w:val="00861173"/>
    <w:rsid w:val="00861DE6"/>
    <w:rsid w:val="008625D9"/>
    <w:rsid w:val="00863313"/>
    <w:rsid w:val="008642B9"/>
    <w:rsid w:val="0086496C"/>
    <w:rsid w:val="008670EE"/>
    <w:rsid w:val="008674B6"/>
    <w:rsid w:val="008675F8"/>
    <w:rsid w:val="00870133"/>
    <w:rsid w:val="0087216E"/>
    <w:rsid w:val="00872901"/>
    <w:rsid w:val="00873D15"/>
    <w:rsid w:val="00875BB5"/>
    <w:rsid w:val="00875FBE"/>
    <w:rsid w:val="0087602E"/>
    <w:rsid w:val="0087609D"/>
    <w:rsid w:val="008760CE"/>
    <w:rsid w:val="008767FF"/>
    <w:rsid w:val="00876ACE"/>
    <w:rsid w:val="00876C2E"/>
    <w:rsid w:val="008770D5"/>
    <w:rsid w:val="008778E9"/>
    <w:rsid w:val="0087793F"/>
    <w:rsid w:val="00877FA2"/>
    <w:rsid w:val="00880646"/>
    <w:rsid w:val="00880B6C"/>
    <w:rsid w:val="00881021"/>
    <w:rsid w:val="008816D4"/>
    <w:rsid w:val="00882EA7"/>
    <w:rsid w:val="00882FA4"/>
    <w:rsid w:val="00883479"/>
    <w:rsid w:val="008845DA"/>
    <w:rsid w:val="00885F5F"/>
    <w:rsid w:val="008865FC"/>
    <w:rsid w:val="0088750C"/>
    <w:rsid w:val="008903ED"/>
    <w:rsid w:val="00890829"/>
    <w:rsid w:val="0089089E"/>
    <w:rsid w:val="00890F46"/>
    <w:rsid w:val="00891859"/>
    <w:rsid w:val="00892532"/>
    <w:rsid w:val="00893056"/>
    <w:rsid w:val="008939F1"/>
    <w:rsid w:val="0089541E"/>
    <w:rsid w:val="008956F2"/>
    <w:rsid w:val="00896A28"/>
    <w:rsid w:val="00897CB4"/>
    <w:rsid w:val="008A01FB"/>
    <w:rsid w:val="008A027D"/>
    <w:rsid w:val="008A0634"/>
    <w:rsid w:val="008A1FA7"/>
    <w:rsid w:val="008A2146"/>
    <w:rsid w:val="008A2D58"/>
    <w:rsid w:val="008A3F34"/>
    <w:rsid w:val="008A5119"/>
    <w:rsid w:val="008A537D"/>
    <w:rsid w:val="008A5801"/>
    <w:rsid w:val="008A6E74"/>
    <w:rsid w:val="008A74C5"/>
    <w:rsid w:val="008B0011"/>
    <w:rsid w:val="008B00A9"/>
    <w:rsid w:val="008B10AD"/>
    <w:rsid w:val="008B18DE"/>
    <w:rsid w:val="008B2B7B"/>
    <w:rsid w:val="008B544C"/>
    <w:rsid w:val="008B5FC6"/>
    <w:rsid w:val="008B613C"/>
    <w:rsid w:val="008B6AE8"/>
    <w:rsid w:val="008B77EA"/>
    <w:rsid w:val="008B786D"/>
    <w:rsid w:val="008C0908"/>
    <w:rsid w:val="008C124C"/>
    <w:rsid w:val="008C2CDE"/>
    <w:rsid w:val="008C3FF8"/>
    <w:rsid w:val="008C54E4"/>
    <w:rsid w:val="008C57B7"/>
    <w:rsid w:val="008C61FD"/>
    <w:rsid w:val="008C6424"/>
    <w:rsid w:val="008C7196"/>
    <w:rsid w:val="008D058D"/>
    <w:rsid w:val="008D06DB"/>
    <w:rsid w:val="008D0E4D"/>
    <w:rsid w:val="008D0ECD"/>
    <w:rsid w:val="008D0F51"/>
    <w:rsid w:val="008D250E"/>
    <w:rsid w:val="008D374E"/>
    <w:rsid w:val="008D4634"/>
    <w:rsid w:val="008D4864"/>
    <w:rsid w:val="008D4B21"/>
    <w:rsid w:val="008D6566"/>
    <w:rsid w:val="008D65B4"/>
    <w:rsid w:val="008D6785"/>
    <w:rsid w:val="008D67B7"/>
    <w:rsid w:val="008D7EE2"/>
    <w:rsid w:val="008E008D"/>
    <w:rsid w:val="008E06F0"/>
    <w:rsid w:val="008E0F05"/>
    <w:rsid w:val="008E112B"/>
    <w:rsid w:val="008E1249"/>
    <w:rsid w:val="008E249E"/>
    <w:rsid w:val="008E2D87"/>
    <w:rsid w:val="008E2E11"/>
    <w:rsid w:val="008E45B9"/>
    <w:rsid w:val="008E47A7"/>
    <w:rsid w:val="008E49EC"/>
    <w:rsid w:val="008E4D5A"/>
    <w:rsid w:val="008E5C8B"/>
    <w:rsid w:val="008E5E2F"/>
    <w:rsid w:val="008E6EE6"/>
    <w:rsid w:val="008E755F"/>
    <w:rsid w:val="008E7A59"/>
    <w:rsid w:val="008E7F33"/>
    <w:rsid w:val="008F02E3"/>
    <w:rsid w:val="008F08EC"/>
    <w:rsid w:val="008F0E94"/>
    <w:rsid w:val="008F1430"/>
    <w:rsid w:val="008F219E"/>
    <w:rsid w:val="008F3360"/>
    <w:rsid w:val="008F3409"/>
    <w:rsid w:val="008F3588"/>
    <w:rsid w:val="008F3614"/>
    <w:rsid w:val="008F4753"/>
    <w:rsid w:val="008F4DBA"/>
    <w:rsid w:val="008F4EB2"/>
    <w:rsid w:val="008F5480"/>
    <w:rsid w:val="008F5A2E"/>
    <w:rsid w:val="008F5AC0"/>
    <w:rsid w:val="008F768F"/>
    <w:rsid w:val="008F7CEA"/>
    <w:rsid w:val="0090031B"/>
    <w:rsid w:val="00900A30"/>
    <w:rsid w:val="009018E9"/>
    <w:rsid w:val="0090261A"/>
    <w:rsid w:val="009029BE"/>
    <w:rsid w:val="00905656"/>
    <w:rsid w:val="00905D39"/>
    <w:rsid w:val="009064AB"/>
    <w:rsid w:val="00907BCC"/>
    <w:rsid w:val="00907E0F"/>
    <w:rsid w:val="00910056"/>
    <w:rsid w:val="00910663"/>
    <w:rsid w:val="00910C02"/>
    <w:rsid w:val="00910E74"/>
    <w:rsid w:val="00911672"/>
    <w:rsid w:val="00911C0C"/>
    <w:rsid w:val="00911E37"/>
    <w:rsid w:val="009127A2"/>
    <w:rsid w:val="00912E63"/>
    <w:rsid w:val="00913244"/>
    <w:rsid w:val="009142E3"/>
    <w:rsid w:val="0091486F"/>
    <w:rsid w:val="00914D75"/>
    <w:rsid w:val="009162E0"/>
    <w:rsid w:val="00917BD7"/>
    <w:rsid w:val="00920778"/>
    <w:rsid w:val="00920EBA"/>
    <w:rsid w:val="0092121A"/>
    <w:rsid w:val="0092199F"/>
    <w:rsid w:val="009227AB"/>
    <w:rsid w:val="00924876"/>
    <w:rsid w:val="00924AE4"/>
    <w:rsid w:val="009253DD"/>
    <w:rsid w:val="00925787"/>
    <w:rsid w:val="00925EF4"/>
    <w:rsid w:val="009263B0"/>
    <w:rsid w:val="009265AB"/>
    <w:rsid w:val="00927B8E"/>
    <w:rsid w:val="00931233"/>
    <w:rsid w:val="00931AF6"/>
    <w:rsid w:val="00932114"/>
    <w:rsid w:val="0093279C"/>
    <w:rsid w:val="0093429D"/>
    <w:rsid w:val="00934A2F"/>
    <w:rsid w:val="00935023"/>
    <w:rsid w:val="009351B2"/>
    <w:rsid w:val="00935A65"/>
    <w:rsid w:val="00935C2E"/>
    <w:rsid w:val="009366FC"/>
    <w:rsid w:val="00936A46"/>
    <w:rsid w:val="00936A81"/>
    <w:rsid w:val="00937AFB"/>
    <w:rsid w:val="00937E78"/>
    <w:rsid w:val="00937F62"/>
    <w:rsid w:val="00941FFB"/>
    <w:rsid w:val="009428EA"/>
    <w:rsid w:val="0094397C"/>
    <w:rsid w:val="00944092"/>
    <w:rsid w:val="009440F6"/>
    <w:rsid w:val="0094432D"/>
    <w:rsid w:val="009446C0"/>
    <w:rsid w:val="0094498F"/>
    <w:rsid w:val="00944B5C"/>
    <w:rsid w:val="009454BE"/>
    <w:rsid w:val="00946F2B"/>
    <w:rsid w:val="009476C1"/>
    <w:rsid w:val="00947750"/>
    <w:rsid w:val="00950E79"/>
    <w:rsid w:val="00951417"/>
    <w:rsid w:val="00951504"/>
    <w:rsid w:val="00951E71"/>
    <w:rsid w:val="00951EC9"/>
    <w:rsid w:val="00952A20"/>
    <w:rsid w:val="009535F2"/>
    <w:rsid w:val="009548FB"/>
    <w:rsid w:val="00955A2D"/>
    <w:rsid w:val="00956559"/>
    <w:rsid w:val="00956A91"/>
    <w:rsid w:val="00956C25"/>
    <w:rsid w:val="00956CC3"/>
    <w:rsid w:val="009575CD"/>
    <w:rsid w:val="00960117"/>
    <w:rsid w:val="009601E0"/>
    <w:rsid w:val="00960964"/>
    <w:rsid w:val="009609B3"/>
    <w:rsid w:val="00960A9E"/>
    <w:rsid w:val="009612DF"/>
    <w:rsid w:val="009615FD"/>
    <w:rsid w:val="009636AB"/>
    <w:rsid w:val="009661B5"/>
    <w:rsid w:val="009669A5"/>
    <w:rsid w:val="00966BAF"/>
    <w:rsid w:val="00966E84"/>
    <w:rsid w:val="0096718B"/>
    <w:rsid w:val="00967D47"/>
    <w:rsid w:val="00970682"/>
    <w:rsid w:val="00971303"/>
    <w:rsid w:val="0097176D"/>
    <w:rsid w:val="00971F59"/>
    <w:rsid w:val="00972093"/>
    <w:rsid w:val="00972B8A"/>
    <w:rsid w:val="009737BE"/>
    <w:rsid w:val="0097591A"/>
    <w:rsid w:val="00976D5F"/>
    <w:rsid w:val="00977191"/>
    <w:rsid w:val="00977266"/>
    <w:rsid w:val="00977EAF"/>
    <w:rsid w:val="00980010"/>
    <w:rsid w:val="0098095B"/>
    <w:rsid w:val="00981F76"/>
    <w:rsid w:val="00982C29"/>
    <w:rsid w:val="0098328D"/>
    <w:rsid w:val="009836E8"/>
    <w:rsid w:val="009838C6"/>
    <w:rsid w:val="00983CFA"/>
    <w:rsid w:val="00984167"/>
    <w:rsid w:val="00984D9D"/>
    <w:rsid w:val="009855A1"/>
    <w:rsid w:val="00986362"/>
    <w:rsid w:val="00986684"/>
    <w:rsid w:val="00990517"/>
    <w:rsid w:val="0099080E"/>
    <w:rsid w:val="009910BE"/>
    <w:rsid w:val="00992657"/>
    <w:rsid w:val="00992F5B"/>
    <w:rsid w:val="009930C3"/>
    <w:rsid w:val="00993AA4"/>
    <w:rsid w:val="00993ADE"/>
    <w:rsid w:val="0099408C"/>
    <w:rsid w:val="00994978"/>
    <w:rsid w:val="0099511D"/>
    <w:rsid w:val="00995A40"/>
    <w:rsid w:val="00995C59"/>
    <w:rsid w:val="009961FD"/>
    <w:rsid w:val="00996F14"/>
    <w:rsid w:val="00997AB8"/>
    <w:rsid w:val="009A02C1"/>
    <w:rsid w:val="009A2A26"/>
    <w:rsid w:val="009A3CD1"/>
    <w:rsid w:val="009A4F5C"/>
    <w:rsid w:val="009A5F5C"/>
    <w:rsid w:val="009A64ED"/>
    <w:rsid w:val="009A679D"/>
    <w:rsid w:val="009A6DD8"/>
    <w:rsid w:val="009A761E"/>
    <w:rsid w:val="009A77A9"/>
    <w:rsid w:val="009B112E"/>
    <w:rsid w:val="009B16A0"/>
    <w:rsid w:val="009B1FF9"/>
    <w:rsid w:val="009B732E"/>
    <w:rsid w:val="009C09D5"/>
    <w:rsid w:val="009C1618"/>
    <w:rsid w:val="009C31F2"/>
    <w:rsid w:val="009C393F"/>
    <w:rsid w:val="009C4B8E"/>
    <w:rsid w:val="009C57E8"/>
    <w:rsid w:val="009C5B51"/>
    <w:rsid w:val="009C5E8F"/>
    <w:rsid w:val="009C6E65"/>
    <w:rsid w:val="009C752C"/>
    <w:rsid w:val="009C78DA"/>
    <w:rsid w:val="009C7A24"/>
    <w:rsid w:val="009D00CC"/>
    <w:rsid w:val="009D0FB6"/>
    <w:rsid w:val="009D1AF6"/>
    <w:rsid w:val="009D1CE5"/>
    <w:rsid w:val="009D2453"/>
    <w:rsid w:val="009D31B7"/>
    <w:rsid w:val="009D45FC"/>
    <w:rsid w:val="009D4B6B"/>
    <w:rsid w:val="009D4C4F"/>
    <w:rsid w:val="009D55B1"/>
    <w:rsid w:val="009D708B"/>
    <w:rsid w:val="009D7CAA"/>
    <w:rsid w:val="009E078C"/>
    <w:rsid w:val="009E07F7"/>
    <w:rsid w:val="009E088F"/>
    <w:rsid w:val="009E0EA4"/>
    <w:rsid w:val="009E1DEE"/>
    <w:rsid w:val="009E2E59"/>
    <w:rsid w:val="009E332C"/>
    <w:rsid w:val="009E45D6"/>
    <w:rsid w:val="009E4C4E"/>
    <w:rsid w:val="009E4DF4"/>
    <w:rsid w:val="009E57C0"/>
    <w:rsid w:val="009E5BCD"/>
    <w:rsid w:val="009E7127"/>
    <w:rsid w:val="009E71D6"/>
    <w:rsid w:val="009F0512"/>
    <w:rsid w:val="009F0620"/>
    <w:rsid w:val="009F1B43"/>
    <w:rsid w:val="009F315B"/>
    <w:rsid w:val="009F5715"/>
    <w:rsid w:val="009F59EE"/>
    <w:rsid w:val="009F5A54"/>
    <w:rsid w:val="009F6180"/>
    <w:rsid w:val="009F6351"/>
    <w:rsid w:val="009F648B"/>
    <w:rsid w:val="009F6ED5"/>
    <w:rsid w:val="009F7104"/>
    <w:rsid w:val="009F7148"/>
    <w:rsid w:val="00A0048C"/>
    <w:rsid w:val="00A00D60"/>
    <w:rsid w:val="00A01414"/>
    <w:rsid w:val="00A029AA"/>
    <w:rsid w:val="00A040D2"/>
    <w:rsid w:val="00A0562F"/>
    <w:rsid w:val="00A059A7"/>
    <w:rsid w:val="00A06D54"/>
    <w:rsid w:val="00A111BF"/>
    <w:rsid w:val="00A11697"/>
    <w:rsid w:val="00A11EBF"/>
    <w:rsid w:val="00A13AA9"/>
    <w:rsid w:val="00A140D4"/>
    <w:rsid w:val="00A148AE"/>
    <w:rsid w:val="00A14A40"/>
    <w:rsid w:val="00A15343"/>
    <w:rsid w:val="00A15947"/>
    <w:rsid w:val="00A161F4"/>
    <w:rsid w:val="00A1662D"/>
    <w:rsid w:val="00A176B2"/>
    <w:rsid w:val="00A1771D"/>
    <w:rsid w:val="00A17810"/>
    <w:rsid w:val="00A17B8B"/>
    <w:rsid w:val="00A2150E"/>
    <w:rsid w:val="00A2157A"/>
    <w:rsid w:val="00A21644"/>
    <w:rsid w:val="00A21F29"/>
    <w:rsid w:val="00A22685"/>
    <w:rsid w:val="00A22B45"/>
    <w:rsid w:val="00A22EE6"/>
    <w:rsid w:val="00A22F90"/>
    <w:rsid w:val="00A23552"/>
    <w:rsid w:val="00A23625"/>
    <w:rsid w:val="00A23759"/>
    <w:rsid w:val="00A245AF"/>
    <w:rsid w:val="00A24824"/>
    <w:rsid w:val="00A24E97"/>
    <w:rsid w:val="00A256EA"/>
    <w:rsid w:val="00A26A15"/>
    <w:rsid w:val="00A305EE"/>
    <w:rsid w:val="00A32D33"/>
    <w:rsid w:val="00A330E1"/>
    <w:rsid w:val="00A3342F"/>
    <w:rsid w:val="00A3351B"/>
    <w:rsid w:val="00A33729"/>
    <w:rsid w:val="00A3609D"/>
    <w:rsid w:val="00A362C8"/>
    <w:rsid w:val="00A364D9"/>
    <w:rsid w:val="00A36B60"/>
    <w:rsid w:val="00A371F4"/>
    <w:rsid w:val="00A373C2"/>
    <w:rsid w:val="00A37A60"/>
    <w:rsid w:val="00A40C45"/>
    <w:rsid w:val="00A40CC7"/>
    <w:rsid w:val="00A422CF"/>
    <w:rsid w:val="00A431CE"/>
    <w:rsid w:val="00A4323E"/>
    <w:rsid w:val="00A43615"/>
    <w:rsid w:val="00A46629"/>
    <w:rsid w:val="00A46C39"/>
    <w:rsid w:val="00A47DED"/>
    <w:rsid w:val="00A5043A"/>
    <w:rsid w:val="00A519CA"/>
    <w:rsid w:val="00A529D4"/>
    <w:rsid w:val="00A52FE1"/>
    <w:rsid w:val="00A54563"/>
    <w:rsid w:val="00A54B99"/>
    <w:rsid w:val="00A54BAD"/>
    <w:rsid w:val="00A554B3"/>
    <w:rsid w:val="00A56154"/>
    <w:rsid w:val="00A56194"/>
    <w:rsid w:val="00A601C0"/>
    <w:rsid w:val="00A601DE"/>
    <w:rsid w:val="00A60667"/>
    <w:rsid w:val="00A60E8A"/>
    <w:rsid w:val="00A614D5"/>
    <w:rsid w:val="00A61861"/>
    <w:rsid w:val="00A620E1"/>
    <w:rsid w:val="00A64878"/>
    <w:rsid w:val="00A66B3A"/>
    <w:rsid w:val="00A67992"/>
    <w:rsid w:val="00A67D55"/>
    <w:rsid w:val="00A70D78"/>
    <w:rsid w:val="00A72047"/>
    <w:rsid w:val="00A72D97"/>
    <w:rsid w:val="00A730CC"/>
    <w:rsid w:val="00A73779"/>
    <w:rsid w:val="00A73F54"/>
    <w:rsid w:val="00A745E1"/>
    <w:rsid w:val="00A74694"/>
    <w:rsid w:val="00A75BAC"/>
    <w:rsid w:val="00A76078"/>
    <w:rsid w:val="00A76309"/>
    <w:rsid w:val="00A7740C"/>
    <w:rsid w:val="00A77565"/>
    <w:rsid w:val="00A77F86"/>
    <w:rsid w:val="00A80021"/>
    <w:rsid w:val="00A80646"/>
    <w:rsid w:val="00A81494"/>
    <w:rsid w:val="00A81902"/>
    <w:rsid w:val="00A81EBD"/>
    <w:rsid w:val="00A82594"/>
    <w:rsid w:val="00A8635B"/>
    <w:rsid w:val="00A86367"/>
    <w:rsid w:val="00A86F81"/>
    <w:rsid w:val="00A87210"/>
    <w:rsid w:val="00A905EE"/>
    <w:rsid w:val="00A9077F"/>
    <w:rsid w:val="00A91816"/>
    <w:rsid w:val="00A948B4"/>
    <w:rsid w:val="00A97440"/>
    <w:rsid w:val="00A97F74"/>
    <w:rsid w:val="00AA0998"/>
    <w:rsid w:val="00AA0AF0"/>
    <w:rsid w:val="00AA0DE4"/>
    <w:rsid w:val="00AA1D7E"/>
    <w:rsid w:val="00AA2769"/>
    <w:rsid w:val="00AA2A11"/>
    <w:rsid w:val="00AA3DFC"/>
    <w:rsid w:val="00AA48C4"/>
    <w:rsid w:val="00AA5235"/>
    <w:rsid w:val="00AA7172"/>
    <w:rsid w:val="00AB0784"/>
    <w:rsid w:val="00AB0B1B"/>
    <w:rsid w:val="00AB0C51"/>
    <w:rsid w:val="00AB147E"/>
    <w:rsid w:val="00AB1657"/>
    <w:rsid w:val="00AB1790"/>
    <w:rsid w:val="00AB236E"/>
    <w:rsid w:val="00AB3110"/>
    <w:rsid w:val="00AB4467"/>
    <w:rsid w:val="00AB46A1"/>
    <w:rsid w:val="00AB48E4"/>
    <w:rsid w:val="00AB4BC4"/>
    <w:rsid w:val="00AB71E3"/>
    <w:rsid w:val="00AB752C"/>
    <w:rsid w:val="00AB7770"/>
    <w:rsid w:val="00AB7AB1"/>
    <w:rsid w:val="00AB7BD1"/>
    <w:rsid w:val="00AC138D"/>
    <w:rsid w:val="00AC1792"/>
    <w:rsid w:val="00AC1FD4"/>
    <w:rsid w:val="00AC3B99"/>
    <w:rsid w:val="00AC3E31"/>
    <w:rsid w:val="00AC4B1F"/>
    <w:rsid w:val="00AC6716"/>
    <w:rsid w:val="00AC76B6"/>
    <w:rsid w:val="00AD004D"/>
    <w:rsid w:val="00AD0F27"/>
    <w:rsid w:val="00AD1800"/>
    <w:rsid w:val="00AD1921"/>
    <w:rsid w:val="00AD1D57"/>
    <w:rsid w:val="00AD219F"/>
    <w:rsid w:val="00AD2A86"/>
    <w:rsid w:val="00AD2CD2"/>
    <w:rsid w:val="00AD37DA"/>
    <w:rsid w:val="00AD4B6E"/>
    <w:rsid w:val="00AD61DB"/>
    <w:rsid w:val="00AD6CB5"/>
    <w:rsid w:val="00AD79EF"/>
    <w:rsid w:val="00AD7A4B"/>
    <w:rsid w:val="00AE0161"/>
    <w:rsid w:val="00AE0349"/>
    <w:rsid w:val="00AE1478"/>
    <w:rsid w:val="00AE2B9D"/>
    <w:rsid w:val="00AE5874"/>
    <w:rsid w:val="00AE6A79"/>
    <w:rsid w:val="00AE7CDC"/>
    <w:rsid w:val="00AE7D7D"/>
    <w:rsid w:val="00AF059E"/>
    <w:rsid w:val="00AF0C2B"/>
    <w:rsid w:val="00AF106D"/>
    <w:rsid w:val="00AF23C7"/>
    <w:rsid w:val="00AF2406"/>
    <w:rsid w:val="00AF2967"/>
    <w:rsid w:val="00AF2C00"/>
    <w:rsid w:val="00AF2DCE"/>
    <w:rsid w:val="00AF3162"/>
    <w:rsid w:val="00AF378B"/>
    <w:rsid w:val="00AF3BB9"/>
    <w:rsid w:val="00AF3F8F"/>
    <w:rsid w:val="00AF4E64"/>
    <w:rsid w:val="00AF6AD0"/>
    <w:rsid w:val="00B01264"/>
    <w:rsid w:val="00B0145C"/>
    <w:rsid w:val="00B02876"/>
    <w:rsid w:val="00B044E1"/>
    <w:rsid w:val="00B04808"/>
    <w:rsid w:val="00B05745"/>
    <w:rsid w:val="00B0579E"/>
    <w:rsid w:val="00B05A37"/>
    <w:rsid w:val="00B05A3C"/>
    <w:rsid w:val="00B05A53"/>
    <w:rsid w:val="00B0672A"/>
    <w:rsid w:val="00B10AA6"/>
    <w:rsid w:val="00B10FBD"/>
    <w:rsid w:val="00B11139"/>
    <w:rsid w:val="00B115AF"/>
    <w:rsid w:val="00B1228E"/>
    <w:rsid w:val="00B1301D"/>
    <w:rsid w:val="00B13B66"/>
    <w:rsid w:val="00B14EBD"/>
    <w:rsid w:val="00B1504D"/>
    <w:rsid w:val="00B1570E"/>
    <w:rsid w:val="00B15F5F"/>
    <w:rsid w:val="00B16736"/>
    <w:rsid w:val="00B16A10"/>
    <w:rsid w:val="00B1783C"/>
    <w:rsid w:val="00B17D55"/>
    <w:rsid w:val="00B20141"/>
    <w:rsid w:val="00B205DF"/>
    <w:rsid w:val="00B20D7B"/>
    <w:rsid w:val="00B21D68"/>
    <w:rsid w:val="00B24964"/>
    <w:rsid w:val="00B257B2"/>
    <w:rsid w:val="00B26E5F"/>
    <w:rsid w:val="00B275B5"/>
    <w:rsid w:val="00B27D2F"/>
    <w:rsid w:val="00B307CB"/>
    <w:rsid w:val="00B31EBF"/>
    <w:rsid w:val="00B32557"/>
    <w:rsid w:val="00B33F01"/>
    <w:rsid w:val="00B34979"/>
    <w:rsid w:val="00B35698"/>
    <w:rsid w:val="00B358AC"/>
    <w:rsid w:val="00B35D93"/>
    <w:rsid w:val="00B37636"/>
    <w:rsid w:val="00B37786"/>
    <w:rsid w:val="00B41748"/>
    <w:rsid w:val="00B41FAE"/>
    <w:rsid w:val="00B420B8"/>
    <w:rsid w:val="00B43934"/>
    <w:rsid w:val="00B43FC6"/>
    <w:rsid w:val="00B44D34"/>
    <w:rsid w:val="00B44D36"/>
    <w:rsid w:val="00B462FD"/>
    <w:rsid w:val="00B4648A"/>
    <w:rsid w:val="00B4651A"/>
    <w:rsid w:val="00B47181"/>
    <w:rsid w:val="00B50086"/>
    <w:rsid w:val="00B50833"/>
    <w:rsid w:val="00B51F7C"/>
    <w:rsid w:val="00B521E4"/>
    <w:rsid w:val="00B52370"/>
    <w:rsid w:val="00B560EA"/>
    <w:rsid w:val="00B56BCB"/>
    <w:rsid w:val="00B56D25"/>
    <w:rsid w:val="00B57DDD"/>
    <w:rsid w:val="00B60583"/>
    <w:rsid w:val="00B60846"/>
    <w:rsid w:val="00B609DF"/>
    <w:rsid w:val="00B619C8"/>
    <w:rsid w:val="00B6458F"/>
    <w:rsid w:val="00B64B44"/>
    <w:rsid w:val="00B65146"/>
    <w:rsid w:val="00B66285"/>
    <w:rsid w:val="00B66E4C"/>
    <w:rsid w:val="00B670C5"/>
    <w:rsid w:val="00B67224"/>
    <w:rsid w:val="00B7020C"/>
    <w:rsid w:val="00B72195"/>
    <w:rsid w:val="00B72319"/>
    <w:rsid w:val="00B72620"/>
    <w:rsid w:val="00B72C56"/>
    <w:rsid w:val="00B74D7C"/>
    <w:rsid w:val="00B750D9"/>
    <w:rsid w:val="00B758E3"/>
    <w:rsid w:val="00B7611C"/>
    <w:rsid w:val="00B7612B"/>
    <w:rsid w:val="00B7650F"/>
    <w:rsid w:val="00B76A9D"/>
    <w:rsid w:val="00B76B3A"/>
    <w:rsid w:val="00B806D0"/>
    <w:rsid w:val="00B81313"/>
    <w:rsid w:val="00B81471"/>
    <w:rsid w:val="00B818D5"/>
    <w:rsid w:val="00B83741"/>
    <w:rsid w:val="00B83AB9"/>
    <w:rsid w:val="00B8409F"/>
    <w:rsid w:val="00B8461E"/>
    <w:rsid w:val="00B84E00"/>
    <w:rsid w:val="00B85352"/>
    <w:rsid w:val="00B85476"/>
    <w:rsid w:val="00B875F5"/>
    <w:rsid w:val="00B87768"/>
    <w:rsid w:val="00B90906"/>
    <w:rsid w:val="00B92BB3"/>
    <w:rsid w:val="00B93306"/>
    <w:rsid w:val="00B9399C"/>
    <w:rsid w:val="00B944E2"/>
    <w:rsid w:val="00B94E1F"/>
    <w:rsid w:val="00B95EA1"/>
    <w:rsid w:val="00B96F4E"/>
    <w:rsid w:val="00B970B2"/>
    <w:rsid w:val="00B97824"/>
    <w:rsid w:val="00BA1160"/>
    <w:rsid w:val="00BA19C4"/>
    <w:rsid w:val="00BA1E11"/>
    <w:rsid w:val="00BA26FA"/>
    <w:rsid w:val="00BA2B56"/>
    <w:rsid w:val="00BA55CA"/>
    <w:rsid w:val="00BA5954"/>
    <w:rsid w:val="00BA6627"/>
    <w:rsid w:val="00BA6A4D"/>
    <w:rsid w:val="00BA6E10"/>
    <w:rsid w:val="00BA7540"/>
    <w:rsid w:val="00BB011C"/>
    <w:rsid w:val="00BB0C08"/>
    <w:rsid w:val="00BB2959"/>
    <w:rsid w:val="00BB2C0C"/>
    <w:rsid w:val="00BB2E91"/>
    <w:rsid w:val="00BB2F8D"/>
    <w:rsid w:val="00BB3524"/>
    <w:rsid w:val="00BB3E63"/>
    <w:rsid w:val="00BB408A"/>
    <w:rsid w:val="00BB4992"/>
    <w:rsid w:val="00BB6061"/>
    <w:rsid w:val="00BB6BB9"/>
    <w:rsid w:val="00BB76E1"/>
    <w:rsid w:val="00BC00EB"/>
    <w:rsid w:val="00BC0214"/>
    <w:rsid w:val="00BC1826"/>
    <w:rsid w:val="00BC1D89"/>
    <w:rsid w:val="00BC30DC"/>
    <w:rsid w:val="00BC3E2A"/>
    <w:rsid w:val="00BC52A9"/>
    <w:rsid w:val="00BC5646"/>
    <w:rsid w:val="00BC5831"/>
    <w:rsid w:val="00BC7806"/>
    <w:rsid w:val="00BD074D"/>
    <w:rsid w:val="00BD255B"/>
    <w:rsid w:val="00BD36F5"/>
    <w:rsid w:val="00BD44D0"/>
    <w:rsid w:val="00BD65AF"/>
    <w:rsid w:val="00BD67A1"/>
    <w:rsid w:val="00BD69CA"/>
    <w:rsid w:val="00BD71B0"/>
    <w:rsid w:val="00BD732F"/>
    <w:rsid w:val="00BE048E"/>
    <w:rsid w:val="00BE09D8"/>
    <w:rsid w:val="00BE127E"/>
    <w:rsid w:val="00BE137C"/>
    <w:rsid w:val="00BE1BBE"/>
    <w:rsid w:val="00BE1CFB"/>
    <w:rsid w:val="00BE3874"/>
    <w:rsid w:val="00BE4591"/>
    <w:rsid w:val="00BE70E7"/>
    <w:rsid w:val="00BE71DB"/>
    <w:rsid w:val="00BE7797"/>
    <w:rsid w:val="00BE795A"/>
    <w:rsid w:val="00BF0D2A"/>
    <w:rsid w:val="00BF1216"/>
    <w:rsid w:val="00BF15AA"/>
    <w:rsid w:val="00BF24E3"/>
    <w:rsid w:val="00BF2813"/>
    <w:rsid w:val="00BF412B"/>
    <w:rsid w:val="00BF42EF"/>
    <w:rsid w:val="00BF46A7"/>
    <w:rsid w:val="00BF4A8D"/>
    <w:rsid w:val="00BF4C1A"/>
    <w:rsid w:val="00BF4C6F"/>
    <w:rsid w:val="00BF5A16"/>
    <w:rsid w:val="00BF5BBD"/>
    <w:rsid w:val="00BF5E60"/>
    <w:rsid w:val="00BF6201"/>
    <w:rsid w:val="00BF6DD4"/>
    <w:rsid w:val="00C0159C"/>
    <w:rsid w:val="00C01EE0"/>
    <w:rsid w:val="00C03AE6"/>
    <w:rsid w:val="00C0427D"/>
    <w:rsid w:val="00C0457A"/>
    <w:rsid w:val="00C04B67"/>
    <w:rsid w:val="00C04FB2"/>
    <w:rsid w:val="00C064A1"/>
    <w:rsid w:val="00C10198"/>
    <w:rsid w:val="00C108B2"/>
    <w:rsid w:val="00C11139"/>
    <w:rsid w:val="00C11EDF"/>
    <w:rsid w:val="00C134B6"/>
    <w:rsid w:val="00C1617A"/>
    <w:rsid w:val="00C161E0"/>
    <w:rsid w:val="00C17CBF"/>
    <w:rsid w:val="00C2005C"/>
    <w:rsid w:val="00C234E2"/>
    <w:rsid w:val="00C23EDB"/>
    <w:rsid w:val="00C23F84"/>
    <w:rsid w:val="00C2420D"/>
    <w:rsid w:val="00C2424C"/>
    <w:rsid w:val="00C260F3"/>
    <w:rsid w:val="00C261BA"/>
    <w:rsid w:val="00C26616"/>
    <w:rsid w:val="00C270C9"/>
    <w:rsid w:val="00C27590"/>
    <w:rsid w:val="00C30864"/>
    <w:rsid w:val="00C308A5"/>
    <w:rsid w:val="00C30F97"/>
    <w:rsid w:val="00C3112D"/>
    <w:rsid w:val="00C311CF"/>
    <w:rsid w:val="00C31C84"/>
    <w:rsid w:val="00C32020"/>
    <w:rsid w:val="00C320A4"/>
    <w:rsid w:val="00C329A6"/>
    <w:rsid w:val="00C32B36"/>
    <w:rsid w:val="00C32DDF"/>
    <w:rsid w:val="00C341F5"/>
    <w:rsid w:val="00C34288"/>
    <w:rsid w:val="00C357B2"/>
    <w:rsid w:val="00C37771"/>
    <w:rsid w:val="00C37E45"/>
    <w:rsid w:val="00C400CF"/>
    <w:rsid w:val="00C40D0A"/>
    <w:rsid w:val="00C444B5"/>
    <w:rsid w:val="00C4450D"/>
    <w:rsid w:val="00C450A2"/>
    <w:rsid w:val="00C4546F"/>
    <w:rsid w:val="00C46915"/>
    <w:rsid w:val="00C46F32"/>
    <w:rsid w:val="00C5041B"/>
    <w:rsid w:val="00C515E4"/>
    <w:rsid w:val="00C51E84"/>
    <w:rsid w:val="00C51EF2"/>
    <w:rsid w:val="00C52FD7"/>
    <w:rsid w:val="00C531B5"/>
    <w:rsid w:val="00C536B4"/>
    <w:rsid w:val="00C53E24"/>
    <w:rsid w:val="00C54E95"/>
    <w:rsid w:val="00C562CB"/>
    <w:rsid w:val="00C5640D"/>
    <w:rsid w:val="00C56EE6"/>
    <w:rsid w:val="00C57A0E"/>
    <w:rsid w:val="00C6023F"/>
    <w:rsid w:val="00C602B9"/>
    <w:rsid w:val="00C61BF7"/>
    <w:rsid w:val="00C61EF7"/>
    <w:rsid w:val="00C62F74"/>
    <w:rsid w:val="00C636B8"/>
    <w:rsid w:val="00C64777"/>
    <w:rsid w:val="00C6536F"/>
    <w:rsid w:val="00C65F0A"/>
    <w:rsid w:val="00C660F2"/>
    <w:rsid w:val="00C661D7"/>
    <w:rsid w:val="00C66D63"/>
    <w:rsid w:val="00C66ED8"/>
    <w:rsid w:val="00C70A3A"/>
    <w:rsid w:val="00C714B7"/>
    <w:rsid w:val="00C72175"/>
    <w:rsid w:val="00C7282C"/>
    <w:rsid w:val="00C72F78"/>
    <w:rsid w:val="00C73027"/>
    <w:rsid w:val="00C73F6E"/>
    <w:rsid w:val="00C754D3"/>
    <w:rsid w:val="00C75850"/>
    <w:rsid w:val="00C75A37"/>
    <w:rsid w:val="00C75CB6"/>
    <w:rsid w:val="00C769FE"/>
    <w:rsid w:val="00C76FCF"/>
    <w:rsid w:val="00C7740E"/>
    <w:rsid w:val="00C7778E"/>
    <w:rsid w:val="00C77C4C"/>
    <w:rsid w:val="00C77C4E"/>
    <w:rsid w:val="00C81CDA"/>
    <w:rsid w:val="00C8313B"/>
    <w:rsid w:val="00C83D40"/>
    <w:rsid w:val="00C8430A"/>
    <w:rsid w:val="00C87A50"/>
    <w:rsid w:val="00C87A90"/>
    <w:rsid w:val="00C87B9F"/>
    <w:rsid w:val="00C90742"/>
    <w:rsid w:val="00C90751"/>
    <w:rsid w:val="00C913A1"/>
    <w:rsid w:val="00C917BC"/>
    <w:rsid w:val="00C91B88"/>
    <w:rsid w:val="00C9236F"/>
    <w:rsid w:val="00C92CE5"/>
    <w:rsid w:val="00C92EF4"/>
    <w:rsid w:val="00C9367F"/>
    <w:rsid w:val="00C938BA"/>
    <w:rsid w:val="00C94356"/>
    <w:rsid w:val="00C9442B"/>
    <w:rsid w:val="00C946BF"/>
    <w:rsid w:val="00C94EC9"/>
    <w:rsid w:val="00C9559C"/>
    <w:rsid w:val="00C95DE3"/>
    <w:rsid w:val="00C962CA"/>
    <w:rsid w:val="00C9773D"/>
    <w:rsid w:val="00C97A40"/>
    <w:rsid w:val="00CA03A1"/>
    <w:rsid w:val="00CA137F"/>
    <w:rsid w:val="00CA318D"/>
    <w:rsid w:val="00CA3861"/>
    <w:rsid w:val="00CA42FB"/>
    <w:rsid w:val="00CA4D98"/>
    <w:rsid w:val="00CA62C5"/>
    <w:rsid w:val="00CA6A52"/>
    <w:rsid w:val="00CA7789"/>
    <w:rsid w:val="00CB0B5C"/>
    <w:rsid w:val="00CB126E"/>
    <w:rsid w:val="00CB14E7"/>
    <w:rsid w:val="00CB221A"/>
    <w:rsid w:val="00CB4812"/>
    <w:rsid w:val="00CB4B0A"/>
    <w:rsid w:val="00CB4F1D"/>
    <w:rsid w:val="00CB6468"/>
    <w:rsid w:val="00CB680B"/>
    <w:rsid w:val="00CB7C9A"/>
    <w:rsid w:val="00CC282D"/>
    <w:rsid w:val="00CC3E1F"/>
    <w:rsid w:val="00CC4206"/>
    <w:rsid w:val="00CC51CF"/>
    <w:rsid w:val="00CC51F0"/>
    <w:rsid w:val="00CC663F"/>
    <w:rsid w:val="00CC6730"/>
    <w:rsid w:val="00CC7583"/>
    <w:rsid w:val="00CC78AA"/>
    <w:rsid w:val="00CC7BCA"/>
    <w:rsid w:val="00CD0A74"/>
    <w:rsid w:val="00CD10FE"/>
    <w:rsid w:val="00CD275C"/>
    <w:rsid w:val="00CD4A89"/>
    <w:rsid w:val="00CD536E"/>
    <w:rsid w:val="00CD5CDE"/>
    <w:rsid w:val="00CD64C8"/>
    <w:rsid w:val="00CD6752"/>
    <w:rsid w:val="00CD6D71"/>
    <w:rsid w:val="00CD71ED"/>
    <w:rsid w:val="00CE0D7A"/>
    <w:rsid w:val="00CE1992"/>
    <w:rsid w:val="00CE1A71"/>
    <w:rsid w:val="00CE20F4"/>
    <w:rsid w:val="00CE28EA"/>
    <w:rsid w:val="00CE2D3F"/>
    <w:rsid w:val="00CE366F"/>
    <w:rsid w:val="00CE3773"/>
    <w:rsid w:val="00CE4EA6"/>
    <w:rsid w:val="00CE562D"/>
    <w:rsid w:val="00CE5685"/>
    <w:rsid w:val="00CE56C2"/>
    <w:rsid w:val="00CE586C"/>
    <w:rsid w:val="00CE685D"/>
    <w:rsid w:val="00CE6A2B"/>
    <w:rsid w:val="00CE7031"/>
    <w:rsid w:val="00CE7128"/>
    <w:rsid w:val="00CE7577"/>
    <w:rsid w:val="00CF036A"/>
    <w:rsid w:val="00CF12A1"/>
    <w:rsid w:val="00CF16E7"/>
    <w:rsid w:val="00CF1AED"/>
    <w:rsid w:val="00CF1FA4"/>
    <w:rsid w:val="00CF3062"/>
    <w:rsid w:val="00CF3734"/>
    <w:rsid w:val="00CF4321"/>
    <w:rsid w:val="00CF480F"/>
    <w:rsid w:val="00CF65AA"/>
    <w:rsid w:val="00CF7714"/>
    <w:rsid w:val="00CF776B"/>
    <w:rsid w:val="00D034FF"/>
    <w:rsid w:val="00D03C18"/>
    <w:rsid w:val="00D0444F"/>
    <w:rsid w:val="00D04AC4"/>
    <w:rsid w:val="00D04C12"/>
    <w:rsid w:val="00D04C2E"/>
    <w:rsid w:val="00D04EC4"/>
    <w:rsid w:val="00D05568"/>
    <w:rsid w:val="00D05A0B"/>
    <w:rsid w:val="00D05B8D"/>
    <w:rsid w:val="00D06A28"/>
    <w:rsid w:val="00D0781C"/>
    <w:rsid w:val="00D07B80"/>
    <w:rsid w:val="00D07BAF"/>
    <w:rsid w:val="00D10192"/>
    <w:rsid w:val="00D110CA"/>
    <w:rsid w:val="00D11194"/>
    <w:rsid w:val="00D12237"/>
    <w:rsid w:val="00D122EF"/>
    <w:rsid w:val="00D132F9"/>
    <w:rsid w:val="00D157D4"/>
    <w:rsid w:val="00D16AF3"/>
    <w:rsid w:val="00D204B2"/>
    <w:rsid w:val="00D20D3B"/>
    <w:rsid w:val="00D20EAB"/>
    <w:rsid w:val="00D20F3E"/>
    <w:rsid w:val="00D2102B"/>
    <w:rsid w:val="00D21385"/>
    <w:rsid w:val="00D220D9"/>
    <w:rsid w:val="00D23F33"/>
    <w:rsid w:val="00D24C94"/>
    <w:rsid w:val="00D25039"/>
    <w:rsid w:val="00D26197"/>
    <w:rsid w:val="00D2671C"/>
    <w:rsid w:val="00D26F54"/>
    <w:rsid w:val="00D2778D"/>
    <w:rsid w:val="00D27ACD"/>
    <w:rsid w:val="00D30ADE"/>
    <w:rsid w:val="00D327B4"/>
    <w:rsid w:val="00D343D4"/>
    <w:rsid w:val="00D3685C"/>
    <w:rsid w:val="00D368A9"/>
    <w:rsid w:val="00D370F1"/>
    <w:rsid w:val="00D40017"/>
    <w:rsid w:val="00D40C53"/>
    <w:rsid w:val="00D41221"/>
    <w:rsid w:val="00D43CE3"/>
    <w:rsid w:val="00D446EB"/>
    <w:rsid w:val="00D451ED"/>
    <w:rsid w:val="00D45208"/>
    <w:rsid w:val="00D45501"/>
    <w:rsid w:val="00D45551"/>
    <w:rsid w:val="00D457E8"/>
    <w:rsid w:val="00D4587D"/>
    <w:rsid w:val="00D509B4"/>
    <w:rsid w:val="00D543B1"/>
    <w:rsid w:val="00D54542"/>
    <w:rsid w:val="00D54A89"/>
    <w:rsid w:val="00D54AC5"/>
    <w:rsid w:val="00D551A8"/>
    <w:rsid w:val="00D56035"/>
    <w:rsid w:val="00D56723"/>
    <w:rsid w:val="00D56CD0"/>
    <w:rsid w:val="00D5704A"/>
    <w:rsid w:val="00D57142"/>
    <w:rsid w:val="00D5716E"/>
    <w:rsid w:val="00D603C8"/>
    <w:rsid w:val="00D6095E"/>
    <w:rsid w:val="00D609F4"/>
    <w:rsid w:val="00D616DC"/>
    <w:rsid w:val="00D61F6D"/>
    <w:rsid w:val="00D624AE"/>
    <w:rsid w:val="00D626F3"/>
    <w:rsid w:val="00D64171"/>
    <w:rsid w:val="00D65C4E"/>
    <w:rsid w:val="00D65D7D"/>
    <w:rsid w:val="00D66DF0"/>
    <w:rsid w:val="00D67215"/>
    <w:rsid w:val="00D67A63"/>
    <w:rsid w:val="00D67A9C"/>
    <w:rsid w:val="00D67D59"/>
    <w:rsid w:val="00D707DC"/>
    <w:rsid w:val="00D71CAB"/>
    <w:rsid w:val="00D72280"/>
    <w:rsid w:val="00D73EDF"/>
    <w:rsid w:val="00D73EE9"/>
    <w:rsid w:val="00D74323"/>
    <w:rsid w:val="00D7455B"/>
    <w:rsid w:val="00D74C79"/>
    <w:rsid w:val="00D7560C"/>
    <w:rsid w:val="00D75F71"/>
    <w:rsid w:val="00D75FCD"/>
    <w:rsid w:val="00D76BA1"/>
    <w:rsid w:val="00D77835"/>
    <w:rsid w:val="00D77A35"/>
    <w:rsid w:val="00D8196C"/>
    <w:rsid w:val="00D821C2"/>
    <w:rsid w:val="00D82D4D"/>
    <w:rsid w:val="00D83D09"/>
    <w:rsid w:val="00D84692"/>
    <w:rsid w:val="00D86784"/>
    <w:rsid w:val="00D8698E"/>
    <w:rsid w:val="00D869E8"/>
    <w:rsid w:val="00D87D2F"/>
    <w:rsid w:val="00D90FE8"/>
    <w:rsid w:val="00D91A0D"/>
    <w:rsid w:val="00D926C9"/>
    <w:rsid w:val="00D92B4D"/>
    <w:rsid w:val="00D941CE"/>
    <w:rsid w:val="00D943CC"/>
    <w:rsid w:val="00D9483F"/>
    <w:rsid w:val="00D94C4E"/>
    <w:rsid w:val="00D94DB0"/>
    <w:rsid w:val="00D94EC1"/>
    <w:rsid w:val="00D952B0"/>
    <w:rsid w:val="00D95339"/>
    <w:rsid w:val="00D9561F"/>
    <w:rsid w:val="00D9690E"/>
    <w:rsid w:val="00DA1A22"/>
    <w:rsid w:val="00DA2A9C"/>
    <w:rsid w:val="00DA416E"/>
    <w:rsid w:val="00DA4448"/>
    <w:rsid w:val="00DA56A9"/>
    <w:rsid w:val="00DA5BFE"/>
    <w:rsid w:val="00DA63F0"/>
    <w:rsid w:val="00DB0853"/>
    <w:rsid w:val="00DB0EC2"/>
    <w:rsid w:val="00DB11FE"/>
    <w:rsid w:val="00DB3210"/>
    <w:rsid w:val="00DB3489"/>
    <w:rsid w:val="00DB3D01"/>
    <w:rsid w:val="00DB4610"/>
    <w:rsid w:val="00DB4CE0"/>
    <w:rsid w:val="00DB51FC"/>
    <w:rsid w:val="00DB5A56"/>
    <w:rsid w:val="00DB67C7"/>
    <w:rsid w:val="00DB7653"/>
    <w:rsid w:val="00DC0FE4"/>
    <w:rsid w:val="00DC1135"/>
    <w:rsid w:val="00DC176D"/>
    <w:rsid w:val="00DC1F9E"/>
    <w:rsid w:val="00DC2441"/>
    <w:rsid w:val="00DC2A3F"/>
    <w:rsid w:val="00DC2B82"/>
    <w:rsid w:val="00DC4114"/>
    <w:rsid w:val="00DC5A5F"/>
    <w:rsid w:val="00DC5AE9"/>
    <w:rsid w:val="00DC5B41"/>
    <w:rsid w:val="00DC64A9"/>
    <w:rsid w:val="00DC798C"/>
    <w:rsid w:val="00DC7E40"/>
    <w:rsid w:val="00DD0A07"/>
    <w:rsid w:val="00DD16C8"/>
    <w:rsid w:val="00DD3A68"/>
    <w:rsid w:val="00DD401C"/>
    <w:rsid w:val="00DD442A"/>
    <w:rsid w:val="00DD4D82"/>
    <w:rsid w:val="00DD51CF"/>
    <w:rsid w:val="00DD67A9"/>
    <w:rsid w:val="00DD7711"/>
    <w:rsid w:val="00DE1D94"/>
    <w:rsid w:val="00DE1E28"/>
    <w:rsid w:val="00DE2BF9"/>
    <w:rsid w:val="00DE33F1"/>
    <w:rsid w:val="00DE36F8"/>
    <w:rsid w:val="00DE37C4"/>
    <w:rsid w:val="00DE40A6"/>
    <w:rsid w:val="00DE4877"/>
    <w:rsid w:val="00DE4918"/>
    <w:rsid w:val="00DE4B7A"/>
    <w:rsid w:val="00DE5578"/>
    <w:rsid w:val="00DE5F81"/>
    <w:rsid w:val="00DE6F6C"/>
    <w:rsid w:val="00DE7656"/>
    <w:rsid w:val="00DF04F2"/>
    <w:rsid w:val="00DF0C42"/>
    <w:rsid w:val="00DF147D"/>
    <w:rsid w:val="00DF214E"/>
    <w:rsid w:val="00DF23E1"/>
    <w:rsid w:val="00DF337C"/>
    <w:rsid w:val="00DF3644"/>
    <w:rsid w:val="00DF3717"/>
    <w:rsid w:val="00DF4156"/>
    <w:rsid w:val="00DF513E"/>
    <w:rsid w:val="00DF5B71"/>
    <w:rsid w:val="00DF6559"/>
    <w:rsid w:val="00DF660E"/>
    <w:rsid w:val="00DF686C"/>
    <w:rsid w:val="00DF6FEB"/>
    <w:rsid w:val="00DF729B"/>
    <w:rsid w:val="00DF7A75"/>
    <w:rsid w:val="00E00095"/>
    <w:rsid w:val="00E0011A"/>
    <w:rsid w:val="00E0031C"/>
    <w:rsid w:val="00E01A7C"/>
    <w:rsid w:val="00E01CAC"/>
    <w:rsid w:val="00E02403"/>
    <w:rsid w:val="00E026A1"/>
    <w:rsid w:val="00E02E3C"/>
    <w:rsid w:val="00E03535"/>
    <w:rsid w:val="00E03CA1"/>
    <w:rsid w:val="00E0434B"/>
    <w:rsid w:val="00E04C47"/>
    <w:rsid w:val="00E05496"/>
    <w:rsid w:val="00E061E1"/>
    <w:rsid w:val="00E06378"/>
    <w:rsid w:val="00E065AE"/>
    <w:rsid w:val="00E067A1"/>
    <w:rsid w:val="00E06DBD"/>
    <w:rsid w:val="00E105CC"/>
    <w:rsid w:val="00E110AF"/>
    <w:rsid w:val="00E115EC"/>
    <w:rsid w:val="00E116CC"/>
    <w:rsid w:val="00E11933"/>
    <w:rsid w:val="00E11E12"/>
    <w:rsid w:val="00E12DDB"/>
    <w:rsid w:val="00E13248"/>
    <w:rsid w:val="00E14492"/>
    <w:rsid w:val="00E16530"/>
    <w:rsid w:val="00E1714F"/>
    <w:rsid w:val="00E171C5"/>
    <w:rsid w:val="00E17733"/>
    <w:rsid w:val="00E20009"/>
    <w:rsid w:val="00E20DC4"/>
    <w:rsid w:val="00E20FBC"/>
    <w:rsid w:val="00E210E0"/>
    <w:rsid w:val="00E21C6B"/>
    <w:rsid w:val="00E21EC2"/>
    <w:rsid w:val="00E22235"/>
    <w:rsid w:val="00E23D01"/>
    <w:rsid w:val="00E243F4"/>
    <w:rsid w:val="00E246B0"/>
    <w:rsid w:val="00E2591F"/>
    <w:rsid w:val="00E261AB"/>
    <w:rsid w:val="00E274D4"/>
    <w:rsid w:val="00E275D6"/>
    <w:rsid w:val="00E27AD5"/>
    <w:rsid w:val="00E3030B"/>
    <w:rsid w:val="00E327E4"/>
    <w:rsid w:val="00E32864"/>
    <w:rsid w:val="00E32875"/>
    <w:rsid w:val="00E32E2A"/>
    <w:rsid w:val="00E346D2"/>
    <w:rsid w:val="00E346FE"/>
    <w:rsid w:val="00E3522A"/>
    <w:rsid w:val="00E3581B"/>
    <w:rsid w:val="00E36063"/>
    <w:rsid w:val="00E41AD4"/>
    <w:rsid w:val="00E431DC"/>
    <w:rsid w:val="00E4374E"/>
    <w:rsid w:val="00E43D44"/>
    <w:rsid w:val="00E44021"/>
    <w:rsid w:val="00E4432D"/>
    <w:rsid w:val="00E44958"/>
    <w:rsid w:val="00E45D81"/>
    <w:rsid w:val="00E46505"/>
    <w:rsid w:val="00E466E8"/>
    <w:rsid w:val="00E466F6"/>
    <w:rsid w:val="00E4705A"/>
    <w:rsid w:val="00E47362"/>
    <w:rsid w:val="00E47897"/>
    <w:rsid w:val="00E501BF"/>
    <w:rsid w:val="00E50614"/>
    <w:rsid w:val="00E50B77"/>
    <w:rsid w:val="00E51449"/>
    <w:rsid w:val="00E519A9"/>
    <w:rsid w:val="00E51A62"/>
    <w:rsid w:val="00E534E3"/>
    <w:rsid w:val="00E5354D"/>
    <w:rsid w:val="00E54A43"/>
    <w:rsid w:val="00E5546B"/>
    <w:rsid w:val="00E55D3E"/>
    <w:rsid w:val="00E579ED"/>
    <w:rsid w:val="00E57E67"/>
    <w:rsid w:val="00E57F9C"/>
    <w:rsid w:val="00E616A9"/>
    <w:rsid w:val="00E63531"/>
    <w:rsid w:val="00E63DEA"/>
    <w:rsid w:val="00E649D3"/>
    <w:rsid w:val="00E64BE4"/>
    <w:rsid w:val="00E64D3F"/>
    <w:rsid w:val="00E65EC9"/>
    <w:rsid w:val="00E7018F"/>
    <w:rsid w:val="00E70DF9"/>
    <w:rsid w:val="00E71425"/>
    <w:rsid w:val="00E71816"/>
    <w:rsid w:val="00E730F1"/>
    <w:rsid w:val="00E73653"/>
    <w:rsid w:val="00E752F5"/>
    <w:rsid w:val="00E754B7"/>
    <w:rsid w:val="00E7578D"/>
    <w:rsid w:val="00E757FD"/>
    <w:rsid w:val="00E75B18"/>
    <w:rsid w:val="00E77BAA"/>
    <w:rsid w:val="00E82059"/>
    <w:rsid w:val="00E82367"/>
    <w:rsid w:val="00E82E71"/>
    <w:rsid w:val="00E835A2"/>
    <w:rsid w:val="00E83744"/>
    <w:rsid w:val="00E83D86"/>
    <w:rsid w:val="00E841B7"/>
    <w:rsid w:val="00E84C9A"/>
    <w:rsid w:val="00E84E55"/>
    <w:rsid w:val="00E84E70"/>
    <w:rsid w:val="00E8539B"/>
    <w:rsid w:val="00E8556E"/>
    <w:rsid w:val="00E857FE"/>
    <w:rsid w:val="00E85B45"/>
    <w:rsid w:val="00E8724A"/>
    <w:rsid w:val="00E87C5C"/>
    <w:rsid w:val="00E902F6"/>
    <w:rsid w:val="00E90371"/>
    <w:rsid w:val="00E91B33"/>
    <w:rsid w:val="00E91DBC"/>
    <w:rsid w:val="00E922D0"/>
    <w:rsid w:val="00E93294"/>
    <w:rsid w:val="00E9381E"/>
    <w:rsid w:val="00E94983"/>
    <w:rsid w:val="00E95338"/>
    <w:rsid w:val="00E954F9"/>
    <w:rsid w:val="00E96512"/>
    <w:rsid w:val="00E9651E"/>
    <w:rsid w:val="00E97046"/>
    <w:rsid w:val="00EA0AC3"/>
    <w:rsid w:val="00EA0E5E"/>
    <w:rsid w:val="00EA1B30"/>
    <w:rsid w:val="00EA1CEC"/>
    <w:rsid w:val="00EA29A7"/>
    <w:rsid w:val="00EA2C5D"/>
    <w:rsid w:val="00EA3013"/>
    <w:rsid w:val="00EA3C8C"/>
    <w:rsid w:val="00EA406D"/>
    <w:rsid w:val="00EA7429"/>
    <w:rsid w:val="00EB164A"/>
    <w:rsid w:val="00EB3779"/>
    <w:rsid w:val="00EB38AA"/>
    <w:rsid w:val="00EB48AA"/>
    <w:rsid w:val="00EB49B6"/>
    <w:rsid w:val="00EB4B2F"/>
    <w:rsid w:val="00EB52DC"/>
    <w:rsid w:val="00EB5889"/>
    <w:rsid w:val="00EB7751"/>
    <w:rsid w:val="00EC1AB7"/>
    <w:rsid w:val="00EC32C0"/>
    <w:rsid w:val="00EC48F9"/>
    <w:rsid w:val="00EC5475"/>
    <w:rsid w:val="00EC5489"/>
    <w:rsid w:val="00EC66B6"/>
    <w:rsid w:val="00EC726A"/>
    <w:rsid w:val="00EC754A"/>
    <w:rsid w:val="00ED203A"/>
    <w:rsid w:val="00ED20FD"/>
    <w:rsid w:val="00ED2D99"/>
    <w:rsid w:val="00ED3672"/>
    <w:rsid w:val="00ED44D4"/>
    <w:rsid w:val="00ED668A"/>
    <w:rsid w:val="00ED6FAD"/>
    <w:rsid w:val="00ED73A1"/>
    <w:rsid w:val="00EE07CE"/>
    <w:rsid w:val="00EE1D4A"/>
    <w:rsid w:val="00EE2EC1"/>
    <w:rsid w:val="00EE32B2"/>
    <w:rsid w:val="00EE3698"/>
    <w:rsid w:val="00EE4682"/>
    <w:rsid w:val="00EE66AF"/>
    <w:rsid w:val="00EF03CF"/>
    <w:rsid w:val="00EF13F7"/>
    <w:rsid w:val="00EF269F"/>
    <w:rsid w:val="00EF3442"/>
    <w:rsid w:val="00EF3ECD"/>
    <w:rsid w:val="00EF4198"/>
    <w:rsid w:val="00EF4A20"/>
    <w:rsid w:val="00EF51A0"/>
    <w:rsid w:val="00EF6AAE"/>
    <w:rsid w:val="00EF6FA1"/>
    <w:rsid w:val="00EF72DC"/>
    <w:rsid w:val="00EF77C1"/>
    <w:rsid w:val="00EF7AC3"/>
    <w:rsid w:val="00EF7E87"/>
    <w:rsid w:val="00F00860"/>
    <w:rsid w:val="00F01172"/>
    <w:rsid w:val="00F0163D"/>
    <w:rsid w:val="00F022E4"/>
    <w:rsid w:val="00F0338E"/>
    <w:rsid w:val="00F04184"/>
    <w:rsid w:val="00F04428"/>
    <w:rsid w:val="00F064D7"/>
    <w:rsid w:val="00F07050"/>
    <w:rsid w:val="00F10986"/>
    <w:rsid w:val="00F10DA9"/>
    <w:rsid w:val="00F11162"/>
    <w:rsid w:val="00F1203E"/>
    <w:rsid w:val="00F12722"/>
    <w:rsid w:val="00F12988"/>
    <w:rsid w:val="00F12CA9"/>
    <w:rsid w:val="00F13260"/>
    <w:rsid w:val="00F13444"/>
    <w:rsid w:val="00F13850"/>
    <w:rsid w:val="00F140E4"/>
    <w:rsid w:val="00F1453C"/>
    <w:rsid w:val="00F14F05"/>
    <w:rsid w:val="00F154E0"/>
    <w:rsid w:val="00F1590B"/>
    <w:rsid w:val="00F160ED"/>
    <w:rsid w:val="00F16C97"/>
    <w:rsid w:val="00F17FB2"/>
    <w:rsid w:val="00F20922"/>
    <w:rsid w:val="00F210C1"/>
    <w:rsid w:val="00F2133F"/>
    <w:rsid w:val="00F21499"/>
    <w:rsid w:val="00F2302A"/>
    <w:rsid w:val="00F238BF"/>
    <w:rsid w:val="00F2434B"/>
    <w:rsid w:val="00F24891"/>
    <w:rsid w:val="00F24900"/>
    <w:rsid w:val="00F24915"/>
    <w:rsid w:val="00F25E22"/>
    <w:rsid w:val="00F2689E"/>
    <w:rsid w:val="00F27807"/>
    <w:rsid w:val="00F2784A"/>
    <w:rsid w:val="00F30168"/>
    <w:rsid w:val="00F31AB5"/>
    <w:rsid w:val="00F32157"/>
    <w:rsid w:val="00F322E2"/>
    <w:rsid w:val="00F3381E"/>
    <w:rsid w:val="00F33BAF"/>
    <w:rsid w:val="00F34169"/>
    <w:rsid w:val="00F362A6"/>
    <w:rsid w:val="00F36BEB"/>
    <w:rsid w:val="00F37D0C"/>
    <w:rsid w:val="00F400CA"/>
    <w:rsid w:val="00F4122C"/>
    <w:rsid w:val="00F41542"/>
    <w:rsid w:val="00F42A06"/>
    <w:rsid w:val="00F42C48"/>
    <w:rsid w:val="00F4512B"/>
    <w:rsid w:val="00F46BE9"/>
    <w:rsid w:val="00F46C4A"/>
    <w:rsid w:val="00F46ED4"/>
    <w:rsid w:val="00F47472"/>
    <w:rsid w:val="00F47657"/>
    <w:rsid w:val="00F47708"/>
    <w:rsid w:val="00F51923"/>
    <w:rsid w:val="00F51CB9"/>
    <w:rsid w:val="00F526CC"/>
    <w:rsid w:val="00F54061"/>
    <w:rsid w:val="00F54F7A"/>
    <w:rsid w:val="00F55676"/>
    <w:rsid w:val="00F55E65"/>
    <w:rsid w:val="00F56805"/>
    <w:rsid w:val="00F57F5C"/>
    <w:rsid w:val="00F6030F"/>
    <w:rsid w:val="00F6055E"/>
    <w:rsid w:val="00F60D1F"/>
    <w:rsid w:val="00F62201"/>
    <w:rsid w:val="00F6265F"/>
    <w:rsid w:val="00F65806"/>
    <w:rsid w:val="00F65966"/>
    <w:rsid w:val="00F704AC"/>
    <w:rsid w:val="00F70E3E"/>
    <w:rsid w:val="00F7176F"/>
    <w:rsid w:val="00F71B48"/>
    <w:rsid w:val="00F728E0"/>
    <w:rsid w:val="00F73D1A"/>
    <w:rsid w:val="00F74371"/>
    <w:rsid w:val="00F74C9E"/>
    <w:rsid w:val="00F74F6C"/>
    <w:rsid w:val="00F75DE7"/>
    <w:rsid w:val="00F76162"/>
    <w:rsid w:val="00F76EE4"/>
    <w:rsid w:val="00F76F06"/>
    <w:rsid w:val="00F77053"/>
    <w:rsid w:val="00F77846"/>
    <w:rsid w:val="00F77DCC"/>
    <w:rsid w:val="00F809DC"/>
    <w:rsid w:val="00F80C48"/>
    <w:rsid w:val="00F810D7"/>
    <w:rsid w:val="00F811B4"/>
    <w:rsid w:val="00F81D3B"/>
    <w:rsid w:val="00F820D0"/>
    <w:rsid w:val="00F82DC6"/>
    <w:rsid w:val="00F833C4"/>
    <w:rsid w:val="00F83D9E"/>
    <w:rsid w:val="00F84D59"/>
    <w:rsid w:val="00F87548"/>
    <w:rsid w:val="00F90038"/>
    <w:rsid w:val="00F90817"/>
    <w:rsid w:val="00F90829"/>
    <w:rsid w:val="00F9147C"/>
    <w:rsid w:val="00F92049"/>
    <w:rsid w:val="00F92A7D"/>
    <w:rsid w:val="00F93469"/>
    <w:rsid w:val="00F93BDC"/>
    <w:rsid w:val="00F94CE8"/>
    <w:rsid w:val="00F9663E"/>
    <w:rsid w:val="00F976E7"/>
    <w:rsid w:val="00F97DE5"/>
    <w:rsid w:val="00F97E40"/>
    <w:rsid w:val="00FA1192"/>
    <w:rsid w:val="00FA1344"/>
    <w:rsid w:val="00FA1458"/>
    <w:rsid w:val="00FA16DC"/>
    <w:rsid w:val="00FA2140"/>
    <w:rsid w:val="00FA2310"/>
    <w:rsid w:val="00FA2CDB"/>
    <w:rsid w:val="00FA328F"/>
    <w:rsid w:val="00FA43B4"/>
    <w:rsid w:val="00FA4DDB"/>
    <w:rsid w:val="00FA5002"/>
    <w:rsid w:val="00FA535E"/>
    <w:rsid w:val="00FA61DD"/>
    <w:rsid w:val="00FA6297"/>
    <w:rsid w:val="00FA6C15"/>
    <w:rsid w:val="00FA6F20"/>
    <w:rsid w:val="00FA78C2"/>
    <w:rsid w:val="00FB0363"/>
    <w:rsid w:val="00FB1287"/>
    <w:rsid w:val="00FB17D6"/>
    <w:rsid w:val="00FB1ADE"/>
    <w:rsid w:val="00FB1E2D"/>
    <w:rsid w:val="00FB2542"/>
    <w:rsid w:val="00FB4A27"/>
    <w:rsid w:val="00FB6502"/>
    <w:rsid w:val="00FB6814"/>
    <w:rsid w:val="00FB6CA5"/>
    <w:rsid w:val="00FB6F2A"/>
    <w:rsid w:val="00FB7A14"/>
    <w:rsid w:val="00FC0AE9"/>
    <w:rsid w:val="00FC0F1B"/>
    <w:rsid w:val="00FC1D40"/>
    <w:rsid w:val="00FC41A3"/>
    <w:rsid w:val="00FC5285"/>
    <w:rsid w:val="00FC58C6"/>
    <w:rsid w:val="00FC5A4C"/>
    <w:rsid w:val="00FC5CF1"/>
    <w:rsid w:val="00FC6F9B"/>
    <w:rsid w:val="00FC72D5"/>
    <w:rsid w:val="00FC7769"/>
    <w:rsid w:val="00FD0475"/>
    <w:rsid w:val="00FD161D"/>
    <w:rsid w:val="00FD26AE"/>
    <w:rsid w:val="00FD3154"/>
    <w:rsid w:val="00FD3308"/>
    <w:rsid w:val="00FD3FDD"/>
    <w:rsid w:val="00FD412A"/>
    <w:rsid w:val="00FD44E3"/>
    <w:rsid w:val="00FD5042"/>
    <w:rsid w:val="00FD5586"/>
    <w:rsid w:val="00FD5770"/>
    <w:rsid w:val="00FD6755"/>
    <w:rsid w:val="00FD704F"/>
    <w:rsid w:val="00FD7732"/>
    <w:rsid w:val="00FD7F8D"/>
    <w:rsid w:val="00FE0452"/>
    <w:rsid w:val="00FE1595"/>
    <w:rsid w:val="00FE1F53"/>
    <w:rsid w:val="00FE2366"/>
    <w:rsid w:val="00FE24FB"/>
    <w:rsid w:val="00FE3C85"/>
    <w:rsid w:val="00FE4275"/>
    <w:rsid w:val="00FE43F6"/>
    <w:rsid w:val="00FE4E50"/>
    <w:rsid w:val="00FE5B5A"/>
    <w:rsid w:val="00FE5D6D"/>
    <w:rsid w:val="00FE6667"/>
    <w:rsid w:val="00FE744C"/>
    <w:rsid w:val="00FE7A2A"/>
    <w:rsid w:val="00FE7D99"/>
    <w:rsid w:val="00FF0B6F"/>
    <w:rsid w:val="00FF0F17"/>
    <w:rsid w:val="00FF10F3"/>
    <w:rsid w:val="00FF2204"/>
    <w:rsid w:val="00FF471B"/>
    <w:rsid w:val="00FF6B34"/>
    <w:rsid w:val="00FF6C98"/>
    <w:rsid w:val="00FF6F15"/>
    <w:rsid w:val="00FF7724"/>
    <w:rsid w:val="00FF7C3F"/>
    <w:rsid w:val="00FF7F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white"/>
    </o:shapedefaults>
    <o:shapelayout v:ext="edit">
      <o:idmap v:ext="edit" data="1"/>
    </o:shapelayout>
  </w:shapeDefaults>
  <w:decimalSymbol w:val="."/>
  <w:listSeparator w:val=","/>
  <w15:chartTrackingRefBased/>
  <w15:docId w15:val="{7EDE6EDA-A066-4EFE-B026-3AB13C49D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68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53033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qFormat/>
    <w:rsid w:val="0053033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qFormat/>
    <w:rsid w:val="00B02876"/>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846826"/>
    <w:rPr>
      <w:b/>
      <w:noProof/>
    </w:rPr>
  </w:style>
  <w:style w:type="paragraph" w:styleId="23">
    <w:name w:val="toc 2"/>
    <w:basedOn w:val="a"/>
    <w:next w:val="a"/>
    <w:autoRedefine/>
    <w:uiPriority w:val="39"/>
    <w:rsid w:val="0007042D"/>
    <w:pPr>
      <w:tabs>
        <w:tab w:val="right" w:leader="hyphen" w:pos="8505"/>
      </w:tabs>
      <w:spacing w:line="480" w:lineRule="exact"/>
      <w:ind w:leftChars="0" w:left="486" w:rightChars="49" w:right="139" w:hangingChars="200" w:hanging="486"/>
    </w:pPr>
    <w:rPr>
      <w:sz w:val="24"/>
    </w:rPr>
  </w:style>
  <w:style w:type="paragraph" w:styleId="af">
    <w:name w:val="header"/>
    <w:basedOn w:val="a"/>
    <w:link w:val="af0"/>
    <w:uiPriority w:val="99"/>
    <w:unhideWhenUsed/>
    <w:rsid w:val="00406EF2"/>
    <w:pPr>
      <w:tabs>
        <w:tab w:val="center" w:pos="4153"/>
        <w:tab w:val="right" w:pos="8306"/>
      </w:tabs>
      <w:snapToGrid w:val="0"/>
    </w:pPr>
    <w:rPr>
      <w:sz w:val="20"/>
      <w:szCs w:val="20"/>
    </w:rPr>
  </w:style>
  <w:style w:type="character" w:customStyle="1" w:styleId="af0">
    <w:name w:val="頁首 字元"/>
    <w:link w:val="af"/>
    <w:uiPriority w:val="99"/>
    <w:rsid w:val="00406EF2"/>
    <w:rPr>
      <w:rFonts w:ascii="標楷體" w:eastAsia="標楷體"/>
      <w:snapToGrid w:val="0"/>
      <w:kern w:val="2"/>
    </w:rPr>
  </w:style>
  <w:style w:type="paragraph" w:styleId="af1">
    <w:name w:val="footer"/>
    <w:basedOn w:val="a"/>
    <w:link w:val="af2"/>
    <w:uiPriority w:val="99"/>
    <w:unhideWhenUsed/>
    <w:rsid w:val="00406EF2"/>
    <w:pPr>
      <w:tabs>
        <w:tab w:val="center" w:pos="4153"/>
        <w:tab w:val="right" w:pos="8306"/>
      </w:tabs>
      <w:snapToGrid w:val="0"/>
    </w:pPr>
    <w:rPr>
      <w:sz w:val="20"/>
      <w:szCs w:val="20"/>
    </w:rPr>
  </w:style>
  <w:style w:type="character" w:customStyle="1" w:styleId="af2">
    <w:name w:val="頁尾 字元"/>
    <w:link w:val="af1"/>
    <w:uiPriority w:val="99"/>
    <w:rsid w:val="00406EF2"/>
    <w:rPr>
      <w:rFonts w:ascii="標楷體" w:eastAsia="標楷體"/>
      <w:snapToGrid w:val="0"/>
      <w:kern w:val="2"/>
    </w:rPr>
  </w:style>
  <w:style w:type="paragraph" w:styleId="af3">
    <w:name w:val="List Paragraph"/>
    <w:basedOn w:val="a"/>
    <w:uiPriority w:val="34"/>
    <w:qFormat/>
    <w:rsid w:val="00F728E0"/>
    <w:pPr>
      <w:ind w:left="480"/>
    </w:pPr>
  </w:style>
  <w:style w:type="character" w:customStyle="1" w:styleId="141">
    <w:name w:val="第二層(14號字) 字元1"/>
    <w:link w:val="14"/>
    <w:locked/>
    <w:rsid w:val="009454BE"/>
    <w:rPr>
      <w:rFonts w:ascii="標楷體" w:eastAsia="標楷體"/>
      <w:b/>
      <w:snapToGrid w:val="0"/>
      <w:kern w:val="2"/>
      <w:sz w:val="28"/>
    </w:rPr>
  </w:style>
  <w:style w:type="character" w:customStyle="1" w:styleId="a5">
    <w:name w:val="(一)(二)(三) 字元"/>
    <w:link w:val="a4"/>
    <w:locked/>
    <w:rsid w:val="009454BE"/>
    <w:rPr>
      <w:rFonts w:ascii="標楷體" w:eastAsia="標楷體"/>
      <w:snapToGrid w:val="0"/>
      <w:kern w:val="2"/>
      <w:sz w:val="28"/>
      <w:szCs w:val="28"/>
    </w:rPr>
  </w:style>
  <w:style w:type="character" w:customStyle="1" w:styleId="1230">
    <w:name w:val="1.2.3. 字元"/>
    <w:link w:val="123"/>
    <w:locked/>
    <w:rsid w:val="009454BE"/>
    <w:rPr>
      <w:rFonts w:ascii="標楷體" w:eastAsia="標楷體"/>
      <w:snapToGrid w:val="0"/>
      <w:kern w:val="2"/>
      <w:sz w:val="28"/>
      <w:szCs w:val="28"/>
    </w:rPr>
  </w:style>
  <w:style w:type="character" w:customStyle="1" w:styleId="22">
    <w:name w:val="(一)下內文縮2 字元"/>
    <w:link w:val="21"/>
    <w:locked/>
    <w:rsid w:val="009454BE"/>
    <w:rPr>
      <w:rFonts w:ascii="標楷體" w:eastAsia="標楷體"/>
      <w:snapToGrid w:val="0"/>
      <w:kern w:val="2"/>
      <w:sz w:val="28"/>
      <w:szCs w:val="28"/>
    </w:rPr>
  </w:style>
  <w:style w:type="paragraph" w:customStyle="1" w:styleId="24">
    <w:name w:val="字元 字元2 字元 字元 字元"/>
    <w:basedOn w:val="a"/>
    <w:semiHidden/>
    <w:rsid w:val="006177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
    <w:semiHidden/>
    <w:rsid w:val="004D244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locked/>
    <w:rsid w:val="00A17810"/>
    <w:rPr>
      <w:rFonts w:ascii="標楷體" w:eastAsia="標楷體"/>
      <w:snapToGrid w:val="0"/>
      <w:kern w:val="2"/>
      <w:sz w:val="28"/>
      <w:szCs w:val="28"/>
    </w:rPr>
  </w:style>
  <w:style w:type="character" w:customStyle="1" w:styleId="143">
    <w:name w:val="表格內文(14行高) 字元"/>
    <w:link w:val="142"/>
    <w:qFormat/>
    <w:locked/>
    <w:rsid w:val="00A17810"/>
    <w:rPr>
      <w:rFonts w:ascii="標楷體" w:eastAsia="標楷體"/>
      <w:snapToGrid w:val="0"/>
      <w:kern w:val="2"/>
      <w:sz w:val="24"/>
      <w:szCs w:val="28"/>
    </w:rPr>
  </w:style>
  <w:style w:type="paragraph" w:styleId="af4">
    <w:name w:val="Balloon Text"/>
    <w:basedOn w:val="a"/>
    <w:link w:val="af5"/>
    <w:uiPriority w:val="99"/>
    <w:semiHidden/>
    <w:unhideWhenUsed/>
    <w:rsid w:val="00A17810"/>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A17810"/>
    <w:rPr>
      <w:rFonts w:ascii="Cambria" w:eastAsia="新細明體" w:hAnsi="Cambria" w:cs="Times New Roman"/>
      <w:snapToGrid w:val="0"/>
      <w:kern w:val="2"/>
      <w:sz w:val="18"/>
      <w:szCs w:val="18"/>
    </w:rPr>
  </w:style>
  <w:style w:type="paragraph" w:customStyle="1" w:styleId="28">
    <w:name w:val="字元 字元2 字元 字元 字元8"/>
    <w:basedOn w:val="a"/>
    <w:semiHidden/>
    <w:rsid w:val="00F5680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6">
    <w:name w:val="Table Grid"/>
    <w:basedOn w:val="a1"/>
    <w:uiPriority w:val="59"/>
    <w:rsid w:val="00A46C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530331"/>
    <w:rPr>
      <w:rFonts w:ascii="Cambria" w:eastAsia="新細明體" w:hAnsi="Cambria" w:cs="Times New Roman"/>
      <w:b/>
      <w:bCs/>
      <w:snapToGrid w:val="0"/>
      <w:kern w:val="52"/>
      <w:sz w:val="52"/>
      <w:szCs w:val="52"/>
    </w:rPr>
  </w:style>
  <w:style w:type="character" w:customStyle="1" w:styleId="20">
    <w:name w:val="標題 2 字元"/>
    <w:aliases w:val="條 字元"/>
    <w:link w:val="2"/>
    <w:rsid w:val="00530331"/>
    <w:rPr>
      <w:rFonts w:ascii="Cambria" w:eastAsia="新細明體" w:hAnsi="Cambria" w:cs="Times New Roman"/>
      <w:b/>
      <w:bCs/>
      <w:snapToGrid w:val="0"/>
      <w:kern w:val="2"/>
      <w:sz w:val="48"/>
      <w:szCs w:val="48"/>
    </w:rPr>
  </w:style>
  <w:style w:type="character" w:styleId="af7">
    <w:name w:val="Hyperlink"/>
    <w:uiPriority w:val="99"/>
    <w:unhideWhenUsed/>
    <w:rsid w:val="00530331"/>
    <w:rPr>
      <w:color w:val="0000FF"/>
      <w:u w:val="single"/>
    </w:rPr>
  </w:style>
  <w:style w:type="character" w:customStyle="1" w:styleId="201">
    <w:name w:val="表格內文(20行高) 字元"/>
    <w:link w:val="200"/>
    <w:locked/>
    <w:rsid w:val="00E7578D"/>
    <w:rPr>
      <w:rFonts w:ascii="標楷體" w:eastAsia="標楷體"/>
      <w:snapToGrid w:val="0"/>
      <w:kern w:val="2"/>
      <w:sz w:val="24"/>
      <w:szCs w:val="28"/>
    </w:rPr>
  </w:style>
  <w:style w:type="paragraph" w:styleId="af8">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9"/>
    <w:unhideWhenUsed/>
    <w:rsid w:val="00FA328F"/>
    <w:pPr>
      <w:snapToGrid w:val="0"/>
      <w:jc w:val="left"/>
    </w:pPr>
    <w:rPr>
      <w:sz w:val="20"/>
      <w:szCs w:val="20"/>
    </w:rPr>
  </w:style>
  <w:style w:type="character" w:customStyle="1" w:styleId="af9">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w:link w:val="af8"/>
    <w:rsid w:val="00FA328F"/>
    <w:rPr>
      <w:rFonts w:ascii="標楷體" w:eastAsia="標楷體"/>
      <w:snapToGrid w:val="0"/>
      <w:kern w:val="2"/>
    </w:rPr>
  </w:style>
  <w:style w:type="character" w:styleId="afa">
    <w:name w:val="footnote reference"/>
    <w:aliases w:val="FR,Ref,de nota al pie,註腳內容,Error-Fußnotenzeichen5,Error-Fußnotenzeichen6,Error-Fußnotenzeichen3"/>
    <w:uiPriority w:val="99"/>
    <w:unhideWhenUsed/>
    <w:rsid w:val="00FA328F"/>
    <w:rPr>
      <w:vertAlign w:val="superscript"/>
    </w:rPr>
  </w:style>
  <w:style w:type="paragraph" w:customStyle="1" w:styleId="27">
    <w:name w:val="字元 字元2 字元 字元 字元7"/>
    <w:basedOn w:val="a"/>
    <w:semiHidden/>
    <w:rsid w:val="004426C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6"/>
    <w:basedOn w:val="a"/>
    <w:semiHidden/>
    <w:rsid w:val="005902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5"/>
    <w:basedOn w:val="a"/>
    <w:semiHidden/>
    <w:rsid w:val="0004122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
    <w:semiHidden/>
    <w:rsid w:val="00882E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0C3C8C"/>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c">
    <w:name w:val="第二層"/>
    <w:basedOn w:val="a"/>
    <w:rsid w:val="002340D5"/>
    <w:pPr>
      <w:spacing w:line="240" w:lineRule="auto"/>
      <w:ind w:leftChars="0" w:left="0" w:firstLineChars="0" w:firstLine="0"/>
      <w:jc w:val="left"/>
    </w:pPr>
    <w:rPr>
      <w:rFonts w:ascii="Times New Roman" w:eastAsia="新細明體"/>
      <w:snapToGrid/>
      <w:szCs w:val="24"/>
    </w:rPr>
  </w:style>
  <w:style w:type="paragraph" w:customStyle="1" w:styleId="230">
    <w:name w:val="字元 字元2 字元 字元 字元3"/>
    <w:basedOn w:val="a"/>
    <w:semiHidden/>
    <w:rsid w:val="00DE4B7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d">
    <w:name w:val="Placeholder Text"/>
    <w:uiPriority w:val="99"/>
    <w:semiHidden/>
    <w:rsid w:val="002B474B"/>
    <w:rPr>
      <w:color w:val="808080"/>
    </w:rPr>
  </w:style>
  <w:style w:type="character" w:customStyle="1" w:styleId="30">
    <w:name w:val="標題 3 字元"/>
    <w:link w:val="3"/>
    <w:uiPriority w:val="9"/>
    <w:semiHidden/>
    <w:rsid w:val="00B02876"/>
    <w:rPr>
      <w:rFonts w:ascii="Cambria" w:eastAsia="新細明體" w:hAnsi="Cambria" w:cs="Times New Roman"/>
      <w:b/>
      <w:bCs/>
      <w:snapToGrid w:val="0"/>
      <w:kern w:val="2"/>
      <w:sz w:val="36"/>
      <w:szCs w:val="36"/>
    </w:rPr>
  </w:style>
  <w:style w:type="paragraph" w:customStyle="1" w:styleId="220">
    <w:name w:val="字元 字元2 字元 字元 字元2"/>
    <w:basedOn w:val="a"/>
    <w:semiHidden/>
    <w:rsid w:val="00D451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e">
    <w:name w:val="字元 字元"/>
    <w:basedOn w:val="a"/>
    <w:semiHidden/>
    <w:rsid w:val="009F6E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字元 字元1"/>
    <w:basedOn w:val="a"/>
    <w:semiHidden/>
    <w:rsid w:val="00516B7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
    <w:semiHidden/>
    <w:rsid w:val="001F5D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 字元 字元2 字元 字元 字元"/>
    <w:basedOn w:val="a"/>
    <w:semiHidden/>
    <w:rsid w:val="005944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Body Text"/>
    <w:basedOn w:val="a"/>
    <w:rsid w:val="0029273B"/>
    <w:pPr>
      <w:spacing w:after="120"/>
    </w:pPr>
  </w:style>
  <w:style w:type="paragraph" w:styleId="aff0">
    <w:name w:val="Date"/>
    <w:basedOn w:val="a"/>
    <w:next w:val="a"/>
    <w:link w:val="aff1"/>
    <w:rsid w:val="00F2689E"/>
    <w:pPr>
      <w:spacing w:line="240" w:lineRule="auto"/>
      <w:ind w:leftChars="0" w:left="0" w:firstLineChars="0" w:firstLine="0"/>
      <w:jc w:val="right"/>
    </w:pPr>
    <w:rPr>
      <w:rFonts w:ascii="Times New Roman"/>
      <w:b/>
      <w:bCs/>
      <w:snapToGrid/>
      <w:sz w:val="36"/>
      <w:szCs w:val="24"/>
    </w:rPr>
  </w:style>
  <w:style w:type="character" w:customStyle="1" w:styleId="aff1">
    <w:name w:val="日期 字元"/>
    <w:link w:val="aff0"/>
    <w:rsid w:val="00F2689E"/>
    <w:rPr>
      <w:rFonts w:eastAsia="標楷體"/>
      <w:b/>
      <w:bCs/>
      <w:kern w:val="2"/>
      <w:sz w:val="36"/>
      <w:szCs w:val="24"/>
    </w:rPr>
  </w:style>
  <w:style w:type="character" w:customStyle="1" w:styleId="145">
    <w:name w:val="表格內文(14行高) 字元 字元"/>
    <w:rsid w:val="00D56CD0"/>
    <w:rPr>
      <w:rFonts w:ascii="標楷體" w:eastAsia="標楷體"/>
      <w:snapToGrid w:val="0"/>
      <w:kern w:val="2"/>
      <w:sz w:val="24"/>
      <w:szCs w:val="28"/>
      <w:lang w:val="en-US" w:eastAsia="zh-TW" w:bidi="ar-SA"/>
    </w:rPr>
  </w:style>
  <w:style w:type="character" w:styleId="aff2">
    <w:name w:val="Emphasis"/>
    <w:uiPriority w:val="20"/>
    <w:qFormat/>
    <w:rsid w:val="005376E5"/>
    <w:rPr>
      <w:i/>
      <w:iCs/>
    </w:rPr>
  </w:style>
  <w:style w:type="character" w:customStyle="1" w:styleId="146">
    <w:name w:val="第二層(14號字) 字元"/>
    <w:rsid w:val="00B670C5"/>
    <w:rPr>
      <w:rFonts w:ascii="標楷體" w:eastAsia="標楷體" w:hAnsi="Times New Roman"/>
      <w:b/>
      <w:snapToGrid w:val="0"/>
      <w:kern w:val="2"/>
      <w:sz w:val="28"/>
    </w:rPr>
  </w:style>
  <w:style w:type="character" w:customStyle="1" w:styleId="ad">
    <w:name w:val="姓名及分機 字元"/>
    <w:link w:val="ac"/>
    <w:locked/>
    <w:rsid w:val="000C5C66"/>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92568">
      <w:bodyDiv w:val="1"/>
      <w:marLeft w:val="0"/>
      <w:marRight w:val="0"/>
      <w:marTop w:val="0"/>
      <w:marBottom w:val="0"/>
      <w:divBdr>
        <w:top w:val="none" w:sz="0" w:space="0" w:color="auto"/>
        <w:left w:val="none" w:sz="0" w:space="0" w:color="auto"/>
        <w:bottom w:val="none" w:sz="0" w:space="0" w:color="auto"/>
        <w:right w:val="none" w:sz="0" w:space="0" w:color="auto"/>
      </w:divBdr>
    </w:div>
    <w:div w:id="316569825">
      <w:bodyDiv w:val="1"/>
      <w:marLeft w:val="0"/>
      <w:marRight w:val="0"/>
      <w:marTop w:val="0"/>
      <w:marBottom w:val="0"/>
      <w:divBdr>
        <w:top w:val="none" w:sz="0" w:space="0" w:color="auto"/>
        <w:left w:val="none" w:sz="0" w:space="0" w:color="auto"/>
        <w:bottom w:val="none" w:sz="0" w:space="0" w:color="auto"/>
        <w:right w:val="none" w:sz="0" w:space="0" w:color="auto"/>
      </w:divBdr>
    </w:div>
    <w:div w:id="359622193">
      <w:bodyDiv w:val="1"/>
      <w:marLeft w:val="0"/>
      <w:marRight w:val="0"/>
      <w:marTop w:val="0"/>
      <w:marBottom w:val="0"/>
      <w:divBdr>
        <w:top w:val="none" w:sz="0" w:space="0" w:color="auto"/>
        <w:left w:val="none" w:sz="0" w:space="0" w:color="auto"/>
        <w:bottom w:val="none" w:sz="0" w:space="0" w:color="auto"/>
        <w:right w:val="none" w:sz="0" w:space="0" w:color="auto"/>
      </w:divBdr>
    </w:div>
    <w:div w:id="1050500329">
      <w:bodyDiv w:val="1"/>
      <w:marLeft w:val="0"/>
      <w:marRight w:val="0"/>
      <w:marTop w:val="0"/>
      <w:marBottom w:val="0"/>
      <w:divBdr>
        <w:top w:val="none" w:sz="0" w:space="0" w:color="auto"/>
        <w:left w:val="none" w:sz="0" w:space="0" w:color="auto"/>
        <w:bottom w:val="none" w:sz="0" w:space="0" w:color="auto"/>
        <w:right w:val="none" w:sz="0" w:space="0" w:color="auto"/>
      </w:divBdr>
    </w:div>
    <w:div w:id="1372531863">
      <w:bodyDiv w:val="1"/>
      <w:marLeft w:val="0"/>
      <w:marRight w:val="0"/>
      <w:marTop w:val="0"/>
      <w:marBottom w:val="0"/>
      <w:divBdr>
        <w:top w:val="none" w:sz="0" w:space="0" w:color="auto"/>
        <w:left w:val="none" w:sz="0" w:space="0" w:color="auto"/>
        <w:bottom w:val="none" w:sz="0" w:space="0" w:color="auto"/>
        <w:right w:val="none" w:sz="0" w:space="0" w:color="auto"/>
      </w:divBdr>
    </w:div>
    <w:div w:id="1379863665">
      <w:bodyDiv w:val="1"/>
      <w:marLeft w:val="0"/>
      <w:marRight w:val="0"/>
      <w:marTop w:val="0"/>
      <w:marBottom w:val="0"/>
      <w:divBdr>
        <w:top w:val="none" w:sz="0" w:space="0" w:color="auto"/>
        <w:left w:val="none" w:sz="0" w:space="0" w:color="auto"/>
        <w:bottom w:val="none" w:sz="0" w:space="0" w:color="auto"/>
        <w:right w:val="none" w:sz="0" w:space="0" w:color="auto"/>
      </w:divBdr>
    </w:div>
    <w:div w:id="1571619336">
      <w:bodyDiv w:val="1"/>
      <w:marLeft w:val="0"/>
      <w:marRight w:val="0"/>
      <w:marTop w:val="0"/>
      <w:marBottom w:val="0"/>
      <w:divBdr>
        <w:top w:val="none" w:sz="0" w:space="0" w:color="auto"/>
        <w:left w:val="none" w:sz="0" w:space="0" w:color="auto"/>
        <w:bottom w:val="none" w:sz="0" w:space="0" w:color="auto"/>
        <w:right w:val="none" w:sz="0" w:space="0" w:color="auto"/>
      </w:divBdr>
    </w:div>
    <w:div w:id="1628242420">
      <w:bodyDiv w:val="1"/>
      <w:marLeft w:val="0"/>
      <w:marRight w:val="0"/>
      <w:marTop w:val="0"/>
      <w:marBottom w:val="0"/>
      <w:divBdr>
        <w:top w:val="none" w:sz="0" w:space="0" w:color="auto"/>
        <w:left w:val="none" w:sz="0" w:space="0" w:color="auto"/>
        <w:bottom w:val="none" w:sz="0" w:space="0" w:color="auto"/>
        <w:right w:val="none" w:sz="0" w:space="0" w:color="auto"/>
      </w:divBdr>
    </w:div>
    <w:div w:id="2029209111">
      <w:bodyDiv w:val="1"/>
      <w:marLeft w:val="0"/>
      <w:marRight w:val="0"/>
      <w:marTop w:val="0"/>
      <w:marBottom w:val="0"/>
      <w:divBdr>
        <w:top w:val="none" w:sz="0" w:space="0" w:color="auto"/>
        <w:left w:val="none" w:sz="0" w:space="0" w:color="auto"/>
        <w:bottom w:val="none" w:sz="0" w:space="0" w:color="auto"/>
        <w:right w:val="none" w:sz="0" w:space="0" w:color="auto"/>
      </w:divBdr>
    </w:div>
    <w:div w:id="203360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6356;&#26032;&#20462;&#27491;&#2925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4AD7CE-EC74-4E3E-AAAA-EF9CDF4A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更新修正版</Template>
  <TotalTime>0</TotalTime>
  <Pages>3</Pages>
  <Words>770</Words>
  <Characters>4394</Characters>
  <Application>Microsoft Office Word</Application>
  <DocSecurity>0</DocSecurity>
  <Lines>36</Lines>
  <Paragraphs>10</Paragraphs>
  <ScaleCrop>false</ScaleCrop>
  <Company/>
  <LinksUpToDate>false</LinksUpToDate>
  <CharactersWithSpaces>5154</CharactersWithSpaces>
  <SharedDoc>false</SharedDoc>
  <HLinks>
    <vt:vector size="18" baseType="variant">
      <vt:variant>
        <vt:i4>1769525</vt:i4>
      </vt:variant>
      <vt:variant>
        <vt:i4>14</vt:i4>
      </vt:variant>
      <vt:variant>
        <vt:i4>0</vt:i4>
      </vt:variant>
      <vt:variant>
        <vt:i4>5</vt:i4>
      </vt:variant>
      <vt:variant>
        <vt:lpwstr/>
      </vt:variant>
      <vt:variant>
        <vt:lpwstr>_Toc162964070</vt:lpwstr>
      </vt:variant>
      <vt:variant>
        <vt:i4>1703989</vt:i4>
      </vt:variant>
      <vt:variant>
        <vt:i4>8</vt:i4>
      </vt:variant>
      <vt:variant>
        <vt:i4>0</vt:i4>
      </vt:variant>
      <vt:variant>
        <vt:i4>5</vt:i4>
      </vt:variant>
      <vt:variant>
        <vt:lpwstr/>
      </vt:variant>
      <vt:variant>
        <vt:lpwstr>_Toc162964069</vt:lpwstr>
      </vt:variant>
      <vt:variant>
        <vt:i4>1703989</vt:i4>
      </vt:variant>
      <vt:variant>
        <vt:i4>2</vt:i4>
      </vt:variant>
      <vt:variant>
        <vt:i4>0</vt:i4>
      </vt:variant>
      <vt:variant>
        <vt:i4>5</vt:i4>
      </vt:variant>
      <vt:variant>
        <vt:lpwstr/>
      </vt:variant>
      <vt:variant>
        <vt:lpwstr>_Toc162964068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臺灣金融控股股份有限公司及所屬臺灣銀行股份有限公司104年度營業預算評估報告目錄            頁次</dc:title>
  <dc:subject/>
  <dc:creator>ASUS-MD700</dc:creator>
  <cp:keywords/>
  <cp:lastModifiedBy>Administrator</cp:lastModifiedBy>
  <cp:revision>2</cp:revision>
  <cp:lastPrinted>2020-03-13T08:29:00Z</cp:lastPrinted>
  <dcterms:created xsi:type="dcterms:W3CDTF">2024-04-02T07:35:00Z</dcterms:created>
  <dcterms:modified xsi:type="dcterms:W3CDTF">2024-04-02T07:35:00Z</dcterms:modified>
</cp:coreProperties>
</file>