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BE0" w:rsidRPr="00AF1127" w:rsidRDefault="0016481F" w:rsidP="00CE2BE0">
      <w:pPr>
        <w:pStyle w:val="a9"/>
        <w:rPr>
          <w:rFonts w:hAnsi="標楷體" w:hint="eastAsia"/>
          <w:position w:val="2"/>
        </w:rPr>
      </w:pPr>
      <w:bookmarkStart w:id="0" w:name="_Toc368831707"/>
      <w:bookmarkStart w:id="1" w:name="_Toc464138621"/>
      <w:bookmarkStart w:id="2" w:name="_Toc510429173"/>
      <w:bookmarkStart w:id="3" w:name="_Toc460225036"/>
      <w:bookmarkStart w:id="4" w:name="_Toc527986934"/>
      <w:r w:rsidRPr="00AF1127">
        <w:rPr>
          <w:rFonts w:hAnsi="標楷體" w:hint="eastAsia"/>
          <w:szCs w:val="36"/>
        </w:rPr>
        <w:t>勞動部主管非營業特種基金11</w:t>
      </w:r>
      <w:r w:rsidR="00AF1127" w:rsidRPr="00AF1127">
        <w:rPr>
          <w:rFonts w:hAnsi="標楷體" w:hint="eastAsia"/>
          <w:szCs w:val="36"/>
        </w:rPr>
        <w:t>1</w:t>
      </w:r>
      <w:r w:rsidRPr="00AF1127">
        <w:rPr>
          <w:rFonts w:hAnsi="標楷體" w:hint="eastAsia"/>
          <w:szCs w:val="36"/>
        </w:rPr>
        <w:t>年度決算評估報告</w:t>
      </w:r>
    </w:p>
    <w:p w:rsidR="00B172D4" w:rsidRPr="0039425C" w:rsidRDefault="00F065D9" w:rsidP="00B172D4">
      <w:pPr>
        <w:pStyle w:val="14"/>
        <w:ind w:left="567" w:hanging="567"/>
        <w:rPr>
          <w:rFonts w:hint="eastAsia"/>
        </w:rPr>
      </w:pPr>
      <w:bookmarkStart w:id="5" w:name="_Toc528659343"/>
      <w:bookmarkStart w:id="6" w:name="_Toc18655600"/>
      <w:bookmarkStart w:id="7" w:name="_Toc19544514"/>
      <w:bookmarkStart w:id="8" w:name="_Toc19545147"/>
      <w:bookmarkStart w:id="9" w:name="_Toc516731048"/>
      <w:bookmarkStart w:id="10" w:name="_Toc162962367"/>
      <w:r w:rsidRPr="0039425C">
        <w:rPr>
          <w:rFonts w:hint="eastAsia"/>
        </w:rPr>
        <w:t>三</w:t>
      </w:r>
      <w:r w:rsidR="00B172D4" w:rsidRPr="0039425C">
        <w:rPr>
          <w:rFonts w:hint="eastAsia"/>
        </w:rPr>
        <w:t>、</w:t>
      </w:r>
      <w:r w:rsidR="00A233D5" w:rsidRPr="0039425C">
        <w:rPr>
          <w:rFonts w:hint="eastAsia"/>
        </w:rPr>
        <w:t>1</w:t>
      </w:r>
      <w:r w:rsidR="00A233D5" w:rsidRPr="0039425C">
        <w:t>11</w:t>
      </w:r>
      <w:r w:rsidR="00A233D5" w:rsidRPr="0039425C">
        <w:rPr>
          <w:rFonts w:hint="eastAsia"/>
        </w:rPr>
        <w:t>年度</w:t>
      </w:r>
      <w:r w:rsidR="00855D97" w:rsidRPr="0039425C">
        <w:rPr>
          <w:rFonts w:hint="eastAsia"/>
        </w:rPr>
        <w:t>舊</w:t>
      </w:r>
      <w:r w:rsidR="00A233D5" w:rsidRPr="0039425C">
        <w:rPr>
          <w:rFonts w:hint="eastAsia"/>
        </w:rPr>
        <w:t>制勞退基金資金運用</w:t>
      </w:r>
      <w:r w:rsidR="00B93430">
        <w:rPr>
          <w:rFonts w:hint="eastAsia"/>
        </w:rPr>
        <w:t>決算</w:t>
      </w:r>
      <w:r w:rsidR="00855D97" w:rsidRPr="0039425C">
        <w:rPr>
          <w:rFonts w:hint="eastAsia"/>
        </w:rPr>
        <w:t>短絀</w:t>
      </w:r>
      <w:r w:rsidR="00A233D5" w:rsidRPr="0039425C">
        <w:rPr>
          <w:rFonts w:hint="eastAsia"/>
        </w:rPr>
        <w:t>708億餘元</w:t>
      </w:r>
      <w:r w:rsidR="00855D97" w:rsidRPr="0039425C">
        <w:rPr>
          <w:rFonts w:hint="eastAsia"/>
        </w:rPr>
        <w:t>，與預算編列差異頗</w:t>
      </w:r>
      <w:r w:rsidR="00907A39">
        <w:rPr>
          <w:rFonts w:hint="eastAsia"/>
        </w:rPr>
        <w:t>鉅</w:t>
      </w:r>
      <w:r w:rsidR="00A233D5" w:rsidRPr="0039425C">
        <w:rPr>
          <w:rFonts w:hint="eastAsia"/>
        </w:rPr>
        <w:t>，</w:t>
      </w:r>
      <w:r w:rsidR="00296FB5" w:rsidRPr="0039425C">
        <w:rPr>
          <w:rFonts w:hint="eastAsia"/>
        </w:rPr>
        <w:t>允宜</w:t>
      </w:r>
      <w:r w:rsidR="009342CC" w:rsidRPr="0039425C">
        <w:rPr>
          <w:rFonts w:hint="eastAsia"/>
        </w:rPr>
        <w:t>加強國際情勢之掌握，</w:t>
      </w:r>
      <w:r w:rsidR="0039425C" w:rsidRPr="0039425C">
        <w:rPr>
          <w:rFonts w:hint="eastAsia"/>
        </w:rPr>
        <w:t>俾</w:t>
      </w:r>
      <w:r w:rsidR="00A23CD7">
        <w:rPr>
          <w:rFonts w:hint="eastAsia"/>
        </w:rPr>
        <w:t>提升</w:t>
      </w:r>
      <w:r w:rsidR="0039425C" w:rsidRPr="0039425C">
        <w:rPr>
          <w:rFonts w:hint="eastAsia"/>
        </w:rPr>
        <w:t>資金運用</w:t>
      </w:r>
      <w:r w:rsidR="00A23CD7">
        <w:rPr>
          <w:rFonts w:hint="eastAsia"/>
        </w:rPr>
        <w:t>收</w:t>
      </w:r>
      <w:r w:rsidR="0039425C" w:rsidRPr="0039425C">
        <w:rPr>
          <w:rFonts w:hint="eastAsia"/>
        </w:rPr>
        <w:t>益</w:t>
      </w:r>
      <w:bookmarkEnd w:id="10"/>
    </w:p>
    <w:p w:rsidR="00B172D4" w:rsidRDefault="00AF4D4A" w:rsidP="006C0F40">
      <w:pPr>
        <w:ind w:left="566" w:firstLine="566"/>
      </w:pPr>
      <w:r w:rsidRPr="00733011">
        <w:rPr>
          <w:rFonts w:hint="eastAsia"/>
        </w:rPr>
        <w:t>舊</w:t>
      </w:r>
      <w:r w:rsidR="00B172D4" w:rsidRPr="00733011">
        <w:rPr>
          <w:rFonts w:hint="eastAsia"/>
        </w:rPr>
        <w:t>制勞</w:t>
      </w:r>
      <w:r w:rsidR="006C0F40" w:rsidRPr="00733011">
        <w:rPr>
          <w:rFonts w:hint="eastAsia"/>
        </w:rPr>
        <w:t>工</w:t>
      </w:r>
      <w:r w:rsidR="00B172D4" w:rsidRPr="00733011">
        <w:rPr>
          <w:rFonts w:hint="eastAsia"/>
        </w:rPr>
        <w:t>退</w:t>
      </w:r>
      <w:r w:rsidR="006C0F40" w:rsidRPr="00733011">
        <w:rPr>
          <w:rFonts w:hint="eastAsia"/>
        </w:rPr>
        <w:t>休</w:t>
      </w:r>
      <w:r w:rsidR="00B172D4" w:rsidRPr="00733011">
        <w:rPr>
          <w:rFonts w:hint="eastAsia"/>
        </w:rPr>
        <w:t>基金</w:t>
      </w:r>
      <w:r w:rsidR="006C0F40" w:rsidRPr="00733011">
        <w:rPr>
          <w:rFonts w:hint="eastAsia"/>
        </w:rPr>
        <w:t>(以下簡稱</w:t>
      </w:r>
      <w:r w:rsidRPr="00733011">
        <w:rPr>
          <w:rFonts w:hint="eastAsia"/>
        </w:rPr>
        <w:t>舊</w:t>
      </w:r>
      <w:r w:rsidR="006C0F40" w:rsidRPr="00733011">
        <w:rPr>
          <w:rFonts w:hint="eastAsia"/>
        </w:rPr>
        <w:t>制勞退基金)</w:t>
      </w:r>
      <w:r w:rsidR="00B172D4" w:rsidRPr="00733011">
        <w:rPr>
          <w:rFonts w:hint="eastAsia"/>
        </w:rPr>
        <w:t>1</w:t>
      </w:r>
      <w:r w:rsidR="002A1FEC" w:rsidRPr="00733011">
        <w:rPr>
          <w:rFonts w:hint="eastAsia"/>
        </w:rPr>
        <w:t>1</w:t>
      </w:r>
      <w:r w:rsidR="00242EB9" w:rsidRPr="00733011">
        <w:t>1</w:t>
      </w:r>
      <w:r w:rsidR="00B172D4" w:rsidRPr="00733011">
        <w:rPr>
          <w:rFonts w:hint="eastAsia"/>
        </w:rPr>
        <w:t>年底</w:t>
      </w:r>
      <w:r w:rsidR="00B172D4" w:rsidRPr="00733011">
        <w:rPr>
          <w:rFonts w:hAnsi="標楷體" w:hint="eastAsia"/>
          <w:shd w:val="clear" w:color="auto" w:fill="FFFFFF"/>
        </w:rPr>
        <w:t>資金運用收益數</w:t>
      </w:r>
      <w:r w:rsidR="00B172D4" w:rsidRPr="00733011">
        <w:rPr>
          <w:rFonts w:hint="eastAsia"/>
        </w:rPr>
        <w:t>預算數</w:t>
      </w:r>
      <w:r w:rsidR="004B23E9" w:rsidRPr="00733011">
        <w:rPr>
          <w:rFonts w:hint="eastAsia"/>
        </w:rPr>
        <w:t>30</w:t>
      </w:r>
      <w:r w:rsidR="00242EB9" w:rsidRPr="00733011">
        <w:t>6</w:t>
      </w:r>
      <w:r w:rsidR="004B23E9" w:rsidRPr="00733011">
        <w:rPr>
          <w:rFonts w:hint="eastAsia"/>
        </w:rPr>
        <w:t>.</w:t>
      </w:r>
      <w:r w:rsidR="00242EB9" w:rsidRPr="00733011">
        <w:t>71</w:t>
      </w:r>
      <w:r w:rsidR="00F065D9" w:rsidRPr="00733011">
        <w:rPr>
          <w:rFonts w:hint="eastAsia"/>
        </w:rPr>
        <w:t>億元</w:t>
      </w:r>
      <w:r w:rsidR="00B172D4" w:rsidRPr="00733011">
        <w:rPr>
          <w:rFonts w:hint="eastAsia"/>
        </w:rPr>
        <w:t>，</w:t>
      </w:r>
      <w:r w:rsidR="00242EB9" w:rsidRPr="00733011">
        <w:rPr>
          <w:rFonts w:hint="eastAsia"/>
        </w:rPr>
        <w:t>執行結果</w:t>
      </w:r>
      <w:r w:rsidR="00B172D4" w:rsidRPr="00733011">
        <w:rPr>
          <w:rFonts w:hint="eastAsia"/>
        </w:rPr>
        <w:t>決算</w:t>
      </w:r>
      <w:r w:rsidR="00242EB9" w:rsidRPr="00733011">
        <w:rPr>
          <w:rFonts w:hint="eastAsia"/>
        </w:rPr>
        <w:t>短絀7</w:t>
      </w:r>
      <w:r w:rsidR="00242EB9" w:rsidRPr="00733011">
        <w:t>08.</w:t>
      </w:r>
      <w:r w:rsidR="00733011" w:rsidRPr="00733011">
        <w:rPr>
          <w:rFonts w:hint="eastAsia"/>
        </w:rPr>
        <w:t>74</w:t>
      </w:r>
      <w:r w:rsidR="00B172D4" w:rsidRPr="00733011">
        <w:rPr>
          <w:rFonts w:hint="eastAsia"/>
        </w:rPr>
        <w:t>億元</w:t>
      </w:r>
      <w:r w:rsidR="00F065D9" w:rsidRPr="00733011">
        <w:rPr>
          <w:rFonts w:hint="eastAsia"/>
        </w:rPr>
        <w:t>(詳表1</w:t>
      </w:r>
      <w:r w:rsidR="00B172D4" w:rsidRPr="00733011">
        <w:rPr>
          <w:rFonts w:hint="eastAsia"/>
        </w:rPr>
        <w:t>)。</w:t>
      </w:r>
    </w:p>
    <w:p w:rsidR="001A401A" w:rsidRPr="001A401A" w:rsidRDefault="001A401A" w:rsidP="001A401A">
      <w:pPr>
        <w:pStyle w:val="a4"/>
        <w:ind w:left="849" w:hanging="283"/>
        <w:rPr>
          <w:rFonts w:hint="eastAsia"/>
          <w:b/>
          <w:bCs/>
        </w:rPr>
      </w:pPr>
      <w:r w:rsidRPr="001A401A">
        <w:rPr>
          <w:b/>
          <w:bCs/>
        </w:rPr>
        <w:t>(一)</w:t>
      </w:r>
      <w:r w:rsidRPr="001A401A">
        <w:rPr>
          <w:rFonts w:hint="eastAsia"/>
          <w:b/>
          <w:bCs/>
        </w:rPr>
        <w:t>111年度資金運用決算數短絀708.74億元，相較預算數之差異頗鉅</w:t>
      </w:r>
    </w:p>
    <w:p w:rsidR="00B172D4" w:rsidRDefault="009C3F67" w:rsidP="001A401A">
      <w:pPr>
        <w:pStyle w:val="2"/>
        <w:ind w:left="850" w:firstLine="566"/>
        <w:rPr>
          <w:rStyle w:val="22"/>
        </w:rPr>
      </w:pPr>
      <w:r w:rsidRPr="00733011">
        <w:rPr>
          <w:rFonts w:hint="eastAsia"/>
        </w:rPr>
        <w:t>舊制</w:t>
      </w:r>
      <w:r w:rsidR="00B172D4" w:rsidRPr="00733011">
        <w:rPr>
          <w:rFonts w:hint="eastAsia"/>
        </w:rPr>
        <w:t>勞退基金</w:t>
      </w:r>
      <w:r w:rsidR="00B172D4" w:rsidRPr="00733011">
        <w:rPr>
          <w:rFonts w:hint="eastAsia"/>
          <w:shd w:val="clear" w:color="auto" w:fill="FFFFFF"/>
        </w:rPr>
        <w:t>透過訂定投資政策、擬定資產配置與年度運用計畫，據以辦理投資執行、委託經營、風險管理、稽查考核等各項業務及相關法令修訂等</w:t>
      </w:r>
      <w:r w:rsidR="00DA24D8" w:rsidRPr="00733011">
        <w:rPr>
          <w:rFonts w:hint="eastAsia"/>
          <w:shd w:val="clear" w:color="auto" w:fill="FFFFFF"/>
        </w:rPr>
        <w:t>，</w:t>
      </w:r>
      <w:r w:rsidR="00855D97">
        <w:rPr>
          <w:rStyle w:val="22"/>
          <w:rFonts w:hint="eastAsia"/>
        </w:rPr>
        <w:t>該基金</w:t>
      </w:r>
      <w:r w:rsidR="00855D97" w:rsidRPr="003E0A9E">
        <w:rPr>
          <w:rStyle w:val="22"/>
          <w:rFonts w:hint="eastAsia"/>
        </w:rPr>
        <w:t>10</w:t>
      </w:r>
      <w:r w:rsidR="00B93430">
        <w:rPr>
          <w:rStyle w:val="22"/>
          <w:rFonts w:hint="eastAsia"/>
        </w:rPr>
        <w:t>8</w:t>
      </w:r>
      <w:r w:rsidR="00922E58">
        <w:rPr>
          <w:rStyle w:val="22"/>
          <w:rFonts w:hint="eastAsia"/>
        </w:rPr>
        <w:t>年度</w:t>
      </w:r>
      <w:r w:rsidR="00855D97" w:rsidRPr="003E0A9E">
        <w:rPr>
          <w:rStyle w:val="22"/>
          <w:rFonts w:hint="eastAsia"/>
        </w:rPr>
        <w:t>至110年度資金運用收益之預算達成率分別為</w:t>
      </w:r>
      <w:r w:rsidR="00855D97" w:rsidRPr="003E0A9E">
        <w:rPr>
          <w:rStyle w:val="22"/>
        </w:rPr>
        <w:t>376.96</w:t>
      </w:r>
      <w:r w:rsidR="00855D97" w:rsidRPr="003E0A9E">
        <w:rPr>
          <w:rStyle w:val="22"/>
          <w:rFonts w:hint="eastAsia"/>
        </w:rPr>
        <w:t>%、</w:t>
      </w:r>
      <w:r w:rsidR="00855D97" w:rsidRPr="003E0A9E">
        <w:rPr>
          <w:rStyle w:val="22"/>
        </w:rPr>
        <w:t>2</w:t>
      </w:r>
      <w:r w:rsidR="00855D97" w:rsidRPr="003E0A9E">
        <w:rPr>
          <w:rStyle w:val="22"/>
          <w:rFonts w:hint="eastAsia"/>
        </w:rPr>
        <w:t>31</w:t>
      </w:r>
      <w:r w:rsidR="00855D97" w:rsidRPr="003E0A9E">
        <w:rPr>
          <w:rStyle w:val="22"/>
        </w:rPr>
        <w:t>.7</w:t>
      </w:r>
      <w:r w:rsidR="00855D97" w:rsidRPr="003E0A9E">
        <w:rPr>
          <w:rStyle w:val="22"/>
          <w:rFonts w:hint="eastAsia"/>
        </w:rPr>
        <w:t>1%及296</w:t>
      </w:r>
      <w:r w:rsidR="00855D97" w:rsidRPr="003E0A9E">
        <w:rPr>
          <w:rStyle w:val="22"/>
        </w:rPr>
        <w:t>.</w:t>
      </w:r>
      <w:r w:rsidR="00855D97" w:rsidRPr="003E0A9E">
        <w:rPr>
          <w:rStyle w:val="22"/>
          <w:rFonts w:hint="eastAsia"/>
        </w:rPr>
        <w:t>43%</w:t>
      </w:r>
      <w:r w:rsidR="00855D97">
        <w:rPr>
          <w:rStyle w:val="22"/>
        </w:rPr>
        <w:t>(</w:t>
      </w:r>
      <w:r w:rsidR="00855D97">
        <w:rPr>
          <w:rStyle w:val="22"/>
          <w:rFonts w:hint="eastAsia"/>
        </w:rPr>
        <w:t>詳表1)，</w:t>
      </w:r>
      <w:r w:rsidR="00D160CE">
        <w:rPr>
          <w:rStyle w:val="22"/>
          <w:rFonts w:hint="eastAsia"/>
        </w:rPr>
        <w:t>111年度</w:t>
      </w:r>
      <w:r w:rsidR="00D160CE" w:rsidRPr="003E0A9E">
        <w:rPr>
          <w:rStyle w:val="22"/>
          <w:rFonts w:hint="eastAsia"/>
        </w:rPr>
        <w:t>資金運用收益預</w:t>
      </w:r>
      <w:r w:rsidR="00922E58">
        <w:rPr>
          <w:rStyle w:val="22"/>
          <w:rFonts w:hint="eastAsia"/>
        </w:rPr>
        <w:t>算數</w:t>
      </w:r>
      <w:r w:rsidR="00D160CE" w:rsidRPr="00D160CE">
        <w:rPr>
          <w:rFonts w:hint="eastAsia"/>
          <w:snapToGrid/>
          <w:shd w:val="clear" w:color="auto" w:fill="FFFFFF"/>
        </w:rPr>
        <w:t>306</w:t>
      </w:r>
      <w:r w:rsidR="00D160CE" w:rsidRPr="003E0A9E">
        <w:rPr>
          <w:rStyle w:val="22"/>
          <w:rFonts w:hint="eastAsia"/>
        </w:rPr>
        <w:t>.71億元，</w:t>
      </w:r>
      <w:r w:rsidR="00B93430">
        <w:rPr>
          <w:rStyle w:val="22"/>
          <w:rFonts w:hint="eastAsia"/>
        </w:rPr>
        <w:t>惟</w:t>
      </w:r>
      <w:r w:rsidR="00D160CE" w:rsidRPr="003E0A9E">
        <w:rPr>
          <w:rStyle w:val="22"/>
          <w:rFonts w:hint="eastAsia"/>
        </w:rPr>
        <w:t>執行結果決算短絀708.74億元，差異頗鉅</w:t>
      </w:r>
      <w:r w:rsidR="00D160CE">
        <w:rPr>
          <w:rStyle w:val="22"/>
          <w:rFonts w:hint="eastAsia"/>
        </w:rPr>
        <w:t>。</w:t>
      </w:r>
    </w:p>
    <w:p w:rsidR="001A401A" w:rsidRPr="0004552D" w:rsidRDefault="001A401A" w:rsidP="001A401A">
      <w:pPr>
        <w:pStyle w:val="a4"/>
        <w:ind w:left="849" w:hanging="283"/>
        <w:rPr>
          <w:rFonts w:hint="eastAsia"/>
          <w:b/>
          <w:bCs/>
        </w:rPr>
      </w:pPr>
      <w:r w:rsidRPr="0004552D">
        <w:rPr>
          <w:rFonts w:hint="eastAsia"/>
          <w:b/>
          <w:bCs/>
        </w:rPr>
        <w:t>(二)</w:t>
      </w:r>
      <w:r w:rsidR="00951F85" w:rsidRPr="0004552D">
        <w:rPr>
          <w:rFonts w:hint="eastAsia"/>
          <w:b/>
          <w:bCs/>
        </w:rPr>
        <w:t>111年度以國內權益證券</w:t>
      </w:r>
      <w:r w:rsidR="0004552D" w:rsidRPr="0004552D">
        <w:rPr>
          <w:rFonts w:hint="eastAsia"/>
          <w:b/>
          <w:bCs/>
        </w:rPr>
        <w:t>等</w:t>
      </w:r>
      <w:r w:rsidR="00951F85" w:rsidRPr="0004552D">
        <w:rPr>
          <w:rFonts w:hint="eastAsia"/>
          <w:b/>
          <w:bCs/>
        </w:rPr>
        <w:t>預決算投資報酬率差異較大</w:t>
      </w:r>
      <w:r w:rsidR="0004552D" w:rsidRPr="0004552D">
        <w:rPr>
          <w:rFonts w:hint="eastAsia"/>
          <w:b/>
          <w:bCs/>
        </w:rPr>
        <w:t>，允宜研謀精進對國際金融市場波動之預測準確性</w:t>
      </w:r>
    </w:p>
    <w:p w:rsidR="00B172D4" w:rsidRPr="003E0A9E" w:rsidRDefault="00E033F6" w:rsidP="00615718">
      <w:pPr>
        <w:pStyle w:val="2"/>
        <w:ind w:left="850" w:firstLine="566"/>
        <w:rPr>
          <w:rFonts w:hint="eastAsia"/>
        </w:rPr>
      </w:pPr>
      <w:r w:rsidRPr="003E0A9E">
        <w:rPr>
          <w:rStyle w:val="22"/>
          <w:rFonts w:hint="eastAsia"/>
        </w:rPr>
        <w:t>該</w:t>
      </w:r>
      <w:r w:rsidR="00B172D4" w:rsidRPr="003E0A9E">
        <w:rPr>
          <w:rStyle w:val="22"/>
          <w:rFonts w:hint="eastAsia"/>
        </w:rPr>
        <w:t>基金</w:t>
      </w:r>
      <w:r w:rsidR="003E0A9E" w:rsidRPr="003E0A9E">
        <w:rPr>
          <w:rStyle w:val="22"/>
          <w:rFonts w:hint="eastAsia"/>
        </w:rPr>
        <w:t>資金運用計畫按投資細項，可區分為國內存款、國內債務證券、國內權益證券、國外債務證券、國外權益證券</w:t>
      </w:r>
      <w:r w:rsidR="00615718">
        <w:rPr>
          <w:rStyle w:val="22"/>
          <w:rFonts w:hint="eastAsia"/>
        </w:rPr>
        <w:t>及</w:t>
      </w:r>
      <w:r w:rsidR="003E0A9E" w:rsidRPr="003E0A9E">
        <w:rPr>
          <w:rStyle w:val="22"/>
          <w:rFonts w:hint="eastAsia"/>
        </w:rPr>
        <w:t>國外另類投資等，</w:t>
      </w:r>
      <w:r w:rsidR="00D160CE">
        <w:rPr>
          <w:rStyle w:val="22"/>
          <w:rFonts w:hint="eastAsia"/>
        </w:rPr>
        <w:t>111年度</w:t>
      </w:r>
      <w:r w:rsidR="00063101" w:rsidRPr="003E0A9E">
        <w:rPr>
          <w:rStyle w:val="22"/>
          <w:rFonts w:hint="eastAsia"/>
        </w:rPr>
        <w:t>以國內權益證券</w:t>
      </w:r>
      <w:r w:rsidR="00951F85">
        <w:rPr>
          <w:rStyle w:val="22"/>
          <w:rFonts w:hint="eastAsia"/>
        </w:rPr>
        <w:t>、</w:t>
      </w:r>
      <w:r w:rsidR="00B172D4" w:rsidRPr="003E0A9E">
        <w:rPr>
          <w:rStyle w:val="22"/>
          <w:rFonts w:hint="eastAsia"/>
        </w:rPr>
        <w:t>國外權益證券</w:t>
      </w:r>
      <w:r w:rsidR="00951F85">
        <w:rPr>
          <w:rStyle w:val="22"/>
          <w:rFonts w:hint="eastAsia"/>
        </w:rPr>
        <w:t>及</w:t>
      </w:r>
      <w:r w:rsidR="00951F85" w:rsidRPr="003E0A9E">
        <w:rPr>
          <w:rStyle w:val="22"/>
          <w:rFonts w:hint="eastAsia"/>
        </w:rPr>
        <w:t>國外另類投資</w:t>
      </w:r>
      <w:r w:rsidR="0004552D">
        <w:rPr>
          <w:rStyle w:val="22"/>
          <w:rFonts w:hint="eastAsia"/>
        </w:rPr>
        <w:t>之</w:t>
      </w:r>
      <w:r w:rsidR="00B172D4" w:rsidRPr="003E0A9E">
        <w:rPr>
          <w:rStyle w:val="22"/>
          <w:rFonts w:hint="eastAsia"/>
        </w:rPr>
        <w:t>預決算投資報酬率差異較大</w:t>
      </w:r>
      <w:r w:rsidR="00D160CE" w:rsidRPr="003E0A9E">
        <w:rPr>
          <w:rStyle w:val="22"/>
          <w:rFonts w:hint="eastAsia"/>
        </w:rPr>
        <w:t>(詳表</w:t>
      </w:r>
      <w:r w:rsidR="00D160CE">
        <w:rPr>
          <w:rStyle w:val="22"/>
          <w:rFonts w:hint="eastAsia"/>
        </w:rPr>
        <w:t>2</w:t>
      </w:r>
      <w:r w:rsidR="00D160CE" w:rsidRPr="003E0A9E">
        <w:rPr>
          <w:rStyle w:val="22"/>
          <w:rFonts w:hint="eastAsia"/>
        </w:rPr>
        <w:t>)</w:t>
      </w:r>
      <w:r w:rsidR="00B172D4" w:rsidRPr="003E0A9E">
        <w:rPr>
          <w:rFonts w:hint="eastAsia"/>
        </w:rPr>
        <w:t>。詢據勞動資金運用局資金投資預算執行情形略以，勞動基金資產配置計畫係屬中長期之配置計畫，其中有關各資產類別之預期報酬率係依其實際運用投資情形，參考市場具代表性、長期歷史資料，並廣為市場熟知之金融商品或指數，以長期歷史資料計算，屬於中長期之預測，並據此編列每年度預算，且金融市場瞬息萬變，尚無法決定市場走勢，預算規劃難與實際運用情形相同。</w:t>
      </w:r>
    </w:p>
    <w:p w:rsidR="00B172D4" w:rsidRPr="003E0A9E" w:rsidRDefault="00B172D4" w:rsidP="00615718">
      <w:pPr>
        <w:pStyle w:val="2"/>
        <w:ind w:left="850" w:firstLine="566"/>
        <w:rPr>
          <w:rFonts w:hint="eastAsia"/>
        </w:rPr>
      </w:pPr>
      <w:r w:rsidRPr="003E0A9E">
        <w:rPr>
          <w:rFonts w:hint="eastAsia"/>
        </w:rPr>
        <w:lastRenderedPageBreak/>
        <w:t>惟誠如前述，預決算投資報酬率差異較大之原因，主要在於國內權益證券、國外權益證券及國外另類投資等項目，顯示對國際金融市場波動之預測失準，恐使投資決策依循失當，致資金無法最有效配置。</w:t>
      </w:r>
    </w:p>
    <w:p w:rsidR="00A31D5D" w:rsidRDefault="00B172D4" w:rsidP="00A138E5">
      <w:pPr>
        <w:ind w:left="566" w:firstLine="566"/>
      </w:pPr>
      <w:r w:rsidRPr="009342CC">
        <w:rPr>
          <w:rFonts w:hint="eastAsia"/>
        </w:rPr>
        <w:t>綜上，</w:t>
      </w:r>
      <w:r w:rsidR="00340ECE" w:rsidRPr="00340ECE">
        <w:rPr>
          <w:rFonts w:hint="eastAsia"/>
        </w:rPr>
        <w:t>受國際疫情、俄烏戰爭等國際地緣政治紛擾、引發供應鏈斷鏈危機，通貨膨脹居高不下等影響，</w:t>
      </w:r>
      <w:r w:rsidR="00340ECE" w:rsidRPr="009342CC">
        <w:rPr>
          <w:rFonts w:hint="eastAsia"/>
        </w:rPr>
        <w:t>舊制勞退基金</w:t>
      </w:r>
      <w:r w:rsidR="00A138E5" w:rsidRPr="00A138E5">
        <w:rPr>
          <w:rFonts w:hint="eastAsia"/>
        </w:rPr>
        <w:t>111年度資金運用收益數執行結果決算短絀708.74億元</w:t>
      </w:r>
      <w:r w:rsidR="00340ECE" w:rsidRPr="009342CC">
        <w:rPr>
          <w:rFonts w:hint="eastAsia"/>
        </w:rPr>
        <w:t>，與預算數差異頗</w:t>
      </w:r>
      <w:r w:rsidR="003F112A">
        <w:rPr>
          <w:rFonts w:hint="eastAsia"/>
        </w:rPr>
        <w:t>鉅</w:t>
      </w:r>
      <w:r w:rsidR="00340ECE" w:rsidRPr="009342CC">
        <w:rPr>
          <w:rFonts w:hint="eastAsia"/>
        </w:rPr>
        <w:t>，</w:t>
      </w:r>
      <w:r w:rsidR="00340ECE" w:rsidRPr="00340ECE">
        <w:rPr>
          <w:rFonts w:hint="eastAsia"/>
        </w:rPr>
        <w:t>允宜參酌以前年度國內、外投資經營成果，</w:t>
      </w:r>
      <w:r w:rsidR="00D70338" w:rsidRPr="00340ECE">
        <w:rPr>
          <w:rFonts w:hint="eastAsia"/>
        </w:rPr>
        <w:t>並</w:t>
      </w:r>
      <w:r w:rsidR="00340ECE" w:rsidRPr="00340ECE">
        <w:rPr>
          <w:rFonts w:hint="eastAsia"/>
        </w:rPr>
        <w:t>審酌整體經濟環境及政治因素，強化國際經濟預估能力，機動調整投資策略及資金配置比率，俾使資金運用獲得最</w:t>
      </w:r>
      <w:r w:rsidR="00B93430">
        <w:rPr>
          <w:rFonts w:hint="eastAsia"/>
        </w:rPr>
        <w:t>大</w:t>
      </w:r>
      <w:r w:rsidR="00340ECE" w:rsidRPr="00340ECE">
        <w:rPr>
          <w:rFonts w:hint="eastAsia"/>
        </w:rPr>
        <w:t>效益。</w:t>
      </w:r>
      <w:bookmarkEnd w:id="1"/>
      <w:bookmarkEnd w:id="2"/>
      <w:bookmarkEnd w:id="3"/>
      <w:bookmarkEnd w:id="4"/>
      <w:bookmarkEnd w:id="5"/>
      <w:bookmarkEnd w:id="6"/>
      <w:bookmarkEnd w:id="7"/>
      <w:bookmarkEnd w:id="8"/>
      <w:bookmarkEnd w:id="9"/>
    </w:p>
    <w:p w:rsidR="00D160CE" w:rsidRPr="004B0B2A" w:rsidRDefault="00D160CE" w:rsidP="00D160CE">
      <w:pPr>
        <w:ind w:leftChars="0" w:left="706" w:right="-1" w:hangingChars="249" w:hanging="706"/>
        <w:rPr>
          <w:rFonts w:hint="eastAsia"/>
          <w:b/>
        </w:rPr>
      </w:pPr>
      <w:r w:rsidRPr="004B0B2A">
        <w:rPr>
          <w:rFonts w:hint="eastAsia"/>
          <w:b/>
        </w:rPr>
        <w:t xml:space="preserve">表1  </w:t>
      </w:r>
      <w:r w:rsidRPr="004B0B2A">
        <w:rPr>
          <w:rFonts w:hint="eastAsia"/>
          <w:b/>
          <w:spacing w:val="-10"/>
        </w:rPr>
        <w:t>舊制勞退基金10</w:t>
      </w:r>
      <w:r w:rsidR="003F112A">
        <w:rPr>
          <w:rFonts w:hint="eastAsia"/>
          <w:b/>
          <w:spacing w:val="-10"/>
        </w:rPr>
        <w:t>8</w:t>
      </w:r>
      <w:r w:rsidRPr="004B0B2A">
        <w:rPr>
          <w:rFonts w:hint="eastAsia"/>
          <w:b/>
          <w:spacing w:val="-10"/>
        </w:rPr>
        <w:t>-111年度資金運用收益預算編列及執行情形統計表</w:t>
      </w:r>
      <w:r w:rsidRPr="004B0B2A">
        <w:rPr>
          <w:rFonts w:hint="eastAsia"/>
          <w:b/>
        </w:rPr>
        <w:t xml:space="preserve"> </w:t>
      </w:r>
    </w:p>
    <w:p w:rsidR="00D160CE" w:rsidRPr="004B0B2A" w:rsidRDefault="00D160CE" w:rsidP="00D160CE">
      <w:pPr>
        <w:pStyle w:val="142"/>
        <w:jc w:val="right"/>
        <w:rPr>
          <w:rFonts w:hint="eastAsia"/>
        </w:rPr>
      </w:pPr>
      <w:r w:rsidRPr="004B0B2A">
        <w:rPr>
          <w:rFonts w:hint="eastAsia"/>
        </w:rPr>
        <w:t xml:space="preserve">                                    </w:t>
      </w:r>
      <w:r w:rsidRPr="004B0B2A">
        <w:rPr>
          <w:rFonts w:hint="eastAsia"/>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2551"/>
        <w:gridCol w:w="2126"/>
        <w:gridCol w:w="2127"/>
      </w:tblGrid>
      <w:tr w:rsidR="00D160CE" w:rsidRPr="004B0B2A" w:rsidTr="00D70338">
        <w:trPr>
          <w:trHeight w:val="267"/>
          <w:tblHeader/>
        </w:trPr>
        <w:tc>
          <w:tcPr>
            <w:tcW w:w="1701" w:type="dxa"/>
          </w:tcPr>
          <w:p w:rsidR="00D160CE" w:rsidRPr="004B0B2A" w:rsidRDefault="00D160CE" w:rsidP="00E76156">
            <w:pPr>
              <w:pStyle w:val="142"/>
              <w:jc w:val="center"/>
              <w:rPr>
                <w:rFonts w:hint="eastAsia"/>
              </w:rPr>
            </w:pPr>
            <w:r w:rsidRPr="004B0B2A">
              <w:rPr>
                <w:rFonts w:hint="eastAsia"/>
              </w:rPr>
              <w:t>年度</w:t>
            </w:r>
          </w:p>
        </w:tc>
        <w:tc>
          <w:tcPr>
            <w:tcW w:w="2551" w:type="dxa"/>
          </w:tcPr>
          <w:p w:rsidR="00D160CE" w:rsidRPr="004B0B2A" w:rsidRDefault="00D160CE" w:rsidP="00E76156">
            <w:pPr>
              <w:pStyle w:val="142"/>
              <w:jc w:val="center"/>
              <w:rPr>
                <w:rFonts w:hint="eastAsia"/>
              </w:rPr>
            </w:pPr>
            <w:r w:rsidRPr="004B0B2A">
              <w:rPr>
                <w:rFonts w:hint="eastAsia"/>
              </w:rPr>
              <w:t>預算數</w:t>
            </w:r>
          </w:p>
        </w:tc>
        <w:tc>
          <w:tcPr>
            <w:tcW w:w="2126" w:type="dxa"/>
          </w:tcPr>
          <w:p w:rsidR="00D160CE" w:rsidRPr="004B0B2A" w:rsidRDefault="00D160CE" w:rsidP="00E76156">
            <w:pPr>
              <w:pStyle w:val="142"/>
              <w:jc w:val="center"/>
              <w:rPr>
                <w:rFonts w:hint="eastAsia"/>
              </w:rPr>
            </w:pPr>
            <w:r w:rsidRPr="004B0B2A">
              <w:rPr>
                <w:rFonts w:hint="eastAsia"/>
              </w:rPr>
              <w:t>決算數</w:t>
            </w:r>
          </w:p>
        </w:tc>
        <w:tc>
          <w:tcPr>
            <w:tcW w:w="2127" w:type="dxa"/>
          </w:tcPr>
          <w:p w:rsidR="00D160CE" w:rsidRPr="004B0B2A" w:rsidRDefault="00D160CE" w:rsidP="00E76156">
            <w:pPr>
              <w:pStyle w:val="142"/>
              <w:jc w:val="center"/>
              <w:rPr>
                <w:rFonts w:hint="eastAsia"/>
              </w:rPr>
            </w:pPr>
            <w:r w:rsidRPr="004B0B2A">
              <w:rPr>
                <w:rFonts w:hint="eastAsia"/>
              </w:rPr>
              <w:t>執行率</w:t>
            </w:r>
          </w:p>
        </w:tc>
      </w:tr>
      <w:tr w:rsidR="00D160CE" w:rsidRPr="004B0B2A" w:rsidTr="00D70338">
        <w:trPr>
          <w:trHeight w:val="156"/>
        </w:trPr>
        <w:tc>
          <w:tcPr>
            <w:tcW w:w="1701" w:type="dxa"/>
          </w:tcPr>
          <w:p w:rsidR="00D160CE" w:rsidRPr="004B0B2A" w:rsidRDefault="00D160CE" w:rsidP="00E76156">
            <w:pPr>
              <w:pStyle w:val="142"/>
              <w:jc w:val="center"/>
            </w:pPr>
            <w:r w:rsidRPr="004B0B2A">
              <w:t>108</w:t>
            </w:r>
          </w:p>
        </w:tc>
        <w:tc>
          <w:tcPr>
            <w:tcW w:w="2551" w:type="dxa"/>
          </w:tcPr>
          <w:p w:rsidR="00D160CE" w:rsidRPr="004B0B2A" w:rsidRDefault="00D160CE" w:rsidP="00E76156">
            <w:pPr>
              <w:pStyle w:val="142"/>
              <w:jc w:val="right"/>
            </w:pPr>
            <w:r w:rsidRPr="004B0B2A">
              <w:t xml:space="preserve">30,341,625 </w:t>
            </w:r>
          </w:p>
        </w:tc>
        <w:tc>
          <w:tcPr>
            <w:tcW w:w="2126" w:type="dxa"/>
          </w:tcPr>
          <w:p w:rsidR="00D160CE" w:rsidRPr="004B0B2A" w:rsidRDefault="00D160CE" w:rsidP="00E76156">
            <w:pPr>
              <w:pStyle w:val="142"/>
              <w:jc w:val="right"/>
            </w:pPr>
            <w:r w:rsidRPr="004B0B2A">
              <w:t xml:space="preserve">114,375,836 </w:t>
            </w:r>
          </w:p>
        </w:tc>
        <w:tc>
          <w:tcPr>
            <w:tcW w:w="2127" w:type="dxa"/>
          </w:tcPr>
          <w:p w:rsidR="00D160CE" w:rsidRPr="004B0B2A" w:rsidRDefault="00D160CE" w:rsidP="00E76156">
            <w:pPr>
              <w:pStyle w:val="142"/>
              <w:jc w:val="right"/>
            </w:pPr>
            <w:r w:rsidRPr="004B0B2A">
              <w:t>376.96</w:t>
            </w:r>
          </w:p>
        </w:tc>
      </w:tr>
      <w:tr w:rsidR="00D160CE" w:rsidRPr="004B0B2A" w:rsidTr="00D70338">
        <w:trPr>
          <w:trHeight w:val="156"/>
        </w:trPr>
        <w:tc>
          <w:tcPr>
            <w:tcW w:w="1701" w:type="dxa"/>
          </w:tcPr>
          <w:p w:rsidR="00D160CE" w:rsidRPr="004B0B2A" w:rsidRDefault="00D160CE" w:rsidP="00E76156">
            <w:pPr>
              <w:pStyle w:val="142"/>
              <w:jc w:val="center"/>
            </w:pPr>
            <w:r w:rsidRPr="004B0B2A">
              <w:rPr>
                <w:rFonts w:hint="eastAsia"/>
              </w:rPr>
              <w:t>109</w:t>
            </w:r>
          </w:p>
        </w:tc>
        <w:tc>
          <w:tcPr>
            <w:tcW w:w="2551" w:type="dxa"/>
          </w:tcPr>
          <w:p w:rsidR="00D160CE" w:rsidRPr="004B0B2A" w:rsidRDefault="00D160CE" w:rsidP="00E76156">
            <w:pPr>
              <w:pStyle w:val="142"/>
              <w:jc w:val="right"/>
            </w:pPr>
            <w:r w:rsidRPr="004B0B2A">
              <w:t xml:space="preserve">31,162,504 </w:t>
            </w:r>
          </w:p>
        </w:tc>
        <w:tc>
          <w:tcPr>
            <w:tcW w:w="2126" w:type="dxa"/>
          </w:tcPr>
          <w:p w:rsidR="00D160CE" w:rsidRPr="004B0B2A" w:rsidRDefault="00D160CE" w:rsidP="00E76156">
            <w:pPr>
              <w:pStyle w:val="142"/>
              <w:jc w:val="right"/>
            </w:pPr>
            <w:r w:rsidRPr="004B0B2A">
              <w:t xml:space="preserve">72,207,947 </w:t>
            </w:r>
          </w:p>
        </w:tc>
        <w:tc>
          <w:tcPr>
            <w:tcW w:w="2127" w:type="dxa"/>
          </w:tcPr>
          <w:p w:rsidR="00D160CE" w:rsidRPr="004B0B2A" w:rsidRDefault="00D160CE" w:rsidP="00E76156">
            <w:pPr>
              <w:pStyle w:val="142"/>
              <w:jc w:val="right"/>
            </w:pPr>
            <w:r w:rsidRPr="004B0B2A">
              <w:t>231.71</w:t>
            </w:r>
          </w:p>
        </w:tc>
      </w:tr>
      <w:tr w:rsidR="00D160CE" w:rsidRPr="004B0B2A" w:rsidTr="00D70338">
        <w:trPr>
          <w:trHeight w:val="156"/>
        </w:trPr>
        <w:tc>
          <w:tcPr>
            <w:tcW w:w="1701" w:type="dxa"/>
          </w:tcPr>
          <w:p w:rsidR="00D160CE" w:rsidRPr="004B0B2A" w:rsidRDefault="00D160CE" w:rsidP="00E76156">
            <w:pPr>
              <w:pStyle w:val="142"/>
              <w:jc w:val="center"/>
            </w:pPr>
            <w:r w:rsidRPr="004B0B2A">
              <w:rPr>
                <w:rFonts w:hint="eastAsia"/>
              </w:rPr>
              <w:t>110</w:t>
            </w:r>
          </w:p>
        </w:tc>
        <w:tc>
          <w:tcPr>
            <w:tcW w:w="2551" w:type="dxa"/>
          </w:tcPr>
          <w:p w:rsidR="00D160CE" w:rsidRPr="004B0B2A" w:rsidRDefault="00D160CE" w:rsidP="00E76156">
            <w:pPr>
              <w:pStyle w:val="142"/>
              <w:jc w:val="right"/>
            </w:pPr>
            <w:r w:rsidRPr="004B0B2A">
              <w:t xml:space="preserve">31,084,987 </w:t>
            </w:r>
          </w:p>
        </w:tc>
        <w:tc>
          <w:tcPr>
            <w:tcW w:w="2126" w:type="dxa"/>
          </w:tcPr>
          <w:p w:rsidR="00D160CE" w:rsidRPr="004B0B2A" w:rsidRDefault="00D160CE" w:rsidP="00E76156">
            <w:pPr>
              <w:pStyle w:val="142"/>
              <w:jc w:val="right"/>
            </w:pPr>
            <w:r w:rsidRPr="004B0B2A">
              <w:t xml:space="preserve">92,146,261 </w:t>
            </w:r>
          </w:p>
        </w:tc>
        <w:tc>
          <w:tcPr>
            <w:tcW w:w="2127" w:type="dxa"/>
          </w:tcPr>
          <w:p w:rsidR="00D160CE" w:rsidRPr="004B0B2A" w:rsidRDefault="00D160CE" w:rsidP="00E76156">
            <w:pPr>
              <w:pStyle w:val="142"/>
              <w:jc w:val="right"/>
            </w:pPr>
            <w:r w:rsidRPr="004B0B2A">
              <w:t>296.43</w:t>
            </w:r>
          </w:p>
        </w:tc>
      </w:tr>
      <w:tr w:rsidR="00D160CE" w:rsidRPr="004B0B2A" w:rsidTr="00D70338">
        <w:trPr>
          <w:trHeight w:val="156"/>
        </w:trPr>
        <w:tc>
          <w:tcPr>
            <w:tcW w:w="1701" w:type="dxa"/>
          </w:tcPr>
          <w:p w:rsidR="00D160CE" w:rsidRPr="004B0B2A" w:rsidRDefault="00D160CE" w:rsidP="00E76156">
            <w:pPr>
              <w:pStyle w:val="142"/>
              <w:jc w:val="center"/>
              <w:rPr>
                <w:rFonts w:hint="eastAsia"/>
              </w:rPr>
            </w:pPr>
            <w:r w:rsidRPr="004B0B2A">
              <w:rPr>
                <w:rFonts w:hint="eastAsia"/>
              </w:rPr>
              <w:t>1</w:t>
            </w:r>
            <w:r w:rsidRPr="004B0B2A">
              <w:t>11</w:t>
            </w:r>
          </w:p>
        </w:tc>
        <w:tc>
          <w:tcPr>
            <w:tcW w:w="2551" w:type="dxa"/>
          </w:tcPr>
          <w:p w:rsidR="00D160CE" w:rsidRPr="004B0B2A" w:rsidRDefault="00D160CE" w:rsidP="00E76156">
            <w:pPr>
              <w:pStyle w:val="142"/>
              <w:jc w:val="right"/>
            </w:pPr>
            <w:r w:rsidRPr="004B0B2A">
              <w:rPr>
                <w:rFonts w:hint="eastAsia"/>
              </w:rPr>
              <w:t>30</w:t>
            </w:r>
            <w:r w:rsidRPr="004B0B2A">
              <w:t>,</w:t>
            </w:r>
            <w:r w:rsidRPr="004B0B2A">
              <w:rPr>
                <w:rFonts w:hint="eastAsia"/>
              </w:rPr>
              <w:t>671,261</w:t>
            </w:r>
          </w:p>
        </w:tc>
        <w:tc>
          <w:tcPr>
            <w:tcW w:w="2126" w:type="dxa"/>
          </w:tcPr>
          <w:p w:rsidR="00D160CE" w:rsidRPr="004B0B2A" w:rsidRDefault="00D160CE" w:rsidP="00E76156">
            <w:pPr>
              <w:pStyle w:val="142"/>
              <w:jc w:val="right"/>
            </w:pPr>
            <w:r w:rsidRPr="004B0B2A">
              <w:rPr>
                <w:rFonts w:hint="eastAsia"/>
              </w:rPr>
              <w:t>-</w:t>
            </w:r>
            <w:r w:rsidRPr="004B0B2A">
              <w:t>70,873,929</w:t>
            </w:r>
          </w:p>
        </w:tc>
        <w:tc>
          <w:tcPr>
            <w:tcW w:w="2127" w:type="dxa"/>
          </w:tcPr>
          <w:p w:rsidR="00D160CE" w:rsidRPr="004B0B2A" w:rsidRDefault="00D160CE" w:rsidP="00E76156">
            <w:pPr>
              <w:pStyle w:val="142"/>
              <w:jc w:val="right"/>
            </w:pPr>
            <w:r w:rsidRPr="004B0B2A">
              <w:rPr>
                <w:rFonts w:hint="eastAsia"/>
              </w:rPr>
              <w:t>-</w:t>
            </w:r>
          </w:p>
        </w:tc>
      </w:tr>
    </w:tbl>
    <w:p w:rsidR="00D160CE" w:rsidRPr="004B0B2A" w:rsidRDefault="00D160CE" w:rsidP="00D160CE">
      <w:pPr>
        <w:spacing w:line="280" w:lineRule="exact"/>
        <w:ind w:leftChars="0" w:left="0" w:firstLineChars="0" w:firstLine="0"/>
        <w:jc w:val="left"/>
        <w:rPr>
          <w:rFonts w:hint="eastAsia"/>
          <w:sz w:val="24"/>
        </w:rPr>
      </w:pPr>
      <w:r w:rsidRPr="004B0B2A">
        <w:rPr>
          <w:rFonts w:hint="eastAsia"/>
          <w:sz w:val="24"/>
        </w:rPr>
        <w:t>說    明：以基金整體資金運用賸餘為基礎，預算執行率=決算數/預算數。</w:t>
      </w:r>
    </w:p>
    <w:p w:rsidR="00D160CE" w:rsidRPr="004B0B2A" w:rsidRDefault="00D160CE" w:rsidP="00D160CE">
      <w:pPr>
        <w:spacing w:line="280" w:lineRule="exact"/>
        <w:ind w:leftChars="0" w:left="0" w:firstLineChars="0" w:firstLine="0"/>
        <w:jc w:val="left"/>
        <w:rPr>
          <w:b/>
          <w:sz w:val="24"/>
        </w:rPr>
      </w:pPr>
      <w:r w:rsidRPr="004B0B2A">
        <w:rPr>
          <w:rFonts w:hint="eastAsia"/>
          <w:sz w:val="24"/>
        </w:rPr>
        <w:t>資料來源：基金運用局提供。</w:t>
      </w:r>
      <w:r w:rsidRPr="004B0B2A">
        <w:rPr>
          <w:b/>
          <w:sz w:val="24"/>
        </w:rPr>
        <w:tab/>
      </w:r>
      <w:r w:rsidRPr="004B0B2A">
        <w:rPr>
          <w:b/>
          <w:sz w:val="24"/>
        </w:rPr>
        <w:tab/>
      </w:r>
    </w:p>
    <w:p w:rsidR="00D160CE" w:rsidRPr="0075723B" w:rsidRDefault="00D160CE" w:rsidP="00D160CE">
      <w:pPr>
        <w:ind w:leftChars="0" w:left="1562" w:hangingChars="551" w:hanging="1562"/>
        <w:rPr>
          <w:rFonts w:hint="eastAsia"/>
        </w:rPr>
      </w:pPr>
      <w:r w:rsidRPr="0075723B">
        <w:rPr>
          <w:rFonts w:hint="eastAsia"/>
          <w:b/>
        </w:rPr>
        <w:t xml:space="preserve">表2  舊制勞退基金109-111年度資金運用收益率明細表   </w:t>
      </w:r>
      <w:r w:rsidRPr="0075723B">
        <w:rPr>
          <w:rFonts w:hint="eastAsia"/>
        </w:rPr>
        <w:t xml:space="preserve">  </w:t>
      </w:r>
      <w:r w:rsidRPr="0075723B">
        <w:rPr>
          <w:rFonts w:hint="eastAsia"/>
          <w:sz w:val="24"/>
        </w:rPr>
        <w:t xml:space="preserve">單位：% </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60"/>
        <w:gridCol w:w="1187"/>
        <w:gridCol w:w="1186"/>
        <w:gridCol w:w="1187"/>
        <w:gridCol w:w="1117"/>
        <w:gridCol w:w="1134"/>
        <w:gridCol w:w="1134"/>
      </w:tblGrid>
      <w:tr w:rsidR="00D160CE" w:rsidRPr="0075723B" w:rsidTr="00E76156">
        <w:trPr>
          <w:trHeight w:val="285"/>
          <w:tblHeader/>
        </w:trPr>
        <w:tc>
          <w:tcPr>
            <w:tcW w:w="1560" w:type="dxa"/>
            <w:vMerge w:val="restart"/>
            <w:shd w:val="clear" w:color="auto" w:fill="auto"/>
            <w:noWrap/>
            <w:vAlign w:val="center"/>
          </w:tcPr>
          <w:p w:rsidR="00D160CE" w:rsidRPr="0075723B" w:rsidRDefault="00D160CE" w:rsidP="00E76156">
            <w:pPr>
              <w:spacing w:line="280" w:lineRule="exact"/>
              <w:ind w:leftChars="0" w:left="0" w:firstLineChars="0" w:firstLine="0"/>
              <w:jc w:val="center"/>
              <w:rPr>
                <w:sz w:val="24"/>
              </w:rPr>
            </w:pPr>
            <w:r w:rsidRPr="0075723B">
              <w:rPr>
                <w:rFonts w:hint="eastAsia"/>
                <w:sz w:val="24"/>
              </w:rPr>
              <w:t>運用項目</w:t>
            </w:r>
          </w:p>
        </w:tc>
        <w:tc>
          <w:tcPr>
            <w:tcW w:w="2373" w:type="dxa"/>
            <w:gridSpan w:val="2"/>
            <w:shd w:val="clear" w:color="auto" w:fill="auto"/>
            <w:vAlign w:val="center"/>
          </w:tcPr>
          <w:p w:rsidR="00D160CE" w:rsidRPr="0075723B" w:rsidRDefault="00D160CE" w:rsidP="00E76156">
            <w:pPr>
              <w:pStyle w:val="142"/>
              <w:jc w:val="center"/>
            </w:pPr>
            <w:r w:rsidRPr="0075723B">
              <w:rPr>
                <w:rFonts w:hint="eastAsia"/>
              </w:rPr>
              <w:t>109年度</w:t>
            </w:r>
          </w:p>
        </w:tc>
        <w:tc>
          <w:tcPr>
            <w:tcW w:w="2304" w:type="dxa"/>
            <w:gridSpan w:val="2"/>
            <w:vAlign w:val="center"/>
          </w:tcPr>
          <w:p w:rsidR="00D160CE" w:rsidRPr="0075723B" w:rsidRDefault="00D160CE" w:rsidP="00E76156">
            <w:pPr>
              <w:pStyle w:val="142"/>
              <w:jc w:val="center"/>
            </w:pPr>
            <w:r w:rsidRPr="0075723B">
              <w:rPr>
                <w:rFonts w:hint="eastAsia"/>
              </w:rPr>
              <w:t>110年度</w:t>
            </w:r>
          </w:p>
        </w:tc>
        <w:tc>
          <w:tcPr>
            <w:tcW w:w="2268" w:type="dxa"/>
            <w:gridSpan w:val="2"/>
            <w:vAlign w:val="center"/>
          </w:tcPr>
          <w:p w:rsidR="00D160CE" w:rsidRPr="0075723B" w:rsidRDefault="00D160CE" w:rsidP="00E76156">
            <w:pPr>
              <w:pStyle w:val="142"/>
              <w:jc w:val="center"/>
            </w:pPr>
            <w:r w:rsidRPr="0075723B">
              <w:rPr>
                <w:rFonts w:hint="eastAsia"/>
              </w:rPr>
              <w:t>111年度</w:t>
            </w:r>
          </w:p>
        </w:tc>
      </w:tr>
      <w:tr w:rsidR="00D160CE" w:rsidRPr="0075723B" w:rsidTr="00E76156">
        <w:trPr>
          <w:trHeight w:val="128"/>
          <w:tblHeader/>
        </w:trPr>
        <w:tc>
          <w:tcPr>
            <w:tcW w:w="1560" w:type="dxa"/>
            <w:vMerge/>
            <w:tcBorders>
              <w:bottom w:val="single" w:sz="4" w:space="0" w:color="auto"/>
            </w:tcBorders>
            <w:shd w:val="clear" w:color="auto" w:fill="auto"/>
            <w:noWrap/>
            <w:vAlign w:val="center"/>
          </w:tcPr>
          <w:p w:rsidR="00D160CE" w:rsidRPr="0075723B" w:rsidRDefault="00D160CE" w:rsidP="00E76156">
            <w:pPr>
              <w:spacing w:line="280" w:lineRule="exact"/>
              <w:ind w:leftChars="0" w:left="0" w:firstLineChars="0" w:firstLine="0"/>
              <w:jc w:val="center"/>
              <w:rPr>
                <w:sz w:val="24"/>
              </w:rPr>
            </w:pPr>
          </w:p>
        </w:tc>
        <w:tc>
          <w:tcPr>
            <w:tcW w:w="1187" w:type="dxa"/>
            <w:tcBorders>
              <w:bottom w:val="single" w:sz="4" w:space="0" w:color="auto"/>
            </w:tcBorders>
            <w:vAlign w:val="center"/>
          </w:tcPr>
          <w:p w:rsidR="00D160CE" w:rsidRPr="0075723B" w:rsidRDefault="00D160CE" w:rsidP="00E76156">
            <w:pPr>
              <w:pStyle w:val="142"/>
              <w:jc w:val="center"/>
              <w:rPr>
                <w:rFonts w:cs="新細明體"/>
                <w:szCs w:val="24"/>
              </w:rPr>
            </w:pPr>
            <w:r w:rsidRPr="0075723B">
              <w:rPr>
                <w:rFonts w:hint="eastAsia"/>
              </w:rPr>
              <w:t>預算數</w:t>
            </w:r>
          </w:p>
        </w:tc>
        <w:tc>
          <w:tcPr>
            <w:tcW w:w="1186" w:type="dxa"/>
            <w:tcBorders>
              <w:bottom w:val="single" w:sz="4" w:space="0" w:color="auto"/>
            </w:tcBorders>
            <w:vAlign w:val="center"/>
          </w:tcPr>
          <w:p w:rsidR="00D160CE" w:rsidRPr="0075723B" w:rsidRDefault="00D160CE" w:rsidP="00E76156">
            <w:pPr>
              <w:pStyle w:val="142"/>
              <w:jc w:val="center"/>
            </w:pPr>
            <w:r w:rsidRPr="0075723B">
              <w:rPr>
                <w:rFonts w:hint="eastAsia"/>
              </w:rPr>
              <w:t>決算數</w:t>
            </w:r>
          </w:p>
        </w:tc>
        <w:tc>
          <w:tcPr>
            <w:tcW w:w="1187" w:type="dxa"/>
            <w:tcBorders>
              <w:bottom w:val="single" w:sz="4" w:space="0" w:color="auto"/>
            </w:tcBorders>
            <w:vAlign w:val="center"/>
          </w:tcPr>
          <w:p w:rsidR="00D160CE" w:rsidRPr="0075723B" w:rsidRDefault="00D160CE" w:rsidP="00E76156">
            <w:pPr>
              <w:pStyle w:val="142"/>
              <w:jc w:val="center"/>
            </w:pPr>
            <w:r w:rsidRPr="0075723B">
              <w:rPr>
                <w:rFonts w:hint="eastAsia"/>
              </w:rPr>
              <w:t>預算數</w:t>
            </w:r>
          </w:p>
        </w:tc>
        <w:tc>
          <w:tcPr>
            <w:tcW w:w="1117" w:type="dxa"/>
            <w:tcBorders>
              <w:bottom w:val="single" w:sz="4" w:space="0" w:color="auto"/>
            </w:tcBorders>
            <w:vAlign w:val="center"/>
          </w:tcPr>
          <w:p w:rsidR="00D160CE" w:rsidRPr="0075723B" w:rsidRDefault="00D160CE" w:rsidP="00E76156">
            <w:pPr>
              <w:pStyle w:val="142"/>
              <w:jc w:val="center"/>
            </w:pPr>
            <w:r w:rsidRPr="0075723B">
              <w:rPr>
                <w:rFonts w:hint="eastAsia"/>
              </w:rPr>
              <w:t>決算數</w:t>
            </w:r>
          </w:p>
        </w:tc>
        <w:tc>
          <w:tcPr>
            <w:tcW w:w="1134" w:type="dxa"/>
            <w:tcBorders>
              <w:bottom w:val="single" w:sz="4" w:space="0" w:color="auto"/>
            </w:tcBorders>
            <w:vAlign w:val="center"/>
          </w:tcPr>
          <w:p w:rsidR="00D160CE" w:rsidRPr="0075723B" w:rsidRDefault="00D160CE" w:rsidP="00E76156">
            <w:pPr>
              <w:pStyle w:val="142"/>
              <w:jc w:val="center"/>
            </w:pPr>
            <w:r w:rsidRPr="0075723B">
              <w:rPr>
                <w:rFonts w:hint="eastAsia"/>
              </w:rPr>
              <w:t>預算數</w:t>
            </w:r>
          </w:p>
        </w:tc>
        <w:tc>
          <w:tcPr>
            <w:tcW w:w="1134" w:type="dxa"/>
            <w:tcBorders>
              <w:bottom w:val="single" w:sz="4" w:space="0" w:color="auto"/>
            </w:tcBorders>
            <w:vAlign w:val="center"/>
          </w:tcPr>
          <w:p w:rsidR="00D160CE" w:rsidRPr="0075723B" w:rsidRDefault="00D160CE" w:rsidP="00E76156">
            <w:pPr>
              <w:pStyle w:val="142"/>
              <w:jc w:val="center"/>
            </w:pPr>
            <w:r w:rsidRPr="0075723B">
              <w:rPr>
                <w:rFonts w:hint="eastAsia"/>
              </w:rPr>
              <w:t>決算數</w:t>
            </w:r>
          </w:p>
        </w:tc>
      </w:tr>
      <w:tr w:rsidR="00D160CE" w:rsidRPr="0075723B" w:rsidTr="00E76156">
        <w:trPr>
          <w:trHeight w:val="54"/>
        </w:trPr>
        <w:tc>
          <w:tcPr>
            <w:tcW w:w="1560" w:type="dxa"/>
            <w:tcBorders>
              <w:top w:val="single" w:sz="4" w:space="0" w:color="auto"/>
              <w:bottom w:val="single" w:sz="4" w:space="0" w:color="auto"/>
            </w:tcBorders>
            <w:shd w:val="clear" w:color="auto" w:fill="auto"/>
            <w:noWrap/>
            <w:vAlign w:val="center"/>
          </w:tcPr>
          <w:p w:rsidR="00D160CE" w:rsidRPr="0075723B" w:rsidRDefault="00D160CE" w:rsidP="00E76156">
            <w:pPr>
              <w:spacing w:line="280" w:lineRule="exact"/>
              <w:ind w:leftChars="0" w:left="0" w:firstLineChars="0" w:firstLine="0"/>
              <w:jc w:val="left"/>
              <w:rPr>
                <w:sz w:val="24"/>
              </w:rPr>
            </w:pPr>
            <w:r w:rsidRPr="0075723B">
              <w:rPr>
                <w:rFonts w:hint="eastAsia"/>
                <w:sz w:val="24"/>
              </w:rPr>
              <w:t>銀行存款</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0.69</w:t>
            </w:r>
          </w:p>
        </w:tc>
        <w:tc>
          <w:tcPr>
            <w:tcW w:w="1186"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0.68</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0.85</w:t>
            </w:r>
          </w:p>
        </w:tc>
        <w:tc>
          <w:tcPr>
            <w:tcW w:w="111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0.44</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0.89</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0.62</w:t>
            </w:r>
          </w:p>
        </w:tc>
      </w:tr>
      <w:tr w:rsidR="00D160CE" w:rsidRPr="0075723B" w:rsidTr="00E76156">
        <w:trPr>
          <w:trHeight w:val="50"/>
        </w:trPr>
        <w:tc>
          <w:tcPr>
            <w:tcW w:w="1560" w:type="dxa"/>
            <w:tcBorders>
              <w:top w:val="single" w:sz="4" w:space="0" w:color="auto"/>
              <w:bottom w:val="single" w:sz="4" w:space="0" w:color="auto"/>
            </w:tcBorders>
            <w:shd w:val="clear" w:color="auto" w:fill="auto"/>
            <w:noWrap/>
            <w:vAlign w:val="center"/>
          </w:tcPr>
          <w:p w:rsidR="00D160CE" w:rsidRPr="0075723B" w:rsidRDefault="00D160CE" w:rsidP="00E76156">
            <w:pPr>
              <w:spacing w:line="280" w:lineRule="exact"/>
              <w:ind w:leftChars="0" w:left="0" w:firstLineChars="0" w:firstLine="0"/>
              <w:jc w:val="left"/>
              <w:rPr>
                <w:sz w:val="24"/>
              </w:rPr>
            </w:pPr>
            <w:r w:rsidRPr="0075723B">
              <w:rPr>
                <w:rFonts w:hint="eastAsia"/>
                <w:sz w:val="24"/>
              </w:rPr>
              <w:t>國內債務證券</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1.25</w:t>
            </w:r>
          </w:p>
        </w:tc>
        <w:tc>
          <w:tcPr>
            <w:tcW w:w="1186"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1.03</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1.17</w:t>
            </w:r>
          </w:p>
        </w:tc>
        <w:tc>
          <w:tcPr>
            <w:tcW w:w="111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0.88</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2.08</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0.94</w:t>
            </w:r>
          </w:p>
        </w:tc>
      </w:tr>
      <w:tr w:rsidR="00D160CE" w:rsidRPr="0075723B" w:rsidTr="00E76156">
        <w:trPr>
          <w:trHeight w:val="153"/>
        </w:trPr>
        <w:tc>
          <w:tcPr>
            <w:tcW w:w="1560" w:type="dxa"/>
            <w:tcBorders>
              <w:top w:val="single" w:sz="4" w:space="0" w:color="auto"/>
              <w:bottom w:val="single" w:sz="4" w:space="0" w:color="auto"/>
            </w:tcBorders>
            <w:shd w:val="clear" w:color="auto" w:fill="auto"/>
            <w:noWrap/>
            <w:vAlign w:val="center"/>
          </w:tcPr>
          <w:p w:rsidR="00D160CE" w:rsidRPr="0075723B" w:rsidRDefault="00D160CE" w:rsidP="00E76156">
            <w:pPr>
              <w:spacing w:line="280" w:lineRule="exact"/>
              <w:ind w:leftChars="0" w:left="0" w:firstLineChars="0" w:firstLine="0"/>
              <w:jc w:val="left"/>
              <w:rPr>
                <w:sz w:val="24"/>
              </w:rPr>
            </w:pPr>
            <w:r w:rsidRPr="0075723B">
              <w:rPr>
                <w:rFonts w:hint="eastAsia"/>
                <w:sz w:val="24"/>
              </w:rPr>
              <w:t>國內權益證券</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5.63</w:t>
            </w:r>
          </w:p>
        </w:tc>
        <w:tc>
          <w:tcPr>
            <w:tcW w:w="1186"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26.66</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5.60</w:t>
            </w:r>
          </w:p>
        </w:tc>
        <w:tc>
          <w:tcPr>
            <w:tcW w:w="111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32.58</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5.85</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-26.13</w:t>
            </w:r>
          </w:p>
        </w:tc>
      </w:tr>
      <w:tr w:rsidR="00D160CE" w:rsidRPr="0075723B" w:rsidTr="00E76156">
        <w:trPr>
          <w:trHeight w:val="50"/>
        </w:trPr>
        <w:tc>
          <w:tcPr>
            <w:tcW w:w="1560" w:type="dxa"/>
            <w:tcBorders>
              <w:top w:val="single" w:sz="4" w:space="0" w:color="auto"/>
              <w:bottom w:val="single" w:sz="4" w:space="0" w:color="auto"/>
            </w:tcBorders>
            <w:shd w:val="clear" w:color="auto" w:fill="auto"/>
            <w:noWrap/>
            <w:vAlign w:val="center"/>
          </w:tcPr>
          <w:p w:rsidR="00D160CE" w:rsidRPr="0075723B" w:rsidRDefault="00D160CE" w:rsidP="00E76156">
            <w:pPr>
              <w:spacing w:line="280" w:lineRule="exact"/>
              <w:ind w:leftChars="0" w:left="0" w:firstLineChars="0" w:firstLine="0"/>
              <w:jc w:val="left"/>
              <w:rPr>
                <w:sz w:val="24"/>
              </w:rPr>
            </w:pPr>
            <w:r w:rsidRPr="0075723B">
              <w:rPr>
                <w:rFonts w:hint="eastAsia"/>
                <w:sz w:val="24"/>
              </w:rPr>
              <w:t>國外債務證券</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2.36</w:t>
            </w:r>
          </w:p>
        </w:tc>
        <w:tc>
          <w:tcPr>
            <w:tcW w:w="1186"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2.95</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1.94</w:t>
            </w:r>
          </w:p>
        </w:tc>
        <w:tc>
          <w:tcPr>
            <w:tcW w:w="111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-5.15</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2.87</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-0.06</w:t>
            </w:r>
          </w:p>
        </w:tc>
      </w:tr>
      <w:tr w:rsidR="00D160CE" w:rsidRPr="0075723B" w:rsidTr="00E76156">
        <w:trPr>
          <w:trHeight w:val="274"/>
        </w:trPr>
        <w:tc>
          <w:tcPr>
            <w:tcW w:w="1560" w:type="dxa"/>
            <w:tcBorders>
              <w:top w:val="single" w:sz="4" w:space="0" w:color="auto"/>
              <w:bottom w:val="single" w:sz="4" w:space="0" w:color="auto"/>
            </w:tcBorders>
            <w:shd w:val="clear" w:color="auto" w:fill="auto"/>
            <w:noWrap/>
            <w:vAlign w:val="center"/>
          </w:tcPr>
          <w:p w:rsidR="00D160CE" w:rsidRPr="0075723B" w:rsidRDefault="00D160CE" w:rsidP="00E76156">
            <w:pPr>
              <w:spacing w:line="280" w:lineRule="exact"/>
              <w:ind w:leftChars="0" w:left="0" w:firstLineChars="0" w:firstLine="0"/>
              <w:jc w:val="left"/>
              <w:rPr>
                <w:sz w:val="24"/>
              </w:rPr>
            </w:pPr>
            <w:r w:rsidRPr="0075723B">
              <w:rPr>
                <w:rFonts w:hint="eastAsia"/>
                <w:sz w:val="24"/>
              </w:rPr>
              <w:t>國外權益證券</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5.98</w:t>
            </w:r>
          </w:p>
        </w:tc>
        <w:tc>
          <w:tcPr>
            <w:tcW w:w="1186"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6.73</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5.72</w:t>
            </w:r>
          </w:p>
        </w:tc>
        <w:tc>
          <w:tcPr>
            <w:tcW w:w="111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15.94</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5.55</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-5.14</w:t>
            </w:r>
          </w:p>
        </w:tc>
      </w:tr>
      <w:tr w:rsidR="00D160CE" w:rsidRPr="0075723B" w:rsidTr="00E76156">
        <w:trPr>
          <w:trHeight w:val="50"/>
        </w:trPr>
        <w:tc>
          <w:tcPr>
            <w:tcW w:w="1560" w:type="dxa"/>
            <w:tcBorders>
              <w:top w:val="single" w:sz="4" w:space="0" w:color="auto"/>
              <w:bottom w:val="single" w:sz="4" w:space="0" w:color="auto"/>
            </w:tcBorders>
            <w:shd w:val="clear" w:color="auto" w:fill="auto"/>
            <w:noWrap/>
            <w:vAlign w:val="center"/>
          </w:tcPr>
          <w:p w:rsidR="00D160CE" w:rsidRPr="0075723B" w:rsidRDefault="00D160CE" w:rsidP="00E76156">
            <w:pPr>
              <w:spacing w:line="280" w:lineRule="exact"/>
              <w:ind w:leftChars="0" w:left="0" w:firstLineChars="0" w:firstLine="0"/>
              <w:jc w:val="left"/>
              <w:rPr>
                <w:sz w:val="24"/>
              </w:rPr>
            </w:pPr>
            <w:r w:rsidRPr="0075723B">
              <w:rPr>
                <w:rFonts w:hint="eastAsia"/>
                <w:sz w:val="24"/>
              </w:rPr>
              <w:t>國外另類投資</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6.12</w:t>
            </w:r>
          </w:p>
        </w:tc>
        <w:tc>
          <w:tcPr>
            <w:tcW w:w="1186"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-1.18</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6.83</w:t>
            </w:r>
          </w:p>
        </w:tc>
        <w:tc>
          <w:tcPr>
            <w:tcW w:w="111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13.03</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6.52</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-6.23</w:t>
            </w:r>
          </w:p>
        </w:tc>
      </w:tr>
      <w:tr w:rsidR="00D160CE" w:rsidRPr="0075723B" w:rsidTr="00E76156">
        <w:trPr>
          <w:trHeight w:val="50"/>
        </w:trPr>
        <w:tc>
          <w:tcPr>
            <w:tcW w:w="1560" w:type="dxa"/>
            <w:tcBorders>
              <w:top w:val="single" w:sz="4" w:space="0" w:color="auto"/>
            </w:tcBorders>
            <w:shd w:val="clear" w:color="auto" w:fill="auto"/>
            <w:noWrap/>
          </w:tcPr>
          <w:p w:rsidR="00D160CE" w:rsidRPr="0075723B" w:rsidRDefault="00D160CE" w:rsidP="00E76156">
            <w:pPr>
              <w:spacing w:line="280" w:lineRule="exact"/>
              <w:ind w:leftChars="0" w:left="0" w:firstLineChars="0" w:firstLine="0"/>
              <w:jc w:val="center"/>
              <w:rPr>
                <w:sz w:val="24"/>
              </w:rPr>
            </w:pPr>
            <w:r w:rsidRPr="0075723B">
              <w:rPr>
                <w:rFonts w:hint="eastAsia"/>
                <w:sz w:val="24"/>
              </w:rPr>
              <w:t>合計</w:t>
            </w:r>
          </w:p>
        </w:tc>
        <w:tc>
          <w:tcPr>
            <w:tcW w:w="1187" w:type="dxa"/>
            <w:tcBorders>
              <w:top w:val="single" w:sz="4" w:space="0" w:color="auto"/>
            </w:tcBorders>
            <w:vAlign w:val="center"/>
          </w:tcPr>
          <w:p w:rsidR="00D160CE" w:rsidRPr="0075723B" w:rsidRDefault="00D160CE" w:rsidP="00E76156">
            <w:pPr>
              <w:pStyle w:val="142"/>
              <w:jc w:val="right"/>
            </w:pPr>
            <w:r w:rsidRPr="0075723B">
              <w:t>4.17</w:t>
            </w:r>
          </w:p>
        </w:tc>
        <w:tc>
          <w:tcPr>
            <w:tcW w:w="1186" w:type="dxa"/>
            <w:tcBorders>
              <w:top w:val="single" w:sz="4" w:space="0" w:color="auto"/>
            </w:tcBorders>
            <w:vAlign w:val="center"/>
          </w:tcPr>
          <w:p w:rsidR="00D160CE" w:rsidRPr="0075723B" w:rsidRDefault="00D160CE" w:rsidP="00E76156">
            <w:pPr>
              <w:pStyle w:val="142"/>
              <w:jc w:val="right"/>
            </w:pPr>
            <w:r w:rsidRPr="0075723B">
              <w:t>8.50</w:t>
            </w:r>
          </w:p>
        </w:tc>
        <w:tc>
          <w:tcPr>
            <w:tcW w:w="1187" w:type="dxa"/>
            <w:tcBorders>
              <w:top w:val="single" w:sz="4" w:space="0" w:color="auto"/>
            </w:tcBorders>
            <w:vAlign w:val="center"/>
          </w:tcPr>
          <w:p w:rsidR="00D160CE" w:rsidRPr="0075723B" w:rsidRDefault="00D160CE" w:rsidP="00E76156">
            <w:pPr>
              <w:pStyle w:val="142"/>
              <w:jc w:val="right"/>
            </w:pPr>
            <w:r w:rsidRPr="0075723B">
              <w:t>4.12</w:t>
            </w:r>
          </w:p>
        </w:tc>
        <w:tc>
          <w:tcPr>
            <w:tcW w:w="1117" w:type="dxa"/>
            <w:tcBorders>
              <w:top w:val="single" w:sz="4" w:space="0" w:color="auto"/>
            </w:tcBorders>
            <w:vAlign w:val="center"/>
          </w:tcPr>
          <w:p w:rsidR="00D160CE" w:rsidRPr="0075723B" w:rsidRDefault="00D160CE" w:rsidP="00E76156">
            <w:pPr>
              <w:pStyle w:val="142"/>
              <w:jc w:val="right"/>
            </w:pPr>
            <w:r w:rsidRPr="0075723B">
              <w:t>11.22</w:t>
            </w:r>
          </w:p>
        </w:tc>
        <w:tc>
          <w:tcPr>
            <w:tcW w:w="1134" w:type="dxa"/>
            <w:tcBorders>
              <w:top w:val="single" w:sz="4" w:space="0" w:color="auto"/>
            </w:tcBorders>
          </w:tcPr>
          <w:p w:rsidR="00D160CE" w:rsidRPr="0075723B" w:rsidRDefault="00D160CE" w:rsidP="00E76156">
            <w:pPr>
              <w:pStyle w:val="142"/>
              <w:jc w:val="right"/>
            </w:pPr>
            <w:r w:rsidRPr="0075723B">
              <w:t>4.38</w:t>
            </w:r>
          </w:p>
        </w:tc>
        <w:tc>
          <w:tcPr>
            <w:tcW w:w="1134" w:type="dxa"/>
            <w:tcBorders>
              <w:top w:val="single" w:sz="4" w:space="0" w:color="auto"/>
            </w:tcBorders>
          </w:tcPr>
          <w:p w:rsidR="00D160CE" w:rsidRPr="0075723B" w:rsidRDefault="00D160CE" w:rsidP="00E76156">
            <w:pPr>
              <w:pStyle w:val="142"/>
              <w:jc w:val="right"/>
            </w:pPr>
            <w:r w:rsidRPr="0075723B">
              <w:t xml:space="preserve">-8.30 </w:t>
            </w:r>
          </w:p>
        </w:tc>
      </w:tr>
    </w:tbl>
    <w:p w:rsidR="00D160CE" w:rsidRPr="0075723B" w:rsidRDefault="00D160CE" w:rsidP="00D160CE">
      <w:pPr>
        <w:spacing w:line="280" w:lineRule="exact"/>
        <w:ind w:leftChars="0" w:left="1277" w:right="-1" w:hangingChars="525" w:hanging="1277"/>
        <w:rPr>
          <w:sz w:val="24"/>
        </w:rPr>
      </w:pPr>
      <w:r w:rsidRPr="0075723B">
        <w:rPr>
          <w:rFonts w:hint="eastAsia"/>
          <w:sz w:val="24"/>
        </w:rPr>
        <w:t>說    明：各項資產收益率計算方式詳各年度勞動基金資產配置暨投資運用計畫書。</w:t>
      </w:r>
    </w:p>
    <w:p w:rsidR="00D160CE" w:rsidRPr="0075723B" w:rsidRDefault="00D160CE" w:rsidP="00D160CE">
      <w:pPr>
        <w:spacing w:line="280" w:lineRule="exact"/>
        <w:ind w:leftChars="0" w:left="0" w:firstLineChars="0" w:firstLine="0"/>
        <w:jc w:val="left"/>
        <w:rPr>
          <w:rFonts w:hint="eastAsia"/>
          <w:sz w:val="24"/>
        </w:rPr>
      </w:pPr>
      <w:r w:rsidRPr="0075723B">
        <w:rPr>
          <w:rFonts w:hint="eastAsia"/>
          <w:sz w:val="24"/>
        </w:rPr>
        <w:t>資料來源：</w:t>
      </w:r>
      <w:r w:rsidR="00C05DF0">
        <w:rPr>
          <w:rFonts w:hint="eastAsia"/>
          <w:sz w:val="24"/>
        </w:rPr>
        <w:t>勞動部勞動</w:t>
      </w:r>
      <w:r w:rsidRPr="0075723B">
        <w:rPr>
          <w:rFonts w:hint="eastAsia"/>
          <w:sz w:val="24"/>
        </w:rPr>
        <w:t>基金運用局提供。</w:t>
      </w:r>
    </w:p>
    <w:p w:rsidR="00E20F3E" w:rsidRPr="009C1AE7" w:rsidRDefault="00E20F3E" w:rsidP="00E20F3E">
      <w:pPr>
        <w:pStyle w:val="aa"/>
        <w:ind w:left="566" w:firstLine="566"/>
        <w:rPr>
          <w:rFonts w:hAnsi="標楷體"/>
        </w:rPr>
      </w:pPr>
      <w:r w:rsidRPr="009C1AE7">
        <w:rPr>
          <w:rFonts w:hAnsi="標楷體" w:hint="eastAsia"/>
        </w:rPr>
        <w:t>（分機：191</w:t>
      </w:r>
      <w:r w:rsidR="00BB1738" w:rsidRPr="009C1AE7">
        <w:rPr>
          <w:rFonts w:hAnsi="標楷體" w:hint="eastAsia"/>
        </w:rPr>
        <w:t>5</w:t>
      </w:r>
      <w:r w:rsidRPr="009C1AE7">
        <w:rPr>
          <w:rFonts w:hAnsi="標楷體" w:hint="eastAsia"/>
        </w:rPr>
        <w:t xml:space="preserve"> </w:t>
      </w:r>
      <w:r w:rsidR="00BB1738" w:rsidRPr="009C1AE7">
        <w:rPr>
          <w:rFonts w:hAnsi="標楷體" w:hint="eastAsia"/>
        </w:rPr>
        <w:t>楊莉敏</w:t>
      </w:r>
      <w:r w:rsidRPr="009C1AE7">
        <w:rPr>
          <w:rFonts w:hAnsi="標楷體" w:hint="eastAsia"/>
        </w:rPr>
        <w:t>）</w:t>
      </w:r>
      <w:bookmarkStart w:id="11" w:name="_GoBack"/>
      <w:bookmarkEnd w:id="0"/>
      <w:bookmarkEnd w:id="11"/>
    </w:p>
    <w:sectPr w:rsidR="00E20F3E" w:rsidRPr="009C1AE7" w:rsidSect="00167AE1">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934" w:rsidRDefault="003E4934" w:rsidP="00874F43">
      <w:pPr>
        <w:spacing w:line="240" w:lineRule="auto"/>
        <w:ind w:left="560" w:firstLine="560"/>
      </w:pPr>
      <w:r>
        <w:separator/>
      </w:r>
    </w:p>
  </w:endnote>
  <w:endnote w:type="continuationSeparator" w:id="0">
    <w:p w:rsidR="003E4934" w:rsidRDefault="003E4934" w:rsidP="00874F4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19190F">
    <w:pPr>
      <w:pStyle w:val="af"/>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CB2A63">
    <w:pPr>
      <w:pStyle w:val="af"/>
      <w:ind w:leftChars="0" w:left="0" w:firstLineChars="0" w:firstLine="0"/>
      <w:jc w:val="center"/>
    </w:pPr>
    <w:r>
      <w:fldChar w:fldCharType="begin"/>
    </w:r>
    <w:r>
      <w:instrText>PAGE   \* MERGEFORMAT</w:instrText>
    </w:r>
    <w:r>
      <w:fldChar w:fldCharType="separate"/>
    </w:r>
    <w:r w:rsidR="003E1050" w:rsidRPr="003E1050">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19190F">
    <w:pPr>
      <w:pStyle w:val="af"/>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934" w:rsidRDefault="003E4934" w:rsidP="00874F43">
      <w:pPr>
        <w:spacing w:line="240" w:lineRule="auto"/>
        <w:ind w:left="560" w:firstLine="560"/>
      </w:pPr>
      <w:r>
        <w:separator/>
      </w:r>
    </w:p>
  </w:footnote>
  <w:footnote w:type="continuationSeparator" w:id="0">
    <w:p w:rsidR="003E4934" w:rsidRDefault="003E4934" w:rsidP="00874F43">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19190F">
    <w:pPr>
      <w:pStyle w:val="ad"/>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19190F">
    <w:pPr>
      <w:pStyle w:val="ad"/>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19190F">
    <w:pPr>
      <w:pStyle w:val="ad"/>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60C47"/>
    <w:multiLevelType w:val="hybridMultilevel"/>
    <w:tmpl w:val="795C467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20F3E"/>
    <w:rsid w:val="00001D76"/>
    <w:rsid w:val="00002843"/>
    <w:rsid w:val="00011960"/>
    <w:rsid w:val="0001296A"/>
    <w:rsid w:val="000149C7"/>
    <w:rsid w:val="00017E77"/>
    <w:rsid w:val="000214C7"/>
    <w:rsid w:val="00021EA6"/>
    <w:rsid w:val="00022994"/>
    <w:rsid w:val="0002537C"/>
    <w:rsid w:val="00031813"/>
    <w:rsid w:val="000324DB"/>
    <w:rsid w:val="000342AE"/>
    <w:rsid w:val="00035BD7"/>
    <w:rsid w:val="00037856"/>
    <w:rsid w:val="0004174F"/>
    <w:rsid w:val="0004459C"/>
    <w:rsid w:val="0004552D"/>
    <w:rsid w:val="000504BE"/>
    <w:rsid w:val="00052990"/>
    <w:rsid w:val="00053861"/>
    <w:rsid w:val="00057FE1"/>
    <w:rsid w:val="00063101"/>
    <w:rsid w:val="00067D2B"/>
    <w:rsid w:val="00080373"/>
    <w:rsid w:val="00080F35"/>
    <w:rsid w:val="000826EA"/>
    <w:rsid w:val="0008383B"/>
    <w:rsid w:val="00086177"/>
    <w:rsid w:val="00087813"/>
    <w:rsid w:val="000A1E8F"/>
    <w:rsid w:val="000A62F6"/>
    <w:rsid w:val="000B263A"/>
    <w:rsid w:val="000B39B9"/>
    <w:rsid w:val="000B4F33"/>
    <w:rsid w:val="000B7852"/>
    <w:rsid w:val="000C2E6F"/>
    <w:rsid w:val="000C3CD6"/>
    <w:rsid w:val="000C4464"/>
    <w:rsid w:val="000C5252"/>
    <w:rsid w:val="000C7F81"/>
    <w:rsid w:val="000D02DE"/>
    <w:rsid w:val="000D1015"/>
    <w:rsid w:val="000D4A5C"/>
    <w:rsid w:val="000D7CBA"/>
    <w:rsid w:val="000E2BFB"/>
    <w:rsid w:val="000F2E83"/>
    <w:rsid w:val="00105BB0"/>
    <w:rsid w:val="00106EBA"/>
    <w:rsid w:val="00122681"/>
    <w:rsid w:val="00122748"/>
    <w:rsid w:val="00125E37"/>
    <w:rsid w:val="00130E21"/>
    <w:rsid w:val="00137095"/>
    <w:rsid w:val="0013724B"/>
    <w:rsid w:val="00137BBF"/>
    <w:rsid w:val="00143179"/>
    <w:rsid w:val="00145C56"/>
    <w:rsid w:val="00151580"/>
    <w:rsid w:val="00152689"/>
    <w:rsid w:val="00152DDA"/>
    <w:rsid w:val="00153D34"/>
    <w:rsid w:val="00160883"/>
    <w:rsid w:val="00161649"/>
    <w:rsid w:val="0016481F"/>
    <w:rsid w:val="00167AE1"/>
    <w:rsid w:val="00167C23"/>
    <w:rsid w:val="0017207B"/>
    <w:rsid w:val="001828CD"/>
    <w:rsid w:val="00187FA4"/>
    <w:rsid w:val="00190DF2"/>
    <w:rsid w:val="0019190F"/>
    <w:rsid w:val="00191C93"/>
    <w:rsid w:val="0019674C"/>
    <w:rsid w:val="001A0DE5"/>
    <w:rsid w:val="001A2A98"/>
    <w:rsid w:val="001A401A"/>
    <w:rsid w:val="001A6151"/>
    <w:rsid w:val="001D0E10"/>
    <w:rsid w:val="001D368F"/>
    <w:rsid w:val="001D53AD"/>
    <w:rsid w:val="001E0968"/>
    <w:rsid w:val="001E2439"/>
    <w:rsid w:val="001E37E2"/>
    <w:rsid w:val="001E5737"/>
    <w:rsid w:val="001E58F8"/>
    <w:rsid w:val="001E6A07"/>
    <w:rsid w:val="001F247D"/>
    <w:rsid w:val="002004D6"/>
    <w:rsid w:val="0020526F"/>
    <w:rsid w:val="002218ED"/>
    <w:rsid w:val="00224F4B"/>
    <w:rsid w:val="00232A21"/>
    <w:rsid w:val="002354D6"/>
    <w:rsid w:val="00237EB7"/>
    <w:rsid w:val="0024086F"/>
    <w:rsid w:val="00242EB9"/>
    <w:rsid w:val="00245394"/>
    <w:rsid w:val="00246306"/>
    <w:rsid w:val="002526C9"/>
    <w:rsid w:val="00252921"/>
    <w:rsid w:val="00260486"/>
    <w:rsid w:val="0027154D"/>
    <w:rsid w:val="00276C40"/>
    <w:rsid w:val="00284C4A"/>
    <w:rsid w:val="00291C37"/>
    <w:rsid w:val="00294383"/>
    <w:rsid w:val="00296FB5"/>
    <w:rsid w:val="002A1FEC"/>
    <w:rsid w:val="002A7FD3"/>
    <w:rsid w:val="002B22E0"/>
    <w:rsid w:val="002B3A58"/>
    <w:rsid w:val="002B7ADC"/>
    <w:rsid w:val="002C1557"/>
    <w:rsid w:val="002C5010"/>
    <w:rsid w:val="002C6B2C"/>
    <w:rsid w:val="002C7B3F"/>
    <w:rsid w:val="002D0729"/>
    <w:rsid w:val="002D13D4"/>
    <w:rsid w:val="002D49D7"/>
    <w:rsid w:val="002D55CF"/>
    <w:rsid w:val="002D66B9"/>
    <w:rsid w:val="002E6883"/>
    <w:rsid w:val="002F1092"/>
    <w:rsid w:val="002F2549"/>
    <w:rsid w:val="002F2891"/>
    <w:rsid w:val="00305763"/>
    <w:rsid w:val="00310E2F"/>
    <w:rsid w:val="003117FC"/>
    <w:rsid w:val="0032629A"/>
    <w:rsid w:val="00334C73"/>
    <w:rsid w:val="00340ECE"/>
    <w:rsid w:val="0034545C"/>
    <w:rsid w:val="00364491"/>
    <w:rsid w:val="0036601F"/>
    <w:rsid w:val="00367971"/>
    <w:rsid w:val="00377198"/>
    <w:rsid w:val="003832B2"/>
    <w:rsid w:val="0039425C"/>
    <w:rsid w:val="0039437A"/>
    <w:rsid w:val="003A37B8"/>
    <w:rsid w:val="003A6B32"/>
    <w:rsid w:val="003B23E6"/>
    <w:rsid w:val="003B3F82"/>
    <w:rsid w:val="003B6CD9"/>
    <w:rsid w:val="003B7BB7"/>
    <w:rsid w:val="003C1125"/>
    <w:rsid w:val="003E0A9E"/>
    <w:rsid w:val="003E1050"/>
    <w:rsid w:val="003E16A5"/>
    <w:rsid w:val="003E4934"/>
    <w:rsid w:val="003F112A"/>
    <w:rsid w:val="003F2B0B"/>
    <w:rsid w:val="003F683D"/>
    <w:rsid w:val="003F6F9F"/>
    <w:rsid w:val="00400772"/>
    <w:rsid w:val="00403430"/>
    <w:rsid w:val="00405DDD"/>
    <w:rsid w:val="00412EDA"/>
    <w:rsid w:val="004213E0"/>
    <w:rsid w:val="0042438E"/>
    <w:rsid w:val="0042780C"/>
    <w:rsid w:val="00431099"/>
    <w:rsid w:val="00435964"/>
    <w:rsid w:val="00451CC6"/>
    <w:rsid w:val="004522AD"/>
    <w:rsid w:val="00460CBE"/>
    <w:rsid w:val="00463EF4"/>
    <w:rsid w:val="0048032F"/>
    <w:rsid w:val="00486279"/>
    <w:rsid w:val="0048742F"/>
    <w:rsid w:val="004903FA"/>
    <w:rsid w:val="00492106"/>
    <w:rsid w:val="00492EE2"/>
    <w:rsid w:val="004978E1"/>
    <w:rsid w:val="00497B55"/>
    <w:rsid w:val="004A6C5C"/>
    <w:rsid w:val="004B04CB"/>
    <w:rsid w:val="004B0B2A"/>
    <w:rsid w:val="004B23E9"/>
    <w:rsid w:val="004B30DF"/>
    <w:rsid w:val="004B54C7"/>
    <w:rsid w:val="004C1AF7"/>
    <w:rsid w:val="004E457C"/>
    <w:rsid w:val="004F6DA8"/>
    <w:rsid w:val="00502D66"/>
    <w:rsid w:val="00505038"/>
    <w:rsid w:val="0050728E"/>
    <w:rsid w:val="00514E70"/>
    <w:rsid w:val="0051724A"/>
    <w:rsid w:val="0053004E"/>
    <w:rsid w:val="00531295"/>
    <w:rsid w:val="00535E5F"/>
    <w:rsid w:val="00541917"/>
    <w:rsid w:val="00544C2A"/>
    <w:rsid w:val="00547461"/>
    <w:rsid w:val="005537EF"/>
    <w:rsid w:val="00555C82"/>
    <w:rsid w:val="0056177C"/>
    <w:rsid w:val="00561B1F"/>
    <w:rsid w:val="005654D6"/>
    <w:rsid w:val="005751A3"/>
    <w:rsid w:val="00575D35"/>
    <w:rsid w:val="00582AC3"/>
    <w:rsid w:val="00582CF4"/>
    <w:rsid w:val="0059293B"/>
    <w:rsid w:val="00592A2E"/>
    <w:rsid w:val="005A1C65"/>
    <w:rsid w:val="005B1E7F"/>
    <w:rsid w:val="005B24BB"/>
    <w:rsid w:val="005C1BFA"/>
    <w:rsid w:val="005C20B8"/>
    <w:rsid w:val="005C5FDE"/>
    <w:rsid w:val="005D1A12"/>
    <w:rsid w:val="005E13BD"/>
    <w:rsid w:val="005E3194"/>
    <w:rsid w:val="005E6C2D"/>
    <w:rsid w:val="005F14DB"/>
    <w:rsid w:val="005F1581"/>
    <w:rsid w:val="005F3C1E"/>
    <w:rsid w:val="005F58FE"/>
    <w:rsid w:val="00607486"/>
    <w:rsid w:val="00611427"/>
    <w:rsid w:val="006128BE"/>
    <w:rsid w:val="00615718"/>
    <w:rsid w:val="00620470"/>
    <w:rsid w:val="006228D3"/>
    <w:rsid w:val="00642219"/>
    <w:rsid w:val="006447FC"/>
    <w:rsid w:val="006469B5"/>
    <w:rsid w:val="00651440"/>
    <w:rsid w:val="0065560D"/>
    <w:rsid w:val="00660FBB"/>
    <w:rsid w:val="00663E4B"/>
    <w:rsid w:val="006668A8"/>
    <w:rsid w:val="006722DB"/>
    <w:rsid w:val="00674228"/>
    <w:rsid w:val="00683C0C"/>
    <w:rsid w:val="00693D6B"/>
    <w:rsid w:val="00695153"/>
    <w:rsid w:val="006A2429"/>
    <w:rsid w:val="006A6921"/>
    <w:rsid w:val="006A7DAD"/>
    <w:rsid w:val="006B1F4E"/>
    <w:rsid w:val="006B24BF"/>
    <w:rsid w:val="006B3C6A"/>
    <w:rsid w:val="006B4D54"/>
    <w:rsid w:val="006B502F"/>
    <w:rsid w:val="006B684E"/>
    <w:rsid w:val="006C0F40"/>
    <w:rsid w:val="006C17C3"/>
    <w:rsid w:val="006D003F"/>
    <w:rsid w:val="006D034C"/>
    <w:rsid w:val="006D0A0C"/>
    <w:rsid w:val="006D12C2"/>
    <w:rsid w:val="006D66A1"/>
    <w:rsid w:val="006E2E0F"/>
    <w:rsid w:val="006E5529"/>
    <w:rsid w:val="006F0384"/>
    <w:rsid w:val="006F14E4"/>
    <w:rsid w:val="006F3667"/>
    <w:rsid w:val="006F5B6C"/>
    <w:rsid w:val="00700146"/>
    <w:rsid w:val="007015A1"/>
    <w:rsid w:val="00704677"/>
    <w:rsid w:val="00720A75"/>
    <w:rsid w:val="007231BB"/>
    <w:rsid w:val="00733011"/>
    <w:rsid w:val="0073382C"/>
    <w:rsid w:val="007364FD"/>
    <w:rsid w:val="00741113"/>
    <w:rsid w:val="00742A15"/>
    <w:rsid w:val="00744408"/>
    <w:rsid w:val="00744D4D"/>
    <w:rsid w:val="00747D0D"/>
    <w:rsid w:val="00752317"/>
    <w:rsid w:val="00754343"/>
    <w:rsid w:val="007569FB"/>
    <w:rsid w:val="007570AF"/>
    <w:rsid w:val="0075723B"/>
    <w:rsid w:val="00771314"/>
    <w:rsid w:val="00780E81"/>
    <w:rsid w:val="00785AFA"/>
    <w:rsid w:val="007862BD"/>
    <w:rsid w:val="00795477"/>
    <w:rsid w:val="00797B56"/>
    <w:rsid w:val="007A2A6E"/>
    <w:rsid w:val="007A45B7"/>
    <w:rsid w:val="007A6229"/>
    <w:rsid w:val="007B2C78"/>
    <w:rsid w:val="007B36F0"/>
    <w:rsid w:val="007B7EAF"/>
    <w:rsid w:val="007C0BBB"/>
    <w:rsid w:val="007D6772"/>
    <w:rsid w:val="007E6FF0"/>
    <w:rsid w:val="007E7481"/>
    <w:rsid w:val="007F7BEA"/>
    <w:rsid w:val="008001DC"/>
    <w:rsid w:val="0080574C"/>
    <w:rsid w:val="0081522A"/>
    <w:rsid w:val="00830E2D"/>
    <w:rsid w:val="00835909"/>
    <w:rsid w:val="0083671A"/>
    <w:rsid w:val="008374E8"/>
    <w:rsid w:val="00841051"/>
    <w:rsid w:val="00842156"/>
    <w:rsid w:val="00844187"/>
    <w:rsid w:val="00855D97"/>
    <w:rsid w:val="00874F43"/>
    <w:rsid w:val="00881751"/>
    <w:rsid w:val="0088184C"/>
    <w:rsid w:val="0088302F"/>
    <w:rsid w:val="00886A4E"/>
    <w:rsid w:val="0088763D"/>
    <w:rsid w:val="00890E92"/>
    <w:rsid w:val="008A3344"/>
    <w:rsid w:val="008A339B"/>
    <w:rsid w:val="008A3836"/>
    <w:rsid w:val="008A4267"/>
    <w:rsid w:val="008A5115"/>
    <w:rsid w:val="008A64D9"/>
    <w:rsid w:val="008A6BDA"/>
    <w:rsid w:val="008B5C13"/>
    <w:rsid w:val="008C041F"/>
    <w:rsid w:val="008C4523"/>
    <w:rsid w:val="008D3B4B"/>
    <w:rsid w:val="008F03DB"/>
    <w:rsid w:val="008F542F"/>
    <w:rsid w:val="00905BF3"/>
    <w:rsid w:val="00907A39"/>
    <w:rsid w:val="0091723F"/>
    <w:rsid w:val="00921107"/>
    <w:rsid w:val="00922E58"/>
    <w:rsid w:val="009246DE"/>
    <w:rsid w:val="00933B3A"/>
    <w:rsid w:val="009342CC"/>
    <w:rsid w:val="00951F85"/>
    <w:rsid w:val="00955B81"/>
    <w:rsid w:val="0096348A"/>
    <w:rsid w:val="00964A09"/>
    <w:rsid w:val="00977740"/>
    <w:rsid w:val="0098102F"/>
    <w:rsid w:val="00983E27"/>
    <w:rsid w:val="0099197E"/>
    <w:rsid w:val="009970AF"/>
    <w:rsid w:val="0099778F"/>
    <w:rsid w:val="00997C76"/>
    <w:rsid w:val="009A1232"/>
    <w:rsid w:val="009A2568"/>
    <w:rsid w:val="009A37AE"/>
    <w:rsid w:val="009A6E1E"/>
    <w:rsid w:val="009B29DF"/>
    <w:rsid w:val="009B5C78"/>
    <w:rsid w:val="009B76F5"/>
    <w:rsid w:val="009C0F4F"/>
    <w:rsid w:val="009C1AE7"/>
    <w:rsid w:val="009C320C"/>
    <w:rsid w:val="009C3F67"/>
    <w:rsid w:val="009C473B"/>
    <w:rsid w:val="009D1346"/>
    <w:rsid w:val="009D1F1B"/>
    <w:rsid w:val="009D66E8"/>
    <w:rsid w:val="009D6904"/>
    <w:rsid w:val="009E237B"/>
    <w:rsid w:val="009F4CD7"/>
    <w:rsid w:val="009F68F5"/>
    <w:rsid w:val="00A058EB"/>
    <w:rsid w:val="00A138E5"/>
    <w:rsid w:val="00A233D5"/>
    <w:rsid w:val="00A239E7"/>
    <w:rsid w:val="00A23CD7"/>
    <w:rsid w:val="00A27817"/>
    <w:rsid w:val="00A31D5D"/>
    <w:rsid w:val="00A33D42"/>
    <w:rsid w:val="00A37EC9"/>
    <w:rsid w:val="00A41FA3"/>
    <w:rsid w:val="00A43244"/>
    <w:rsid w:val="00A46F64"/>
    <w:rsid w:val="00A47864"/>
    <w:rsid w:val="00A517F6"/>
    <w:rsid w:val="00A52CCE"/>
    <w:rsid w:val="00A5455D"/>
    <w:rsid w:val="00A57BEB"/>
    <w:rsid w:val="00A6088C"/>
    <w:rsid w:val="00A738F2"/>
    <w:rsid w:val="00A8359B"/>
    <w:rsid w:val="00A86215"/>
    <w:rsid w:val="00A901B0"/>
    <w:rsid w:val="00A90AD6"/>
    <w:rsid w:val="00AA1314"/>
    <w:rsid w:val="00AD3B07"/>
    <w:rsid w:val="00AE0CDA"/>
    <w:rsid w:val="00AE3599"/>
    <w:rsid w:val="00AE77BC"/>
    <w:rsid w:val="00AF1127"/>
    <w:rsid w:val="00AF1B20"/>
    <w:rsid w:val="00AF4D4A"/>
    <w:rsid w:val="00B01E12"/>
    <w:rsid w:val="00B01F43"/>
    <w:rsid w:val="00B02370"/>
    <w:rsid w:val="00B03437"/>
    <w:rsid w:val="00B172D4"/>
    <w:rsid w:val="00B22290"/>
    <w:rsid w:val="00B26244"/>
    <w:rsid w:val="00B328E6"/>
    <w:rsid w:val="00B41A94"/>
    <w:rsid w:val="00B449B0"/>
    <w:rsid w:val="00B47DFE"/>
    <w:rsid w:val="00B52AA3"/>
    <w:rsid w:val="00B60083"/>
    <w:rsid w:val="00B70289"/>
    <w:rsid w:val="00B721E5"/>
    <w:rsid w:val="00B76221"/>
    <w:rsid w:val="00B833CC"/>
    <w:rsid w:val="00B86952"/>
    <w:rsid w:val="00B874BE"/>
    <w:rsid w:val="00B90A8C"/>
    <w:rsid w:val="00B93430"/>
    <w:rsid w:val="00B9581D"/>
    <w:rsid w:val="00BB1614"/>
    <w:rsid w:val="00BB1738"/>
    <w:rsid w:val="00BB5D37"/>
    <w:rsid w:val="00BB7020"/>
    <w:rsid w:val="00BC3B99"/>
    <w:rsid w:val="00BD1F6C"/>
    <w:rsid w:val="00BD3016"/>
    <w:rsid w:val="00BD3032"/>
    <w:rsid w:val="00BD31FF"/>
    <w:rsid w:val="00BE0F5B"/>
    <w:rsid w:val="00BF027B"/>
    <w:rsid w:val="00BF2099"/>
    <w:rsid w:val="00C029A9"/>
    <w:rsid w:val="00C04010"/>
    <w:rsid w:val="00C05DF0"/>
    <w:rsid w:val="00C063B9"/>
    <w:rsid w:val="00C141C3"/>
    <w:rsid w:val="00C15DD8"/>
    <w:rsid w:val="00C2051F"/>
    <w:rsid w:val="00C305D7"/>
    <w:rsid w:val="00C3420B"/>
    <w:rsid w:val="00C34281"/>
    <w:rsid w:val="00C42A5A"/>
    <w:rsid w:val="00C44A15"/>
    <w:rsid w:val="00C453CE"/>
    <w:rsid w:val="00C550EB"/>
    <w:rsid w:val="00C57B23"/>
    <w:rsid w:val="00C63923"/>
    <w:rsid w:val="00C70DE8"/>
    <w:rsid w:val="00C73DDE"/>
    <w:rsid w:val="00C74D72"/>
    <w:rsid w:val="00C82FC4"/>
    <w:rsid w:val="00C8730A"/>
    <w:rsid w:val="00C87585"/>
    <w:rsid w:val="00C91ECE"/>
    <w:rsid w:val="00C94FF8"/>
    <w:rsid w:val="00C958EC"/>
    <w:rsid w:val="00C971C4"/>
    <w:rsid w:val="00C976F3"/>
    <w:rsid w:val="00CA10A1"/>
    <w:rsid w:val="00CA1FD7"/>
    <w:rsid w:val="00CA6D80"/>
    <w:rsid w:val="00CA7EA1"/>
    <w:rsid w:val="00CB2A63"/>
    <w:rsid w:val="00CD4BDB"/>
    <w:rsid w:val="00CE0A66"/>
    <w:rsid w:val="00CE270C"/>
    <w:rsid w:val="00CE2BE0"/>
    <w:rsid w:val="00CE4FA2"/>
    <w:rsid w:val="00CF02AA"/>
    <w:rsid w:val="00CF361C"/>
    <w:rsid w:val="00D021A2"/>
    <w:rsid w:val="00D0375A"/>
    <w:rsid w:val="00D0476C"/>
    <w:rsid w:val="00D050F3"/>
    <w:rsid w:val="00D1091C"/>
    <w:rsid w:val="00D160CE"/>
    <w:rsid w:val="00D20042"/>
    <w:rsid w:val="00D20C33"/>
    <w:rsid w:val="00D3563C"/>
    <w:rsid w:val="00D403E0"/>
    <w:rsid w:val="00D42BAD"/>
    <w:rsid w:val="00D558AA"/>
    <w:rsid w:val="00D60E9F"/>
    <w:rsid w:val="00D63DA1"/>
    <w:rsid w:val="00D65B5E"/>
    <w:rsid w:val="00D70338"/>
    <w:rsid w:val="00D72BE8"/>
    <w:rsid w:val="00D753D5"/>
    <w:rsid w:val="00D779D3"/>
    <w:rsid w:val="00D80942"/>
    <w:rsid w:val="00D9024B"/>
    <w:rsid w:val="00DA062A"/>
    <w:rsid w:val="00DA24D8"/>
    <w:rsid w:val="00DA2603"/>
    <w:rsid w:val="00DA2664"/>
    <w:rsid w:val="00DB0F7A"/>
    <w:rsid w:val="00DB1333"/>
    <w:rsid w:val="00DB2953"/>
    <w:rsid w:val="00DB61E6"/>
    <w:rsid w:val="00DC2A34"/>
    <w:rsid w:val="00DD67AD"/>
    <w:rsid w:val="00DD7378"/>
    <w:rsid w:val="00DE037A"/>
    <w:rsid w:val="00DE1CA7"/>
    <w:rsid w:val="00DE2F29"/>
    <w:rsid w:val="00DF2242"/>
    <w:rsid w:val="00DF27D4"/>
    <w:rsid w:val="00DF46D6"/>
    <w:rsid w:val="00DF5DA1"/>
    <w:rsid w:val="00DF700A"/>
    <w:rsid w:val="00DF7196"/>
    <w:rsid w:val="00E033F6"/>
    <w:rsid w:val="00E0665D"/>
    <w:rsid w:val="00E06C91"/>
    <w:rsid w:val="00E12F38"/>
    <w:rsid w:val="00E16960"/>
    <w:rsid w:val="00E20F3E"/>
    <w:rsid w:val="00E2241C"/>
    <w:rsid w:val="00E251CD"/>
    <w:rsid w:val="00E32BA0"/>
    <w:rsid w:val="00E32CF2"/>
    <w:rsid w:val="00E3537A"/>
    <w:rsid w:val="00E41916"/>
    <w:rsid w:val="00E43D6B"/>
    <w:rsid w:val="00E50E2D"/>
    <w:rsid w:val="00E52791"/>
    <w:rsid w:val="00E56BA8"/>
    <w:rsid w:val="00E578B4"/>
    <w:rsid w:val="00E61E01"/>
    <w:rsid w:val="00E62235"/>
    <w:rsid w:val="00E626CC"/>
    <w:rsid w:val="00E668CA"/>
    <w:rsid w:val="00E76156"/>
    <w:rsid w:val="00E81E86"/>
    <w:rsid w:val="00E911AF"/>
    <w:rsid w:val="00EA1F97"/>
    <w:rsid w:val="00EA6C4B"/>
    <w:rsid w:val="00EA795E"/>
    <w:rsid w:val="00EB5F92"/>
    <w:rsid w:val="00EC5B49"/>
    <w:rsid w:val="00ED40E1"/>
    <w:rsid w:val="00ED64CB"/>
    <w:rsid w:val="00EE7890"/>
    <w:rsid w:val="00EF252B"/>
    <w:rsid w:val="00EF3A04"/>
    <w:rsid w:val="00EF7EC0"/>
    <w:rsid w:val="00F0176B"/>
    <w:rsid w:val="00F02007"/>
    <w:rsid w:val="00F024D5"/>
    <w:rsid w:val="00F05B4F"/>
    <w:rsid w:val="00F065D9"/>
    <w:rsid w:val="00F07DB6"/>
    <w:rsid w:val="00F11008"/>
    <w:rsid w:val="00F1144A"/>
    <w:rsid w:val="00F14ED5"/>
    <w:rsid w:val="00F223EA"/>
    <w:rsid w:val="00F26B79"/>
    <w:rsid w:val="00F30F4C"/>
    <w:rsid w:val="00F405B4"/>
    <w:rsid w:val="00F52D16"/>
    <w:rsid w:val="00F540F5"/>
    <w:rsid w:val="00F543A3"/>
    <w:rsid w:val="00F67250"/>
    <w:rsid w:val="00F67537"/>
    <w:rsid w:val="00F80F89"/>
    <w:rsid w:val="00F90784"/>
    <w:rsid w:val="00F92D23"/>
    <w:rsid w:val="00F94333"/>
    <w:rsid w:val="00F94402"/>
    <w:rsid w:val="00F95725"/>
    <w:rsid w:val="00F97D97"/>
    <w:rsid w:val="00FA0F17"/>
    <w:rsid w:val="00FA363A"/>
    <w:rsid w:val="00FA6132"/>
    <w:rsid w:val="00FA653B"/>
    <w:rsid w:val="00FA7B40"/>
    <w:rsid w:val="00FB0347"/>
    <w:rsid w:val="00FC5B83"/>
    <w:rsid w:val="00FD3D9D"/>
    <w:rsid w:val="00FD470A"/>
    <w:rsid w:val="00FD61A0"/>
    <w:rsid w:val="00FD62C2"/>
    <w:rsid w:val="00FD7C26"/>
    <w:rsid w:val="00FE7600"/>
    <w:rsid w:val="00FF6D5F"/>
    <w:rsid w:val="00FF7C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A7826EE-C575-4BC9-9B4B-2BF5DBE79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D13D4"/>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10"/>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iPriority w:val="99"/>
    <w:unhideWhenUsed/>
    <w:rsid w:val="0019190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2"/>
    <w:qFormat/>
    <w:pPr>
      <w:adjustRightInd w:val="0"/>
      <w:ind w:leftChars="300" w:left="300"/>
    </w:pPr>
  </w:style>
  <w:style w:type="paragraph" w:styleId="10">
    <w:name w:val="toc 1"/>
    <w:basedOn w:val="a"/>
    <w:next w:val="a"/>
    <w:autoRedefine/>
    <w:semiHidden/>
    <w:pPr>
      <w:tabs>
        <w:tab w:val="right" w:leader="hyphen" w:pos="8490"/>
      </w:tabs>
      <w:ind w:leftChars="0" w:hangingChars="200" w:hanging="200"/>
    </w:pPr>
  </w:style>
  <w:style w:type="paragraph" w:styleId="21">
    <w:name w:val="toc 2"/>
    <w:basedOn w:val="a"/>
    <w:next w:val="a"/>
    <w:autoRedefine/>
    <w:uiPriority w:val="39"/>
    <w:rsid w:val="0013724B"/>
    <w:pPr>
      <w:tabs>
        <w:tab w:val="right" w:leader="hyphen" w:pos="8490"/>
      </w:tabs>
      <w:ind w:leftChars="0" w:left="486" w:rightChars="100" w:right="283" w:hangingChars="200" w:hanging="486"/>
    </w:pPr>
    <w:rPr>
      <w:sz w:val="24"/>
    </w:rPr>
  </w:style>
  <w:style w:type="character" w:customStyle="1" w:styleId="ae">
    <w:name w:val="頁首 字元"/>
    <w:link w:val="ad"/>
    <w:uiPriority w:val="99"/>
    <w:rsid w:val="0019190F"/>
    <w:rPr>
      <w:rFonts w:ascii="標楷體" w:eastAsia="標楷體"/>
      <w:snapToGrid w:val="0"/>
      <w:kern w:val="2"/>
    </w:rPr>
  </w:style>
  <w:style w:type="paragraph" w:styleId="af">
    <w:name w:val="footer"/>
    <w:basedOn w:val="a"/>
    <w:link w:val="af0"/>
    <w:uiPriority w:val="99"/>
    <w:unhideWhenUsed/>
    <w:rsid w:val="0019190F"/>
    <w:pPr>
      <w:tabs>
        <w:tab w:val="center" w:pos="4153"/>
        <w:tab w:val="right" w:pos="8306"/>
      </w:tabs>
      <w:snapToGrid w:val="0"/>
    </w:pPr>
    <w:rPr>
      <w:sz w:val="20"/>
      <w:szCs w:val="20"/>
    </w:rPr>
  </w:style>
  <w:style w:type="character" w:customStyle="1" w:styleId="af0">
    <w:name w:val="頁尾 字元"/>
    <w:link w:val="af"/>
    <w:uiPriority w:val="99"/>
    <w:rsid w:val="0019190F"/>
    <w:rPr>
      <w:rFonts w:ascii="標楷體" w:eastAsia="標楷體"/>
      <w:snapToGrid w:val="0"/>
      <w:kern w:val="2"/>
    </w:rPr>
  </w:style>
  <w:style w:type="character" w:customStyle="1" w:styleId="141">
    <w:name w:val="第二層(14號字) 字元1"/>
    <w:link w:val="14"/>
    <w:rsid w:val="00E20F3E"/>
    <w:rPr>
      <w:rFonts w:ascii="標楷體" w:eastAsia="標楷體"/>
      <w:b/>
      <w:snapToGrid w:val="0"/>
      <w:kern w:val="2"/>
      <w:sz w:val="28"/>
    </w:rPr>
  </w:style>
  <w:style w:type="character" w:customStyle="1" w:styleId="1230">
    <w:name w:val="1.2.3. 字元"/>
    <w:link w:val="123"/>
    <w:rsid w:val="00E20F3E"/>
    <w:rPr>
      <w:rFonts w:ascii="標楷體" w:eastAsia="標楷體"/>
      <w:snapToGrid w:val="0"/>
      <w:kern w:val="2"/>
      <w:sz w:val="28"/>
      <w:szCs w:val="28"/>
    </w:rPr>
  </w:style>
  <w:style w:type="character" w:customStyle="1" w:styleId="ab">
    <w:name w:val="姓名及分機 字元"/>
    <w:link w:val="aa"/>
    <w:rsid w:val="00E20F3E"/>
    <w:rPr>
      <w:rFonts w:ascii="標楷體" w:eastAsia="標楷體"/>
      <w:snapToGrid w:val="0"/>
      <w:kern w:val="2"/>
      <w:sz w:val="24"/>
      <w:szCs w:val="28"/>
    </w:rPr>
  </w:style>
  <w:style w:type="character" w:customStyle="1" w:styleId="200">
    <w:name w:val="表格內文(20行高) 字元"/>
    <w:link w:val="20"/>
    <w:rsid w:val="00E20F3E"/>
    <w:rPr>
      <w:rFonts w:ascii="標楷體" w:eastAsia="標楷體"/>
      <w:snapToGrid w:val="0"/>
      <w:kern w:val="2"/>
      <w:sz w:val="24"/>
      <w:szCs w:val="28"/>
    </w:rPr>
  </w:style>
  <w:style w:type="character" w:styleId="af1">
    <w:name w:val="Hyperlink"/>
    <w:uiPriority w:val="99"/>
    <w:rsid w:val="00E20F3E"/>
    <w:rPr>
      <w:color w:val="0000FF"/>
      <w:sz w:val="24"/>
      <w:szCs w:val="24"/>
      <w:u w:val="single"/>
    </w:rPr>
  </w:style>
  <w:style w:type="character" w:styleId="af2">
    <w:name w:val="footnote reference"/>
    <w:aliases w:val="FR,Ref,de nota al pie,註腳內容,Error-Fußnotenzeichen5,Error-Fußnotenzeichen6,Error-Fußnotenzeichen3,Error-Fusnotßnotenzeichen5,Error-Fußnotenzeic,4_G"/>
    <w:uiPriority w:val="99"/>
    <w:qFormat/>
    <w:rsid w:val="00E20F3E"/>
    <w:rPr>
      <w:vertAlign w:val="superscript"/>
    </w:rPr>
  </w:style>
  <w:style w:type="character" w:customStyle="1" w:styleId="1410">
    <w:name w:val="表格內文(14行高) 字元1"/>
    <w:link w:val="142"/>
    <w:rsid w:val="00E20F3E"/>
    <w:rPr>
      <w:rFonts w:ascii="標楷體" w:eastAsia="標楷體"/>
      <w:snapToGrid w:val="0"/>
      <w:kern w:val="2"/>
      <w:sz w:val="24"/>
      <w:szCs w:val="28"/>
    </w:rPr>
  </w:style>
  <w:style w:type="character" w:customStyle="1" w:styleId="1">
    <w:name w:val="(一)(二)(三) 字元1"/>
    <w:link w:val="a4"/>
    <w:rsid w:val="00E20F3E"/>
    <w:rPr>
      <w:rFonts w:ascii="標楷體" w:eastAsia="標楷體"/>
      <w:snapToGrid w:val="0"/>
      <w:kern w:val="2"/>
      <w:sz w:val="28"/>
      <w:szCs w:val="28"/>
    </w:rPr>
  </w:style>
  <w:style w:type="character" w:customStyle="1" w:styleId="22">
    <w:name w:val="(一)下內文縮2 字元2"/>
    <w:link w:val="2"/>
    <w:rsid w:val="00E20F3E"/>
    <w:rPr>
      <w:rFonts w:ascii="標楷體" w:eastAsia="標楷體"/>
      <w:snapToGrid w:val="0"/>
      <w:kern w:val="2"/>
      <w:sz w:val="28"/>
      <w:szCs w:val="28"/>
    </w:rPr>
  </w:style>
  <w:style w:type="character" w:customStyle="1" w:styleId="23">
    <w:name w:val="(一)(二)(三) 字元2"/>
    <w:rsid w:val="00E41916"/>
    <w:rPr>
      <w:rFonts w:ascii="標楷體" w:eastAsia="標楷體"/>
      <w:snapToGrid w:val="0"/>
      <w:kern w:val="2"/>
      <w:sz w:val="28"/>
      <w:szCs w:val="28"/>
      <w:lang w:val="en-US" w:eastAsia="zh-TW" w:bidi="ar-SA"/>
    </w:rPr>
  </w:style>
  <w:style w:type="paragraph" w:customStyle="1" w:styleId="24">
    <w:name w:val=" 字元 字元2 字元 字元 字元"/>
    <w:basedOn w:val="a"/>
    <w:semiHidden/>
    <w:rsid w:val="00905BF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3">
    <w:name w:val="Balloon Text"/>
    <w:basedOn w:val="a"/>
    <w:link w:val="af4"/>
    <w:uiPriority w:val="99"/>
    <w:semiHidden/>
    <w:unhideWhenUsed/>
    <w:rsid w:val="002004D6"/>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2004D6"/>
    <w:rPr>
      <w:rFonts w:ascii="Cambria" w:eastAsia="新細明體" w:hAnsi="Cambria" w:cs="Times New Roman"/>
      <w:snapToGrid w:val="0"/>
      <w:kern w:val="2"/>
      <w:sz w:val="18"/>
      <w:szCs w:val="18"/>
    </w:rPr>
  </w:style>
  <w:style w:type="paragraph" w:styleId="z-">
    <w:name w:val="HTML Bottom of Form"/>
    <w:basedOn w:val="a"/>
    <w:next w:val="a"/>
    <w:link w:val="z-0"/>
    <w:hidden/>
    <w:uiPriority w:val="99"/>
    <w:semiHidden/>
    <w:unhideWhenUsed/>
    <w:rsid w:val="00C15DD8"/>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semiHidden/>
    <w:rsid w:val="00C15DD8"/>
    <w:rPr>
      <w:rFonts w:ascii="Arial" w:hAnsi="Arial" w:cs="Arial"/>
      <w:vanish/>
      <w:sz w:val="16"/>
      <w:szCs w:val="16"/>
    </w:rPr>
  </w:style>
  <w:style w:type="paragraph" w:customStyle="1" w:styleId="Default">
    <w:name w:val="Default"/>
    <w:rsid w:val="005E13BD"/>
    <w:pPr>
      <w:widowControl w:val="0"/>
      <w:autoSpaceDE w:val="0"/>
      <w:autoSpaceDN w:val="0"/>
      <w:adjustRightInd w:val="0"/>
    </w:pPr>
    <w:rPr>
      <w:rFonts w:ascii="細明體" w:eastAsia="細明體" w:cs="細明體"/>
      <w:color w:val="000000"/>
      <w:sz w:val="24"/>
      <w:szCs w:val="24"/>
    </w:rPr>
  </w:style>
  <w:style w:type="character" w:customStyle="1" w:styleId="af5">
    <w:name w:val="(一)(二)(三) 字元"/>
    <w:rsid w:val="00284C4A"/>
    <w:rPr>
      <w:rFonts w:ascii="標楷體" w:eastAsia="標楷體"/>
      <w:snapToGrid w:val="0"/>
      <w:kern w:val="2"/>
      <w:sz w:val="28"/>
      <w:szCs w:val="28"/>
    </w:rPr>
  </w:style>
  <w:style w:type="character" w:customStyle="1" w:styleId="25">
    <w:name w:val="(一)下內文縮2 字元"/>
    <w:rsid w:val="00284C4A"/>
    <w:rPr>
      <w:rFonts w:ascii="標楷體" w:eastAsia="標楷體"/>
      <w:snapToGrid w:val="0"/>
      <w:kern w:val="2"/>
      <w:sz w:val="28"/>
      <w:szCs w:val="28"/>
    </w:rPr>
  </w:style>
  <w:style w:type="character" w:customStyle="1" w:styleId="144">
    <w:name w:val="表格內文(14行高) 字元"/>
    <w:rsid w:val="00284C4A"/>
    <w:rPr>
      <w:rFonts w:ascii="標楷體" w:eastAsia="標楷體"/>
      <w:snapToGrid w:val="0"/>
      <w:kern w:val="2"/>
      <w:sz w:val="24"/>
      <w:szCs w:val="28"/>
    </w:rPr>
  </w:style>
  <w:style w:type="paragraph" w:customStyle="1" w:styleId="af6">
    <w:name w:val="註腳"/>
    <w:basedOn w:val="af7"/>
    <w:qFormat/>
    <w:rsid w:val="00F95725"/>
    <w:pPr>
      <w:spacing w:line="260" w:lineRule="exact"/>
      <w:ind w:leftChars="0" w:left="194" w:hangingChars="87" w:hanging="194"/>
      <w:jc w:val="both"/>
    </w:pPr>
    <w:rPr>
      <w:bCs/>
      <w:noProof/>
      <w:snapToGrid/>
      <w:kern w:val="0"/>
      <w:sz w:val="24"/>
      <w:szCs w:val="22"/>
    </w:rPr>
  </w:style>
  <w:style w:type="paragraph" w:styleId="af7">
    <w:name w:val="footnote text"/>
    <w:basedOn w:val="a"/>
    <w:link w:val="af8"/>
    <w:uiPriority w:val="99"/>
    <w:unhideWhenUsed/>
    <w:rsid w:val="00F95725"/>
    <w:pPr>
      <w:snapToGrid w:val="0"/>
      <w:jc w:val="left"/>
    </w:pPr>
    <w:rPr>
      <w:sz w:val="20"/>
      <w:szCs w:val="20"/>
    </w:rPr>
  </w:style>
  <w:style w:type="character" w:customStyle="1" w:styleId="af8">
    <w:name w:val="註腳文字 字元"/>
    <w:link w:val="af7"/>
    <w:uiPriority w:val="99"/>
    <w:rsid w:val="00F95725"/>
    <w:rPr>
      <w:rFonts w:ascii="標楷體" w:eastAsia="標楷體"/>
      <w:snapToGrid w:val="0"/>
      <w:kern w:val="2"/>
    </w:rPr>
  </w:style>
  <w:style w:type="paragraph" w:customStyle="1" w:styleId="14-2">
    <w:name w:val="表格內文(14行高)-2"/>
    <w:basedOn w:val="142"/>
    <w:qFormat/>
    <w:rsid w:val="0027154D"/>
    <w:pPr>
      <w:ind w:leftChars="5" w:left="111" w:hangingChars="40" w:hanging="97"/>
    </w:pPr>
    <w:rPr>
      <w:szCs w:val="24"/>
      <w:lang w:val="x-none"/>
    </w:rPr>
  </w:style>
  <w:style w:type="character" w:customStyle="1" w:styleId="12310">
    <w:name w:val="1.2.3. 字元1"/>
    <w:rsid w:val="00405DDD"/>
    <w:rPr>
      <w:rFonts w:ascii="標楷體" w:eastAsia="標楷體"/>
      <w:snapToGrid w:val="0"/>
      <w:kern w:val="2"/>
      <w:sz w:val="28"/>
      <w:szCs w:val="28"/>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6233918">
      <w:bodyDiv w:val="1"/>
      <w:marLeft w:val="0"/>
      <w:marRight w:val="0"/>
      <w:marTop w:val="0"/>
      <w:marBottom w:val="0"/>
      <w:divBdr>
        <w:top w:val="none" w:sz="0" w:space="0" w:color="auto"/>
        <w:left w:val="none" w:sz="0" w:space="0" w:color="auto"/>
        <w:bottom w:val="none" w:sz="0" w:space="0" w:color="auto"/>
        <w:right w:val="none" w:sz="0" w:space="0" w:color="auto"/>
      </w:divBdr>
    </w:div>
    <w:div w:id="2043702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立法院預算中心系統範本</Template>
  <TotalTime>0</TotalTime>
  <Pages>2</Pages>
  <Words>248</Words>
  <Characters>1420</Characters>
  <Application>Microsoft Office Word</Application>
  <DocSecurity>0</DocSecurity>
  <Lines>11</Lines>
  <Paragraphs>3</Paragraphs>
  <ScaleCrop>false</ScaleCrop>
  <Company/>
  <LinksUpToDate>false</LinksUpToDate>
  <CharactersWithSpaces>1665</CharactersWithSpaces>
  <SharedDoc>false</SharedDoc>
  <HLinks>
    <vt:vector size="18" baseType="variant">
      <vt:variant>
        <vt:i4>1835062</vt:i4>
      </vt:variant>
      <vt:variant>
        <vt:i4>14</vt:i4>
      </vt:variant>
      <vt:variant>
        <vt:i4>0</vt:i4>
      </vt:variant>
      <vt:variant>
        <vt:i4>5</vt:i4>
      </vt:variant>
      <vt:variant>
        <vt:lpwstr/>
      </vt:variant>
      <vt:variant>
        <vt:lpwstr>_Toc162962367</vt:lpwstr>
      </vt:variant>
      <vt:variant>
        <vt:i4>1835062</vt:i4>
      </vt:variant>
      <vt:variant>
        <vt:i4>8</vt:i4>
      </vt:variant>
      <vt:variant>
        <vt:i4>0</vt:i4>
      </vt:variant>
      <vt:variant>
        <vt:i4>5</vt:i4>
      </vt:variant>
      <vt:variant>
        <vt:lpwstr/>
      </vt:variant>
      <vt:variant>
        <vt:lpwstr>_Toc162962366</vt:lpwstr>
      </vt:variant>
      <vt:variant>
        <vt:i4>1835062</vt:i4>
      </vt:variant>
      <vt:variant>
        <vt:i4>2</vt:i4>
      </vt:variant>
      <vt:variant>
        <vt:i4>0</vt:i4>
      </vt:variant>
      <vt:variant>
        <vt:i4>5</vt:i4>
      </vt:variant>
      <vt:variant>
        <vt:lpwstr/>
      </vt:variant>
      <vt:variant>
        <vt:lpwstr>_Toc162962365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2024-04-02T07:01:00Z</cp:lastPrinted>
  <dcterms:created xsi:type="dcterms:W3CDTF">2024-04-03T02:09:00Z</dcterms:created>
  <dcterms:modified xsi:type="dcterms:W3CDTF">2024-04-03T02:09:00Z</dcterms:modified>
</cp:coreProperties>
</file>