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D5" w:rsidRDefault="00390CD5" w:rsidP="00390CD5">
      <w:pPr>
        <w:pStyle w:val="afd"/>
        <w:rPr>
          <w:rFonts w:ascii="華康楷書體W5外字集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Toc193620187"/>
      <w:bookmarkStart w:id="10" w:name="_Toc278221660"/>
      <w:bookmarkStart w:id="11" w:name="_Toc278221662"/>
      <w:bookmarkStart w:id="12" w:name="_Toc278221663"/>
      <w:bookmarkStart w:id="13" w:name="_Toc278221666"/>
      <w:bookmarkStart w:id="14" w:name="_Toc209233801"/>
      <w:bookmarkStart w:id="15" w:name="_Toc340762051"/>
      <w:bookmarkStart w:id="16" w:name="_Toc324491473"/>
      <w:bookmarkStart w:id="17" w:name="_Toc340762058"/>
      <w:bookmarkStart w:id="18" w:name="_Toc369700070"/>
      <w:bookmarkStart w:id="19" w:name="_Toc306447119"/>
      <w:bookmarkStart w:id="20" w:name="_Toc369273185"/>
      <w:bookmarkStart w:id="21" w:name="_Toc413920096"/>
      <w:bookmarkStart w:id="22" w:name="_Toc340132917"/>
      <w:bookmarkStart w:id="23" w:name="_Toc340667008"/>
      <w:bookmarkStart w:id="24" w:name="_Toc445802464"/>
      <w:bookmarkStart w:id="25" w:name="_GoBack"/>
      <w:bookmarkEnd w:id="25"/>
      <w:r>
        <w:rPr>
          <w:rFonts w:ascii="華康楷書體W5外字集" w:hint="eastAsia"/>
        </w:rPr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FC04AA">
        <w:rPr>
          <w:rFonts w:ascii="華康楷書體W5外字集" w:hint="eastAsia"/>
        </w:rPr>
        <w:t>1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7B785A" w:rsidRPr="0031504A" w:rsidRDefault="00B3455F" w:rsidP="007B785A">
      <w:pPr>
        <w:pStyle w:val="14"/>
        <w:ind w:left="567" w:hanging="567"/>
        <w:rPr>
          <w:rFonts w:hAnsi="標楷體"/>
        </w:rPr>
      </w:pPr>
      <w:bookmarkStart w:id="26" w:name="_Toc478394379"/>
      <w:bookmarkStart w:id="27" w:name="_Toc399669242"/>
      <w:bookmarkStart w:id="28" w:name="_Toc324491470"/>
      <w:bookmarkStart w:id="29" w:name="_Toc403469694"/>
      <w:bookmarkStart w:id="30" w:name="_Toc431489443"/>
      <w:bookmarkStart w:id="31" w:name="_Toc496186361"/>
      <w:bookmarkStart w:id="32" w:name="_Toc529871867"/>
      <w:bookmarkStart w:id="33" w:name="_Toc529976800"/>
      <w:bookmarkStart w:id="34" w:name="_Toc529871870"/>
      <w:bookmarkStart w:id="35" w:name="_Toc35003616"/>
      <w:bookmarkStart w:id="36" w:name="_Toc52990681"/>
      <w:bookmarkStart w:id="37" w:name="_Toc66351730"/>
      <w:bookmarkStart w:id="38" w:name="_Toc162939715"/>
      <w:bookmarkEnd w:id="22"/>
      <w:bookmarkEnd w:id="23"/>
      <w:bookmarkEnd w:id="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二</w:t>
      </w:r>
      <w:r w:rsidR="009A5DD9" w:rsidRPr="006C622A">
        <w:rPr>
          <w:rFonts w:hint="eastAsia"/>
        </w:rPr>
        <w:t>、</w:t>
      </w:r>
      <w:r w:rsidR="007B785A" w:rsidRPr="0031504A">
        <w:rPr>
          <w:rFonts w:hAnsi="標楷體" w:hint="eastAsia"/>
        </w:rPr>
        <w:t>111年度</w:t>
      </w:r>
      <w:r w:rsidR="00FC04AA">
        <w:rPr>
          <w:rFonts w:hAnsi="標楷體" w:hint="eastAsia"/>
        </w:rPr>
        <w:t>收支</w:t>
      </w:r>
      <w:r w:rsidR="007B785A" w:rsidRPr="0031504A">
        <w:rPr>
          <w:rFonts w:hAnsi="標楷體" w:hint="eastAsia"/>
        </w:rPr>
        <w:t>決算</w:t>
      </w:r>
      <w:r w:rsidR="008808EC">
        <w:rPr>
          <w:rFonts w:hAnsi="標楷體" w:hint="eastAsia"/>
        </w:rPr>
        <w:t>綜合</w:t>
      </w:r>
      <w:r w:rsidR="007B785A" w:rsidRPr="0031504A">
        <w:rPr>
          <w:rFonts w:hAnsi="標楷體" w:hint="eastAsia"/>
        </w:rPr>
        <w:t>短絀478.5億元，為近年最大虧損，</w:t>
      </w:r>
      <w:r w:rsidR="004C1B40">
        <w:rPr>
          <w:rFonts w:hAnsi="標楷體" w:hint="eastAsia"/>
        </w:rPr>
        <w:t>不利基金財務健全，</w:t>
      </w:r>
      <w:r w:rsidR="007B785A" w:rsidRPr="0031504A">
        <w:rPr>
          <w:rFonts w:hAnsi="標楷體" w:hint="eastAsia"/>
        </w:rPr>
        <w:t>允宜加強與策進</w:t>
      </w:r>
      <w:r w:rsidR="007B785A" w:rsidRPr="004964FA">
        <w:rPr>
          <w:rFonts w:hAnsi="標楷體" w:hint="eastAsia"/>
        </w:rPr>
        <w:t>資金運用成效</w:t>
      </w:r>
      <w:bookmarkEnd w:id="38"/>
    </w:p>
    <w:p w:rsidR="007B785A" w:rsidRPr="0031504A" w:rsidRDefault="00FC04AA" w:rsidP="007B785A">
      <w:pPr>
        <w:ind w:left="567" w:firstLine="567"/>
        <w:rPr>
          <w:rFonts w:hAnsi="標楷體"/>
          <w:color w:val="000000"/>
        </w:rPr>
      </w:pPr>
      <w:r w:rsidRPr="00FC04AA">
        <w:rPr>
          <w:rFonts w:hAnsi="標楷體" w:hint="eastAsia"/>
          <w:color w:val="000000"/>
        </w:rPr>
        <w:t>公務人員退休撫卹基金</w:t>
      </w:r>
      <w:r>
        <w:rPr>
          <w:rFonts w:hAnsi="標楷體" w:hint="eastAsia"/>
          <w:color w:val="000000"/>
        </w:rPr>
        <w:t>(以下簡稱</w:t>
      </w:r>
      <w:r w:rsidR="007B785A" w:rsidRPr="0031504A">
        <w:rPr>
          <w:rFonts w:hAnsi="標楷體" w:hint="eastAsia"/>
          <w:color w:val="000000"/>
        </w:rPr>
        <w:t>退撫基金</w:t>
      </w:r>
      <w:r>
        <w:rPr>
          <w:rFonts w:hAnsi="標楷體" w:hint="eastAsia"/>
          <w:color w:val="000000"/>
        </w:rPr>
        <w:t>)</w:t>
      </w:r>
      <w:r w:rsidR="007B785A" w:rsidRPr="0031504A">
        <w:rPr>
          <w:rFonts w:hAnsi="標楷體" w:hint="eastAsia"/>
          <w:color w:val="000000"/>
        </w:rPr>
        <w:t>11</w:t>
      </w:r>
      <w:r w:rsidR="007B785A">
        <w:rPr>
          <w:rFonts w:hAnsi="標楷體"/>
          <w:color w:val="000000"/>
        </w:rPr>
        <w:t>1</w:t>
      </w:r>
      <w:r w:rsidR="007B785A" w:rsidRPr="0031504A">
        <w:rPr>
          <w:rFonts w:hAnsi="標楷體" w:hint="eastAsia"/>
          <w:color w:val="000000"/>
        </w:rPr>
        <w:t>年度預算編列總收入</w:t>
      </w:r>
      <w:r w:rsidR="007B785A">
        <w:rPr>
          <w:rFonts w:hAnsi="標楷體" w:hint="eastAsia"/>
          <w:color w:val="000000"/>
        </w:rPr>
        <w:t>2</w:t>
      </w:r>
      <w:r w:rsidR="007B785A">
        <w:rPr>
          <w:rFonts w:hAnsi="標楷體"/>
          <w:color w:val="000000"/>
        </w:rPr>
        <w:t>79</w:t>
      </w:r>
      <w:r w:rsidR="007B785A" w:rsidRPr="0031504A">
        <w:rPr>
          <w:rFonts w:hAnsi="標楷體" w:hint="eastAsia"/>
          <w:color w:val="000000"/>
        </w:rPr>
        <w:t>億</w:t>
      </w:r>
      <w:r w:rsidR="007B785A">
        <w:rPr>
          <w:rFonts w:hAnsi="標楷體" w:hint="eastAsia"/>
          <w:color w:val="000000"/>
        </w:rPr>
        <w:t>1</w:t>
      </w:r>
      <w:r w:rsidR="007B785A" w:rsidRPr="0031504A">
        <w:rPr>
          <w:rFonts w:hAnsi="標楷體"/>
          <w:color w:val="000000"/>
        </w:rPr>
        <w:t>,</w:t>
      </w:r>
      <w:r w:rsidR="007B785A">
        <w:rPr>
          <w:rFonts w:hAnsi="標楷體"/>
          <w:color w:val="000000"/>
        </w:rPr>
        <w:t>177</w:t>
      </w:r>
      <w:r w:rsidR="007B785A" w:rsidRPr="0031504A">
        <w:rPr>
          <w:rFonts w:hAnsi="標楷體" w:hint="eastAsia"/>
          <w:color w:val="000000"/>
        </w:rPr>
        <w:t>萬</w:t>
      </w:r>
      <w:r w:rsidR="007B785A">
        <w:rPr>
          <w:rFonts w:hAnsi="標楷體" w:hint="eastAsia"/>
          <w:color w:val="000000"/>
        </w:rPr>
        <w:t>6</w:t>
      </w:r>
      <w:r w:rsidR="007B785A" w:rsidRPr="0031504A">
        <w:rPr>
          <w:rFonts w:hAnsi="標楷體" w:hint="eastAsia"/>
          <w:color w:val="000000"/>
        </w:rPr>
        <w:t>千元</w:t>
      </w:r>
      <w:r w:rsidR="007B785A" w:rsidRPr="004964FA">
        <w:rPr>
          <w:rFonts w:hAnsi="標楷體" w:hint="eastAsia"/>
          <w:color w:val="000000"/>
        </w:rPr>
        <w:t>，</w:t>
      </w:r>
      <w:r w:rsidR="007B785A">
        <w:rPr>
          <w:rFonts w:hAnsi="標楷體" w:hint="eastAsia"/>
          <w:color w:val="000000"/>
        </w:rPr>
        <w:t>決算數為342億8</w:t>
      </w:r>
      <w:r w:rsidR="007B785A">
        <w:rPr>
          <w:rFonts w:hAnsi="標楷體"/>
          <w:color w:val="000000"/>
        </w:rPr>
        <w:t>,</w:t>
      </w:r>
      <w:r w:rsidR="007B785A">
        <w:rPr>
          <w:rFonts w:hAnsi="標楷體" w:hint="eastAsia"/>
          <w:color w:val="000000"/>
        </w:rPr>
        <w:t>015萬3千元</w:t>
      </w:r>
      <w:r w:rsidR="00580A08">
        <w:rPr>
          <w:rFonts w:hAnsi="標楷體" w:hint="eastAsia"/>
          <w:color w:val="000000"/>
        </w:rPr>
        <w:t>，預算達成率122.82%</w:t>
      </w:r>
      <w:r w:rsidR="007B785A">
        <w:rPr>
          <w:rFonts w:hAnsi="標楷體" w:hint="eastAsia"/>
          <w:color w:val="000000"/>
        </w:rPr>
        <w:t>；</w:t>
      </w:r>
      <w:r w:rsidR="007B785A" w:rsidRPr="0031504A">
        <w:rPr>
          <w:rFonts w:hAnsi="標楷體" w:hint="eastAsia"/>
          <w:color w:val="000000"/>
        </w:rPr>
        <w:t>另編列總支出1</w:t>
      </w:r>
      <w:r w:rsidR="007B785A">
        <w:rPr>
          <w:rFonts w:hAnsi="標楷體"/>
          <w:color w:val="000000"/>
        </w:rPr>
        <w:t>8</w:t>
      </w:r>
      <w:r w:rsidR="007B785A" w:rsidRPr="0031504A">
        <w:rPr>
          <w:rFonts w:hAnsi="標楷體" w:hint="eastAsia"/>
          <w:color w:val="000000"/>
        </w:rPr>
        <w:t>億</w:t>
      </w:r>
      <w:r w:rsidR="007B785A">
        <w:rPr>
          <w:rFonts w:hAnsi="標楷體" w:hint="eastAsia"/>
          <w:color w:val="000000"/>
        </w:rPr>
        <w:t>1</w:t>
      </w:r>
      <w:r w:rsidR="007B785A">
        <w:rPr>
          <w:rFonts w:hAnsi="標楷體"/>
          <w:color w:val="000000"/>
        </w:rPr>
        <w:t>11</w:t>
      </w:r>
      <w:r w:rsidR="007B785A" w:rsidRPr="0031504A">
        <w:rPr>
          <w:rFonts w:hAnsi="標楷體" w:hint="eastAsia"/>
          <w:color w:val="000000"/>
        </w:rPr>
        <w:t>萬</w:t>
      </w:r>
      <w:r w:rsidR="007B785A">
        <w:rPr>
          <w:rFonts w:hAnsi="標楷體" w:hint="eastAsia"/>
          <w:color w:val="000000"/>
        </w:rPr>
        <w:t>1</w:t>
      </w:r>
      <w:r w:rsidR="007B785A" w:rsidRPr="0031504A">
        <w:rPr>
          <w:rFonts w:hAnsi="標楷體" w:hint="eastAsia"/>
          <w:color w:val="000000"/>
        </w:rPr>
        <w:t>千元</w:t>
      </w:r>
      <w:r w:rsidR="007B785A">
        <w:rPr>
          <w:rFonts w:hAnsi="標楷體" w:hint="eastAsia"/>
          <w:color w:val="000000"/>
        </w:rPr>
        <w:t>，決算數為741億8</w:t>
      </w:r>
      <w:r w:rsidR="007B785A">
        <w:rPr>
          <w:rFonts w:hAnsi="標楷體"/>
          <w:color w:val="000000"/>
        </w:rPr>
        <w:t>,</w:t>
      </w:r>
      <w:r w:rsidR="007B785A">
        <w:rPr>
          <w:rFonts w:hAnsi="標楷體" w:hint="eastAsia"/>
          <w:color w:val="000000"/>
        </w:rPr>
        <w:t>723萬4千元</w:t>
      </w:r>
      <w:r w:rsidR="007B785A" w:rsidRPr="0031504A">
        <w:rPr>
          <w:rFonts w:hAnsi="標楷體" w:hint="eastAsia"/>
          <w:color w:val="000000"/>
        </w:rPr>
        <w:t>，</w:t>
      </w:r>
      <w:r w:rsidR="00580A08">
        <w:rPr>
          <w:rFonts w:hAnsi="標楷體" w:hint="eastAsia"/>
          <w:color w:val="000000"/>
        </w:rPr>
        <w:t>超支40.19倍。</w:t>
      </w:r>
      <w:r w:rsidR="007B785A" w:rsidRPr="0031504A">
        <w:rPr>
          <w:rFonts w:hAnsi="標楷體" w:hint="eastAsia"/>
          <w:color w:val="000000"/>
        </w:rPr>
        <w:t>收支相抵後，本期賸餘</w:t>
      </w:r>
      <w:r w:rsidR="00580A08">
        <w:rPr>
          <w:rFonts w:hAnsi="標楷體" w:hint="eastAsia"/>
          <w:color w:val="000000"/>
        </w:rPr>
        <w:t>預算</w:t>
      </w:r>
      <w:r w:rsidR="004C1B40">
        <w:rPr>
          <w:rFonts w:hAnsi="標楷體" w:hint="eastAsia"/>
          <w:color w:val="000000"/>
        </w:rPr>
        <w:t>數</w:t>
      </w:r>
      <w:r w:rsidR="007B785A" w:rsidRPr="0031504A">
        <w:rPr>
          <w:rFonts w:hAnsi="標楷體" w:hint="eastAsia"/>
          <w:color w:val="000000"/>
        </w:rPr>
        <w:t>2</w:t>
      </w:r>
      <w:r w:rsidR="007B785A">
        <w:rPr>
          <w:rFonts w:hAnsi="標楷體"/>
          <w:color w:val="000000"/>
        </w:rPr>
        <w:t>61</w:t>
      </w:r>
      <w:r w:rsidR="007B785A" w:rsidRPr="0031504A">
        <w:rPr>
          <w:rFonts w:hAnsi="標楷體" w:hint="eastAsia"/>
          <w:color w:val="000000"/>
        </w:rPr>
        <w:t>億1</w:t>
      </w:r>
      <w:r w:rsidR="007B785A">
        <w:rPr>
          <w:rFonts w:hAnsi="標楷體" w:hint="eastAsia"/>
          <w:color w:val="000000"/>
        </w:rPr>
        <w:t>,</w:t>
      </w:r>
      <w:r w:rsidR="007B785A" w:rsidRPr="0031504A">
        <w:rPr>
          <w:rFonts w:hAnsi="標楷體" w:hint="eastAsia"/>
          <w:color w:val="000000"/>
        </w:rPr>
        <w:t>0</w:t>
      </w:r>
      <w:r w:rsidR="007B785A">
        <w:rPr>
          <w:rFonts w:hAnsi="標楷體"/>
          <w:color w:val="000000"/>
        </w:rPr>
        <w:t>66</w:t>
      </w:r>
      <w:r w:rsidR="007B785A" w:rsidRPr="0031504A">
        <w:rPr>
          <w:rFonts w:hAnsi="標楷體" w:hint="eastAsia"/>
          <w:color w:val="000000"/>
        </w:rPr>
        <w:t>萬</w:t>
      </w:r>
      <w:r w:rsidR="007B785A">
        <w:rPr>
          <w:rFonts w:hAnsi="標楷體" w:hint="eastAsia"/>
          <w:color w:val="000000"/>
        </w:rPr>
        <w:t>5</w:t>
      </w:r>
      <w:r w:rsidR="007B785A" w:rsidRPr="0031504A">
        <w:rPr>
          <w:rFonts w:hAnsi="標楷體" w:hint="eastAsia"/>
          <w:color w:val="000000"/>
        </w:rPr>
        <w:t>千元</w:t>
      </w:r>
      <w:r w:rsidR="007B785A">
        <w:rPr>
          <w:rFonts w:hAnsi="標楷體" w:hint="eastAsia"/>
          <w:color w:val="000000"/>
        </w:rPr>
        <w:t>，決算</w:t>
      </w:r>
      <w:r w:rsidR="00580A08">
        <w:rPr>
          <w:rFonts w:hAnsi="標楷體" w:hint="eastAsia"/>
          <w:color w:val="000000"/>
        </w:rPr>
        <w:t>數</w:t>
      </w:r>
      <w:r w:rsidR="00F33F48">
        <w:rPr>
          <w:rFonts w:hAnsi="標楷體" w:hint="eastAsia"/>
          <w:color w:val="000000"/>
        </w:rPr>
        <w:t>為</w:t>
      </w:r>
      <w:r w:rsidR="00580A08">
        <w:rPr>
          <w:rFonts w:hAnsi="標楷體" w:hint="eastAsia"/>
          <w:color w:val="000000"/>
        </w:rPr>
        <w:t>短絀</w:t>
      </w:r>
      <w:r w:rsidR="007B785A">
        <w:rPr>
          <w:rFonts w:hAnsi="標楷體" w:hint="eastAsia"/>
          <w:color w:val="000000"/>
        </w:rPr>
        <w:t>399</w:t>
      </w:r>
      <w:r w:rsidR="007B785A" w:rsidRPr="0031504A">
        <w:rPr>
          <w:rFonts w:hAnsi="標楷體" w:hint="eastAsia"/>
          <w:color w:val="000000"/>
        </w:rPr>
        <w:t>億</w:t>
      </w:r>
      <w:r w:rsidR="007B785A">
        <w:rPr>
          <w:rFonts w:hAnsi="標楷體" w:hint="eastAsia"/>
          <w:color w:val="000000"/>
        </w:rPr>
        <w:t>708</w:t>
      </w:r>
      <w:r w:rsidR="007B785A" w:rsidRPr="0031504A">
        <w:rPr>
          <w:rFonts w:hAnsi="標楷體" w:hint="eastAsia"/>
          <w:color w:val="000000"/>
        </w:rPr>
        <w:t>萬</w:t>
      </w:r>
      <w:r w:rsidR="007B785A">
        <w:rPr>
          <w:rFonts w:hAnsi="標楷體" w:hint="eastAsia"/>
          <w:color w:val="000000"/>
        </w:rPr>
        <w:t>1</w:t>
      </w:r>
      <w:r w:rsidR="007B785A" w:rsidRPr="0031504A">
        <w:rPr>
          <w:rFonts w:hAnsi="標楷體" w:hint="eastAsia"/>
          <w:color w:val="000000"/>
        </w:rPr>
        <w:t>千元</w:t>
      </w:r>
      <w:r w:rsidR="00580A08">
        <w:rPr>
          <w:rFonts w:hAnsi="標楷體" w:hint="eastAsia"/>
          <w:color w:val="000000"/>
        </w:rPr>
        <w:t>，倘加計其他綜</w:t>
      </w:r>
      <w:r>
        <w:rPr>
          <w:rFonts w:hAnsi="標楷體" w:hint="eastAsia"/>
          <w:color w:val="000000"/>
        </w:rPr>
        <w:t>合</w:t>
      </w:r>
      <w:r w:rsidR="00580A08">
        <w:rPr>
          <w:rFonts w:hAnsi="標楷體" w:hint="eastAsia"/>
          <w:color w:val="000000"/>
        </w:rPr>
        <w:t>短絀</w:t>
      </w:r>
      <w:r>
        <w:rPr>
          <w:rFonts w:hAnsi="標楷體" w:hint="eastAsia"/>
          <w:color w:val="000000"/>
        </w:rPr>
        <w:t>79億3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859萬1千元</w:t>
      </w:r>
      <w:r w:rsidR="00580A08">
        <w:rPr>
          <w:rFonts w:hAnsi="標楷體" w:hint="eastAsia"/>
          <w:color w:val="000000"/>
        </w:rPr>
        <w:t>，</w:t>
      </w:r>
      <w:r w:rsidR="00F33F48">
        <w:rPr>
          <w:rFonts w:hAnsi="標楷體" w:hint="eastAsia"/>
          <w:color w:val="000000"/>
        </w:rPr>
        <w:t>則</w:t>
      </w:r>
      <w:r w:rsidR="00580A08">
        <w:rPr>
          <w:rFonts w:hAnsi="標楷體" w:hint="eastAsia"/>
          <w:color w:val="000000"/>
        </w:rPr>
        <w:t>本期綜合短絀為478億4</w:t>
      </w:r>
      <w:r w:rsidR="00580A08">
        <w:rPr>
          <w:rFonts w:hAnsi="標楷體"/>
          <w:color w:val="000000"/>
        </w:rPr>
        <w:t>,</w:t>
      </w:r>
      <w:r w:rsidR="00580A08">
        <w:rPr>
          <w:rFonts w:hAnsi="標楷體" w:hint="eastAsia"/>
          <w:color w:val="000000"/>
        </w:rPr>
        <w:t>567萬2千元</w:t>
      </w:r>
      <w:r w:rsidR="007B785A" w:rsidRPr="0031504A">
        <w:rPr>
          <w:rFonts w:hAnsi="標楷體" w:hint="eastAsia"/>
          <w:color w:val="000000"/>
        </w:rPr>
        <w:t>。</w:t>
      </w:r>
    </w:p>
    <w:p w:rsidR="007B785A" w:rsidRPr="0031504A" w:rsidRDefault="007B785A" w:rsidP="007B785A">
      <w:pPr>
        <w:ind w:left="567" w:firstLine="567"/>
        <w:rPr>
          <w:rFonts w:hAnsi="標楷體" w:hint="eastAsia"/>
          <w:snapToGrid/>
        </w:rPr>
      </w:pPr>
      <w:r w:rsidRPr="0031504A">
        <w:rPr>
          <w:rFonts w:hAnsi="標楷體" w:hint="eastAsia"/>
          <w:snapToGrid/>
        </w:rPr>
        <w:t>參退撫基金</w:t>
      </w:r>
      <w:r w:rsidR="004C1B40">
        <w:rPr>
          <w:rFonts w:hAnsi="標楷體" w:hint="eastAsia"/>
          <w:snapToGrid/>
        </w:rPr>
        <w:t>近年(</w:t>
      </w:r>
      <w:r w:rsidRPr="0031504A">
        <w:rPr>
          <w:rFonts w:hAnsi="標楷體" w:hint="eastAsia"/>
          <w:snapToGrid/>
        </w:rPr>
        <w:t>104至11</w:t>
      </w:r>
      <w:r w:rsidR="00580A08">
        <w:rPr>
          <w:rFonts w:hAnsi="標楷體" w:hint="eastAsia"/>
          <w:snapToGrid/>
        </w:rPr>
        <w:t>1</w:t>
      </w:r>
      <w:r w:rsidRPr="0031504A">
        <w:rPr>
          <w:rFonts w:hAnsi="標楷體" w:hint="eastAsia"/>
          <w:snapToGrid/>
        </w:rPr>
        <w:t>年度</w:t>
      </w:r>
      <w:r w:rsidR="004C1B40">
        <w:rPr>
          <w:rFonts w:hAnsi="標楷體" w:hint="eastAsia"/>
          <w:snapToGrid/>
        </w:rPr>
        <w:t>)</w:t>
      </w:r>
      <w:r w:rsidRPr="0031504A">
        <w:rPr>
          <w:rFonts w:hAnsi="標楷體" w:hint="eastAsia"/>
          <w:snapToGrid/>
        </w:rPr>
        <w:t>收支運用餘絀情形(詳表1)，</w:t>
      </w:r>
      <w:r w:rsidR="004C1B40">
        <w:rPr>
          <w:rFonts w:hAnsi="標楷體" w:hint="eastAsia"/>
          <w:snapToGrid/>
        </w:rPr>
        <w:t>茲以</w:t>
      </w:r>
      <w:r>
        <w:rPr>
          <w:rFonts w:hAnsi="標楷體" w:hint="eastAsia"/>
          <w:snapToGrid/>
        </w:rPr>
        <w:t>107年7月</w:t>
      </w:r>
      <w:r w:rsidRPr="0031504A">
        <w:rPr>
          <w:rFonts w:hAnsi="標楷體" w:hint="eastAsia"/>
          <w:snapToGrid/>
        </w:rPr>
        <w:t>退休年金改革前</w:t>
      </w:r>
      <w:r w:rsidR="004C1B40">
        <w:rPr>
          <w:rFonts w:hAnsi="標楷體" w:hint="eastAsia"/>
          <w:snapToGrid/>
        </w:rPr>
        <w:t>以觀</w:t>
      </w:r>
      <w:r w:rsidRPr="0031504A">
        <w:rPr>
          <w:rFonts w:hAnsi="標楷體" w:hint="eastAsia"/>
          <w:snapToGrid/>
        </w:rPr>
        <w:t>，</w:t>
      </w:r>
      <w:r w:rsidR="004C1B40">
        <w:rPr>
          <w:rFonts w:hAnsi="標楷體" w:hint="eastAsia"/>
          <w:snapToGrid/>
        </w:rPr>
        <w:t>其中</w:t>
      </w:r>
      <w:r w:rsidRPr="0031504A">
        <w:rPr>
          <w:rFonts w:hAnsi="標楷體" w:hint="eastAsia"/>
          <w:snapToGrid/>
        </w:rPr>
        <w:t>104及107年度</w:t>
      </w:r>
      <w:r w:rsidR="004C1B40" w:rsidRPr="004C1B40">
        <w:rPr>
          <w:rFonts w:hAnsi="標楷體" w:hint="eastAsia"/>
          <w:snapToGrid/>
        </w:rPr>
        <w:t>納計「備供出售金融資產未實現評價損益」之當期綜合餘絀</w:t>
      </w:r>
      <w:r w:rsidRPr="0031504A">
        <w:rPr>
          <w:rFonts w:hAnsi="標楷體" w:hint="eastAsia"/>
          <w:snapToGrid/>
        </w:rPr>
        <w:t>各為短絀108.8億元與65.4億元</w:t>
      </w:r>
      <w:r w:rsidR="004C1B40">
        <w:rPr>
          <w:rFonts w:hAnsi="標楷體" w:hint="eastAsia"/>
          <w:snapToGrid/>
        </w:rPr>
        <w:t>；</w:t>
      </w:r>
      <w:r w:rsidRPr="0031504A">
        <w:rPr>
          <w:rFonts w:hAnsi="標楷體" w:hint="eastAsia"/>
          <w:snapToGrid/>
        </w:rPr>
        <w:t>而退休年金改革</w:t>
      </w:r>
      <w:r w:rsidR="004C1B40">
        <w:rPr>
          <w:rFonts w:hAnsi="標楷體" w:hint="eastAsia"/>
          <w:snapToGrid/>
        </w:rPr>
        <w:t>以</w:t>
      </w:r>
      <w:r w:rsidRPr="0031504A">
        <w:rPr>
          <w:rFonts w:hAnsi="標楷體" w:hint="eastAsia"/>
          <w:snapToGrid/>
        </w:rPr>
        <w:t>後，108至110年度均為賸餘</w:t>
      </w:r>
      <w:r w:rsidR="004C1B40">
        <w:rPr>
          <w:rFonts w:hAnsi="標楷體" w:hint="eastAsia"/>
          <w:snapToGrid/>
        </w:rPr>
        <w:t>，似見改革成效；</w:t>
      </w:r>
      <w:r w:rsidRPr="0031504A">
        <w:rPr>
          <w:rFonts w:hAnsi="標楷體" w:hint="eastAsia"/>
          <w:snapToGrid/>
        </w:rPr>
        <w:t>惟111年度由餘轉絀，短絀數高達478.5億元，為近年之最大額度虧損。</w:t>
      </w:r>
      <w:r w:rsidR="004C1B40">
        <w:rPr>
          <w:rFonts w:hAnsi="標楷體" w:hint="eastAsia"/>
          <w:snapToGrid/>
        </w:rPr>
        <w:t>據</w:t>
      </w:r>
      <w:r w:rsidRPr="0031504A">
        <w:rPr>
          <w:rFonts w:hAnsi="標楷體" w:hint="eastAsia"/>
          <w:snapToGrid/>
        </w:rPr>
        <w:t>該基金說明係因全球股市多呈現下跌，致</w:t>
      </w:r>
      <w:r>
        <w:rPr>
          <w:rFonts w:hAnsi="標楷體" w:hint="eastAsia"/>
          <w:snapToGrid/>
        </w:rPr>
        <w:t>產生</w:t>
      </w:r>
      <w:r w:rsidR="004C1B40">
        <w:rPr>
          <w:rFonts w:hAnsi="標楷體" w:hint="eastAsia"/>
          <w:snapToGrid/>
        </w:rPr>
        <w:t>以</w:t>
      </w:r>
      <w:r>
        <w:rPr>
          <w:rFonts w:hAnsi="標楷體" w:hint="eastAsia"/>
          <w:snapToGrid/>
        </w:rPr>
        <w:t>公允價值衡量之</w:t>
      </w:r>
      <w:r w:rsidRPr="0031504A">
        <w:rPr>
          <w:rFonts w:hAnsi="標楷體" w:hint="eastAsia"/>
          <w:snapToGrid/>
        </w:rPr>
        <w:t>金融資產評價</w:t>
      </w:r>
      <w:r>
        <w:rPr>
          <w:rFonts w:hAnsi="標楷體" w:hint="eastAsia"/>
          <w:snapToGrid/>
        </w:rPr>
        <w:t>損失達726.89億元</w:t>
      </w:r>
      <w:r w:rsidRPr="0031504A">
        <w:rPr>
          <w:rFonts w:hAnsi="標楷體" w:hint="eastAsia"/>
          <w:snapToGrid/>
        </w:rPr>
        <w:t>，及委託經營受託機構調整投資組合所致。鑒於退撫基金</w:t>
      </w:r>
      <w:r w:rsidR="00FC04AA">
        <w:rPr>
          <w:rFonts w:hAnsi="標楷體" w:hint="eastAsia"/>
          <w:snapToGrid/>
        </w:rPr>
        <w:t>截至111年底止有未提存退休金精算應計負債估計達2.78兆餘元之</w:t>
      </w:r>
      <w:r w:rsidRPr="0031504A">
        <w:rPr>
          <w:rFonts w:hAnsi="標楷體" w:hint="eastAsia"/>
          <w:snapToGrid/>
        </w:rPr>
        <w:t>鉅額財務</w:t>
      </w:r>
      <w:r w:rsidR="00FC04AA">
        <w:rPr>
          <w:rFonts w:hAnsi="標楷體" w:hint="eastAsia"/>
          <w:snapToGrid/>
        </w:rPr>
        <w:t>負擔</w:t>
      </w:r>
      <w:r w:rsidRPr="0031504A">
        <w:rPr>
          <w:rFonts w:hAnsi="標楷體" w:hint="eastAsia"/>
          <w:snapToGrid/>
        </w:rPr>
        <w:t>，如基金運用收益再為短絀，恐雪上加霜，不利基金財務健全。</w:t>
      </w:r>
    </w:p>
    <w:p w:rsidR="007B785A" w:rsidRPr="0031504A" w:rsidRDefault="007B785A" w:rsidP="007B785A">
      <w:pPr>
        <w:ind w:left="567" w:firstLine="567"/>
        <w:rPr>
          <w:rFonts w:hAnsi="標楷體" w:hint="eastAsia"/>
          <w:b/>
          <w:snapToGrid/>
          <w:color w:val="000000"/>
        </w:rPr>
      </w:pPr>
      <w:r w:rsidRPr="0031504A">
        <w:rPr>
          <w:rFonts w:hAnsi="標楷體" w:hint="eastAsia"/>
          <w:snapToGrid/>
          <w:color w:val="000000"/>
        </w:rPr>
        <w:t>綜上，退撫基金111年度收支決算</w:t>
      </w:r>
      <w:r w:rsidR="004C1B40" w:rsidRPr="004C1B40">
        <w:rPr>
          <w:rFonts w:hAnsi="標楷體" w:hint="eastAsia"/>
          <w:snapToGrid/>
          <w:color w:val="000000"/>
        </w:rPr>
        <w:t>綜合餘絀</w:t>
      </w:r>
      <w:r w:rsidRPr="0031504A">
        <w:rPr>
          <w:rFonts w:hAnsi="標楷體" w:hint="eastAsia"/>
          <w:snapToGrid/>
          <w:color w:val="000000"/>
        </w:rPr>
        <w:t>由</w:t>
      </w:r>
      <w:r w:rsidR="004C1B40">
        <w:rPr>
          <w:rFonts w:hAnsi="標楷體" w:hint="eastAsia"/>
          <w:snapToGrid/>
          <w:color w:val="000000"/>
        </w:rPr>
        <w:t>110年度賸餘795億元，轉為</w:t>
      </w:r>
      <w:r w:rsidRPr="0031504A">
        <w:rPr>
          <w:rFonts w:hAnsi="標楷體" w:hint="eastAsia"/>
          <w:snapToGrid/>
          <w:color w:val="000000"/>
        </w:rPr>
        <w:t>短絀達478.5億元，為近年最大虧損</w:t>
      </w:r>
      <w:r w:rsidR="004C1B40">
        <w:rPr>
          <w:rFonts w:hAnsi="標楷體" w:hint="eastAsia"/>
          <w:snapToGrid/>
          <w:color w:val="000000"/>
        </w:rPr>
        <w:t>，不利基金財務健全</w:t>
      </w:r>
      <w:r w:rsidRPr="0031504A">
        <w:rPr>
          <w:rFonts w:hAnsi="標楷體" w:hint="eastAsia"/>
          <w:snapToGrid/>
          <w:color w:val="000000"/>
        </w:rPr>
        <w:t>，允宜加強</w:t>
      </w:r>
      <w:r w:rsidR="004C1B40">
        <w:rPr>
          <w:rFonts w:hAnsi="標楷體" w:hint="eastAsia"/>
          <w:snapToGrid/>
          <w:color w:val="000000"/>
        </w:rPr>
        <w:t>與策進資</w:t>
      </w:r>
      <w:r w:rsidRPr="0031504A">
        <w:rPr>
          <w:rFonts w:hAnsi="標楷體" w:hint="eastAsia"/>
          <w:snapToGrid/>
          <w:color w:val="000000"/>
        </w:rPr>
        <w:t>金</w:t>
      </w:r>
      <w:r>
        <w:rPr>
          <w:rFonts w:hAnsi="標楷體" w:hint="eastAsia"/>
          <w:snapToGrid/>
          <w:color w:val="000000"/>
        </w:rPr>
        <w:t>運用</w:t>
      </w:r>
      <w:r w:rsidRPr="0031504A">
        <w:rPr>
          <w:rFonts w:hAnsi="標楷體" w:hint="eastAsia"/>
          <w:snapToGrid/>
          <w:color w:val="000000"/>
        </w:rPr>
        <w:t>績效，以改善基金財務狀況。</w:t>
      </w:r>
    </w:p>
    <w:p w:rsidR="007B785A" w:rsidRPr="0031504A" w:rsidRDefault="007B785A" w:rsidP="007B785A">
      <w:pPr>
        <w:ind w:leftChars="0" w:left="1419" w:hangingChars="500" w:hanging="1419"/>
        <w:rPr>
          <w:rFonts w:hAnsi="標楷體"/>
          <w:snapToGrid/>
          <w:sz w:val="24"/>
          <w:szCs w:val="24"/>
        </w:rPr>
      </w:pPr>
      <w:r w:rsidRPr="0031504A">
        <w:rPr>
          <w:rFonts w:hAnsi="標楷體" w:hint="eastAsia"/>
          <w:b/>
          <w:snapToGrid/>
        </w:rPr>
        <w:t xml:space="preserve">表1  </w:t>
      </w:r>
      <w:r w:rsidRPr="0031504A">
        <w:rPr>
          <w:rFonts w:hAnsi="標楷體" w:hint="eastAsia"/>
          <w:b/>
          <w:snapToGrid/>
          <w:color w:val="000000"/>
        </w:rPr>
        <w:t>10</w:t>
      </w:r>
      <w:r w:rsidRPr="0031504A">
        <w:rPr>
          <w:rFonts w:hAnsi="標楷體"/>
          <w:b/>
          <w:snapToGrid/>
          <w:color w:val="000000"/>
        </w:rPr>
        <w:t>4</w:t>
      </w:r>
      <w:r w:rsidRPr="0031504A">
        <w:rPr>
          <w:rFonts w:hAnsi="標楷體" w:hint="eastAsia"/>
          <w:b/>
          <w:snapToGrid/>
          <w:color w:val="000000"/>
        </w:rPr>
        <w:t>至1</w:t>
      </w:r>
      <w:r w:rsidRPr="0031504A">
        <w:rPr>
          <w:rFonts w:hAnsi="標楷體"/>
          <w:b/>
          <w:snapToGrid/>
          <w:color w:val="000000"/>
        </w:rPr>
        <w:t>1</w:t>
      </w:r>
      <w:r w:rsidR="00580A08">
        <w:rPr>
          <w:rFonts w:hAnsi="標楷體" w:hint="eastAsia"/>
          <w:b/>
          <w:snapToGrid/>
          <w:color w:val="000000"/>
        </w:rPr>
        <w:t>1</w:t>
      </w:r>
      <w:r w:rsidRPr="0031504A">
        <w:rPr>
          <w:rFonts w:hAnsi="標楷體" w:hint="eastAsia"/>
          <w:b/>
          <w:snapToGrid/>
        </w:rPr>
        <w:t>年度退撫基金</w:t>
      </w:r>
      <w:r w:rsidR="00FC04AA" w:rsidRPr="00FC04AA">
        <w:rPr>
          <w:rFonts w:hAnsi="標楷體" w:hint="eastAsia"/>
          <w:b/>
          <w:snapToGrid/>
        </w:rPr>
        <w:t>收支</w:t>
      </w:r>
      <w:r w:rsidRPr="0031504A">
        <w:rPr>
          <w:rFonts w:hAnsi="標楷體" w:hint="eastAsia"/>
          <w:b/>
          <w:snapToGrid/>
        </w:rPr>
        <w:t xml:space="preserve">運用情形表  </w:t>
      </w:r>
      <w:r w:rsidR="0012010D">
        <w:rPr>
          <w:rFonts w:hAnsi="標楷體" w:hint="eastAsia"/>
          <w:b/>
          <w:snapToGrid/>
        </w:rPr>
        <w:t xml:space="preserve">   </w:t>
      </w:r>
      <w:r w:rsidRPr="0031504A">
        <w:rPr>
          <w:rFonts w:hAnsi="標楷體" w:hint="eastAsia"/>
          <w:snapToGrid/>
          <w:sz w:val="24"/>
          <w:szCs w:val="24"/>
        </w:rPr>
        <w:t>單位：新臺幣億元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949"/>
        <w:gridCol w:w="1949"/>
        <w:gridCol w:w="1949"/>
        <w:gridCol w:w="1949"/>
      </w:tblGrid>
      <w:tr w:rsidR="007B785A" w:rsidRPr="0031504A" w:rsidTr="00B93E75">
        <w:trPr>
          <w:tblHeader/>
        </w:trPr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年度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總收入</w:t>
            </w:r>
            <w:r>
              <w:rPr>
                <w:rFonts w:hAnsi="標楷體" w:hint="eastAsia"/>
                <w:snapToGrid/>
                <w:sz w:val="24"/>
                <w:szCs w:val="24"/>
              </w:rPr>
              <w:t>(A)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總支出</w:t>
            </w:r>
            <w:r>
              <w:rPr>
                <w:rFonts w:hAnsi="標楷體" w:hint="eastAsia"/>
                <w:snapToGrid/>
                <w:sz w:val="24"/>
                <w:szCs w:val="24"/>
              </w:rPr>
              <w:t>(B)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本期餘絀</w:t>
            </w:r>
            <w:r>
              <w:rPr>
                <w:rFonts w:hAnsi="標楷體" w:hint="eastAsia"/>
                <w:snapToGrid/>
                <w:color w:val="000000"/>
                <w:sz w:val="24"/>
                <w:szCs w:val="24"/>
              </w:rPr>
              <w:t>(A-B)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本期綜合餘絀</w:t>
            </w:r>
          </w:p>
        </w:tc>
      </w:tr>
      <w:tr w:rsidR="007B785A" w:rsidRPr="0031504A" w:rsidTr="00B93E75"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104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7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0.9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60.0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89.</w:t>
            </w:r>
            <w:r w:rsidRPr="0031504A">
              <w:rPr>
                <w:rFonts w:hAnsi="標楷體" w:hint="eastAsia"/>
                <w:snapToGrid/>
                <w:sz w:val="24"/>
                <w:szCs w:val="24"/>
              </w:rPr>
              <w:t>0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-108.8</w:t>
            </w:r>
          </w:p>
        </w:tc>
      </w:tr>
      <w:tr w:rsidR="007B785A" w:rsidRPr="0031504A" w:rsidTr="00B93E75"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lastRenderedPageBreak/>
              <w:t>105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97.6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7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3.7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23.9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237.1</w:t>
            </w:r>
          </w:p>
        </w:tc>
      </w:tr>
      <w:tr w:rsidR="007B785A" w:rsidRPr="0031504A" w:rsidTr="00B93E75"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106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5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55.2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83.3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71.</w:t>
            </w:r>
            <w:r w:rsidRPr="0031504A">
              <w:rPr>
                <w:rFonts w:hAnsi="標楷體" w:hint="eastAsia"/>
                <w:snapToGrid/>
                <w:sz w:val="24"/>
                <w:szCs w:val="24"/>
              </w:rPr>
              <w:t>8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397.1</w:t>
            </w:r>
          </w:p>
        </w:tc>
      </w:tr>
      <w:tr w:rsidR="007B785A" w:rsidRPr="0031504A" w:rsidTr="00B93E75"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107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10.7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67.5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56.</w:t>
            </w:r>
            <w:r w:rsidRPr="0031504A">
              <w:rPr>
                <w:rFonts w:hAnsi="標楷體" w:hint="eastAsia"/>
                <w:snapToGrid/>
                <w:sz w:val="24"/>
                <w:szCs w:val="24"/>
              </w:rPr>
              <w:t>9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-65.4</w:t>
            </w:r>
          </w:p>
        </w:tc>
      </w:tr>
      <w:tr w:rsidR="007B785A" w:rsidRPr="0031504A" w:rsidTr="00B93E75"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108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6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76.1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9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1.4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5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84.7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612.6</w:t>
            </w:r>
          </w:p>
        </w:tc>
      </w:tr>
      <w:tr w:rsidR="007B785A" w:rsidRPr="0031504A" w:rsidTr="00B93E75"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109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6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41.2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71.7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4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69.5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499.5</w:t>
            </w:r>
          </w:p>
        </w:tc>
      </w:tr>
      <w:tr w:rsidR="007B785A" w:rsidRPr="0031504A" w:rsidTr="00B93E75"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110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7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9</w:t>
            </w:r>
            <w:r w:rsidRPr="0031504A">
              <w:rPr>
                <w:rFonts w:hAnsi="標楷體" w:hint="eastAsia"/>
                <w:snapToGrid/>
                <w:sz w:val="24"/>
                <w:szCs w:val="24"/>
              </w:rPr>
              <w:t>5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.9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5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9.7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7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36.2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795.0</w:t>
            </w:r>
          </w:p>
        </w:tc>
      </w:tr>
      <w:tr w:rsidR="007B785A" w:rsidRPr="0031504A" w:rsidTr="00B93E75">
        <w:tc>
          <w:tcPr>
            <w:tcW w:w="817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111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42.8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7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41.9</w:t>
            </w:r>
          </w:p>
        </w:tc>
        <w:tc>
          <w:tcPr>
            <w:tcW w:w="1949" w:type="dxa"/>
            <w:shd w:val="clear" w:color="auto" w:fill="auto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1504A">
              <w:rPr>
                <w:rFonts w:hAnsi="標楷體"/>
                <w:snapToGrid/>
                <w:sz w:val="24"/>
                <w:szCs w:val="24"/>
              </w:rPr>
              <w:t>-</w:t>
            </w:r>
            <w:r w:rsidRPr="0031504A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31504A">
              <w:rPr>
                <w:rFonts w:hAnsi="標楷體"/>
                <w:snapToGrid/>
                <w:sz w:val="24"/>
                <w:szCs w:val="24"/>
              </w:rPr>
              <w:t>99.1</w:t>
            </w:r>
          </w:p>
        </w:tc>
        <w:tc>
          <w:tcPr>
            <w:tcW w:w="1949" w:type="dxa"/>
          </w:tcPr>
          <w:p w:rsidR="007B785A" w:rsidRPr="0031504A" w:rsidRDefault="007B785A" w:rsidP="00B93E75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sz w:val="24"/>
                <w:szCs w:val="24"/>
              </w:rPr>
              <w:t>-478.5</w:t>
            </w:r>
          </w:p>
        </w:tc>
      </w:tr>
    </w:tbl>
    <w:p w:rsidR="007B785A" w:rsidRPr="0031504A" w:rsidRDefault="007B785A" w:rsidP="007B785A">
      <w:pPr>
        <w:spacing w:line="360" w:lineRule="exact"/>
        <w:ind w:leftChars="0" w:left="1217" w:hangingChars="500" w:hanging="1217"/>
        <w:rPr>
          <w:rFonts w:hAnsi="標楷體"/>
          <w:snapToGrid/>
          <w:sz w:val="24"/>
          <w:szCs w:val="22"/>
        </w:rPr>
      </w:pPr>
      <w:r w:rsidRPr="0031504A">
        <w:rPr>
          <w:rFonts w:hAnsi="標楷體" w:hint="eastAsia"/>
          <w:snapToGrid/>
          <w:sz w:val="24"/>
          <w:szCs w:val="22"/>
        </w:rPr>
        <w:t>說    明：</w:t>
      </w:r>
      <w:r>
        <w:rPr>
          <w:rFonts w:hAnsi="標楷體" w:hint="eastAsia"/>
          <w:snapToGrid/>
          <w:sz w:val="24"/>
          <w:szCs w:val="22"/>
        </w:rPr>
        <w:t>表內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本期綜合餘絀</w:t>
      </w:r>
      <w:r>
        <w:rPr>
          <w:rFonts w:hAnsi="標楷體" w:hint="eastAsia"/>
          <w:snapToGrid/>
          <w:color w:val="000000"/>
          <w:sz w:val="24"/>
          <w:szCs w:val="22"/>
        </w:rPr>
        <w:t>=本期餘絀+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備供出售金融資產</w:t>
      </w:r>
      <w:r>
        <w:rPr>
          <w:rFonts w:hAnsi="標楷體" w:hint="eastAsia"/>
          <w:snapToGrid/>
          <w:color w:val="000000"/>
          <w:sz w:val="24"/>
          <w:szCs w:val="22"/>
        </w:rPr>
        <w:t>未實現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評價損益。104</w:t>
      </w:r>
      <w:r w:rsidR="004C1B40">
        <w:rPr>
          <w:rFonts w:hAnsi="標楷體" w:hint="eastAsia"/>
          <w:snapToGrid/>
          <w:color w:val="000000"/>
          <w:sz w:val="24"/>
          <w:szCs w:val="22"/>
        </w:rPr>
        <w:t>至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111年度為決算數</w:t>
      </w:r>
      <w:r w:rsidRPr="0031504A">
        <w:rPr>
          <w:rFonts w:hAnsi="標楷體" w:hint="eastAsia"/>
          <w:snapToGrid/>
          <w:sz w:val="24"/>
          <w:szCs w:val="22"/>
        </w:rPr>
        <w:t>。</w:t>
      </w:r>
      <w:r>
        <w:rPr>
          <w:rFonts w:hAnsi="標楷體" w:hint="eastAsia"/>
          <w:snapToGrid/>
          <w:sz w:val="24"/>
          <w:szCs w:val="22"/>
        </w:rPr>
        <w:t>表內數據或有小數點尾差。</w:t>
      </w:r>
    </w:p>
    <w:p w:rsidR="007B785A" w:rsidRDefault="007B785A" w:rsidP="00580A08">
      <w:pPr>
        <w:spacing w:line="360" w:lineRule="exact"/>
        <w:ind w:leftChars="0" w:left="1217" w:hangingChars="500" w:hanging="1217"/>
      </w:pPr>
      <w:r w:rsidRPr="0031504A">
        <w:rPr>
          <w:rFonts w:hAnsi="標楷體" w:hint="eastAsia"/>
          <w:snapToGrid/>
          <w:sz w:val="24"/>
          <w:szCs w:val="22"/>
        </w:rPr>
        <w:t>資料來源：</w:t>
      </w:r>
      <w:r w:rsidRPr="00580A08">
        <w:rPr>
          <w:rFonts w:hAnsi="標楷體" w:hint="eastAsia"/>
          <w:snapToGrid/>
          <w:color w:val="000000"/>
          <w:sz w:val="24"/>
          <w:szCs w:val="22"/>
        </w:rPr>
        <w:t>111</w:t>
      </w:r>
      <w:r w:rsidRPr="0031504A">
        <w:rPr>
          <w:rFonts w:hAnsi="標楷體" w:hint="eastAsia"/>
          <w:snapToGrid/>
          <w:sz w:val="24"/>
          <w:szCs w:val="22"/>
        </w:rPr>
        <w:t>年公務人員退休撫卹基金統計年報及各年度決算書。</w:t>
      </w:r>
    </w:p>
    <w:bookmarkEnd w:id="36"/>
    <w:bookmarkEnd w:id="37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sectPr w:rsidR="007B785A" w:rsidSect="00F71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873" w:rsidRDefault="007E5873" w:rsidP="000855B4">
      <w:pPr>
        <w:ind w:left="560" w:firstLine="560"/>
      </w:pPr>
      <w:r>
        <w:separator/>
      </w:r>
    </w:p>
  </w:endnote>
  <w:endnote w:type="continuationSeparator" w:id="0">
    <w:p w:rsidR="007E5873" w:rsidRDefault="007E5873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Default="009418BB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418BB" w:rsidRDefault="009418BB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Pr="00E75796" w:rsidRDefault="009418BB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616714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418BB" w:rsidRPr="00ED4235" w:rsidRDefault="009418BB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Default="009418BB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873" w:rsidRDefault="007E5873" w:rsidP="00CD278F">
      <w:pPr>
        <w:ind w:leftChars="205" w:left="574" w:firstLine="560"/>
      </w:pPr>
      <w:r>
        <w:separator/>
      </w:r>
    </w:p>
  </w:footnote>
  <w:footnote w:type="continuationSeparator" w:id="0">
    <w:p w:rsidR="007E5873" w:rsidRDefault="007E5873" w:rsidP="000855B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Default="009418BB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18BB" w:rsidRDefault="009418BB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18BB" w:rsidRDefault="009418BB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18BB" w:rsidRDefault="009418BB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418BB" w:rsidRDefault="009418BB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Pr="00ED4235" w:rsidRDefault="009418BB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Default="009418BB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795"/>
    <w:rsid w:val="0002744A"/>
    <w:rsid w:val="00027932"/>
    <w:rsid w:val="00030013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CA7"/>
    <w:rsid w:val="00035287"/>
    <w:rsid w:val="00035507"/>
    <w:rsid w:val="00035F57"/>
    <w:rsid w:val="00036A64"/>
    <w:rsid w:val="00036E8E"/>
    <w:rsid w:val="000375A8"/>
    <w:rsid w:val="000377C4"/>
    <w:rsid w:val="00040C66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42F8"/>
    <w:rsid w:val="00096AAF"/>
    <w:rsid w:val="000A0388"/>
    <w:rsid w:val="000A0909"/>
    <w:rsid w:val="000A0AE7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786"/>
    <w:rsid w:val="000A58DC"/>
    <w:rsid w:val="000A59C9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E4A"/>
    <w:rsid w:val="000B31A4"/>
    <w:rsid w:val="000B3344"/>
    <w:rsid w:val="000B3B75"/>
    <w:rsid w:val="000B4109"/>
    <w:rsid w:val="000B5666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23B5"/>
    <w:rsid w:val="000D2FBE"/>
    <w:rsid w:val="000D3312"/>
    <w:rsid w:val="000D359B"/>
    <w:rsid w:val="000D3C94"/>
    <w:rsid w:val="000D3CFE"/>
    <w:rsid w:val="000D3F6D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CD2"/>
    <w:rsid w:val="0010041F"/>
    <w:rsid w:val="00100629"/>
    <w:rsid w:val="00100F0D"/>
    <w:rsid w:val="0010178B"/>
    <w:rsid w:val="00101BAF"/>
    <w:rsid w:val="00101E61"/>
    <w:rsid w:val="00102567"/>
    <w:rsid w:val="001028D2"/>
    <w:rsid w:val="00103000"/>
    <w:rsid w:val="00103451"/>
    <w:rsid w:val="00104B09"/>
    <w:rsid w:val="00104E33"/>
    <w:rsid w:val="001055C3"/>
    <w:rsid w:val="0010630C"/>
    <w:rsid w:val="001076B5"/>
    <w:rsid w:val="00107B03"/>
    <w:rsid w:val="00110C23"/>
    <w:rsid w:val="00110CDD"/>
    <w:rsid w:val="00110F3E"/>
    <w:rsid w:val="00110FB9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EE6"/>
    <w:rsid w:val="001316A8"/>
    <w:rsid w:val="00132001"/>
    <w:rsid w:val="001320B4"/>
    <w:rsid w:val="001321F8"/>
    <w:rsid w:val="00132899"/>
    <w:rsid w:val="001328A3"/>
    <w:rsid w:val="00132AF0"/>
    <w:rsid w:val="001331DA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FAF"/>
    <w:rsid w:val="00167507"/>
    <w:rsid w:val="001702C0"/>
    <w:rsid w:val="001702C3"/>
    <w:rsid w:val="0017060B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936"/>
    <w:rsid w:val="001C4A75"/>
    <w:rsid w:val="001C55A4"/>
    <w:rsid w:val="001C5C97"/>
    <w:rsid w:val="001C6008"/>
    <w:rsid w:val="001C6312"/>
    <w:rsid w:val="001C65A2"/>
    <w:rsid w:val="001C68ED"/>
    <w:rsid w:val="001C6B6E"/>
    <w:rsid w:val="001C7002"/>
    <w:rsid w:val="001C7340"/>
    <w:rsid w:val="001C75A2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2438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A40"/>
    <w:rsid w:val="001F2D78"/>
    <w:rsid w:val="001F326A"/>
    <w:rsid w:val="001F3758"/>
    <w:rsid w:val="001F3763"/>
    <w:rsid w:val="001F3D93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408"/>
    <w:rsid w:val="0022756E"/>
    <w:rsid w:val="00230DA8"/>
    <w:rsid w:val="00230EE0"/>
    <w:rsid w:val="00231C4F"/>
    <w:rsid w:val="00231CD5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80B"/>
    <w:rsid w:val="00243C1C"/>
    <w:rsid w:val="00243D5D"/>
    <w:rsid w:val="00245961"/>
    <w:rsid w:val="00245C41"/>
    <w:rsid w:val="002469C5"/>
    <w:rsid w:val="002469EF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75C6"/>
    <w:rsid w:val="002776E6"/>
    <w:rsid w:val="00277CEF"/>
    <w:rsid w:val="00280122"/>
    <w:rsid w:val="0028026A"/>
    <w:rsid w:val="00280810"/>
    <w:rsid w:val="00281375"/>
    <w:rsid w:val="002819FA"/>
    <w:rsid w:val="00282C9A"/>
    <w:rsid w:val="002831B5"/>
    <w:rsid w:val="0028349B"/>
    <w:rsid w:val="002836DA"/>
    <w:rsid w:val="00283F38"/>
    <w:rsid w:val="00284989"/>
    <w:rsid w:val="00285145"/>
    <w:rsid w:val="00285185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5409"/>
    <w:rsid w:val="002959C3"/>
    <w:rsid w:val="00295CF8"/>
    <w:rsid w:val="00296146"/>
    <w:rsid w:val="0029664A"/>
    <w:rsid w:val="00296AB1"/>
    <w:rsid w:val="00297259"/>
    <w:rsid w:val="0029732A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D55"/>
    <w:rsid w:val="002A61AC"/>
    <w:rsid w:val="002A6D6A"/>
    <w:rsid w:val="002A7503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324"/>
    <w:rsid w:val="00302655"/>
    <w:rsid w:val="003026B2"/>
    <w:rsid w:val="00303433"/>
    <w:rsid w:val="00303EE8"/>
    <w:rsid w:val="00304712"/>
    <w:rsid w:val="00304A07"/>
    <w:rsid w:val="00304F13"/>
    <w:rsid w:val="00305D77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CA9"/>
    <w:rsid w:val="00315E0C"/>
    <w:rsid w:val="003161EB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6123"/>
    <w:rsid w:val="003562B8"/>
    <w:rsid w:val="003562FA"/>
    <w:rsid w:val="00356FCD"/>
    <w:rsid w:val="0035714D"/>
    <w:rsid w:val="00357495"/>
    <w:rsid w:val="00357570"/>
    <w:rsid w:val="00357838"/>
    <w:rsid w:val="00357C67"/>
    <w:rsid w:val="00357CBA"/>
    <w:rsid w:val="00362452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7BE"/>
    <w:rsid w:val="00421E09"/>
    <w:rsid w:val="00422659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BD4"/>
    <w:rsid w:val="00450567"/>
    <w:rsid w:val="00450D4B"/>
    <w:rsid w:val="00451A99"/>
    <w:rsid w:val="0045222B"/>
    <w:rsid w:val="00452DA0"/>
    <w:rsid w:val="00452DBA"/>
    <w:rsid w:val="00452F26"/>
    <w:rsid w:val="00453529"/>
    <w:rsid w:val="0045357B"/>
    <w:rsid w:val="00453F2A"/>
    <w:rsid w:val="0045465F"/>
    <w:rsid w:val="00454778"/>
    <w:rsid w:val="00454BF6"/>
    <w:rsid w:val="00454F29"/>
    <w:rsid w:val="00455152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EA3"/>
    <w:rsid w:val="00472D32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F99"/>
    <w:rsid w:val="004813D6"/>
    <w:rsid w:val="00481A01"/>
    <w:rsid w:val="00482B8C"/>
    <w:rsid w:val="00482BDE"/>
    <w:rsid w:val="0048301C"/>
    <w:rsid w:val="004834EA"/>
    <w:rsid w:val="00483E8A"/>
    <w:rsid w:val="00483FEA"/>
    <w:rsid w:val="00484357"/>
    <w:rsid w:val="004848A0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5079"/>
    <w:rsid w:val="004A556D"/>
    <w:rsid w:val="004A563F"/>
    <w:rsid w:val="004A58D2"/>
    <w:rsid w:val="004A5E77"/>
    <w:rsid w:val="004A61B6"/>
    <w:rsid w:val="004A63CF"/>
    <w:rsid w:val="004A685F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105"/>
    <w:rsid w:val="00510FB0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A1B"/>
    <w:rsid w:val="005210BF"/>
    <w:rsid w:val="005215F0"/>
    <w:rsid w:val="0052174B"/>
    <w:rsid w:val="00521D11"/>
    <w:rsid w:val="00522112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23F5"/>
    <w:rsid w:val="00532913"/>
    <w:rsid w:val="00532B45"/>
    <w:rsid w:val="005339A5"/>
    <w:rsid w:val="00533AF7"/>
    <w:rsid w:val="00533E26"/>
    <w:rsid w:val="005341E6"/>
    <w:rsid w:val="00534AA7"/>
    <w:rsid w:val="0053529D"/>
    <w:rsid w:val="0053551D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517"/>
    <w:rsid w:val="00572A5B"/>
    <w:rsid w:val="00572CB6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3AB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714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6BF3"/>
    <w:rsid w:val="00626EC4"/>
    <w:rsid w:val="00626EF0"/>
    <w:rsid w:val="0062764B"/>
    <w:rsid w:val="00627AFF"/>
    <w:rsid w:val="00630305"/>
    <w:rsid w:val="00630720"/>
    <w:rsid w:val="00630724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4B2"/>
    <w:rsid w:val="006B7CE3"/>
    <w:rsid w:val="006C005F"/>
    <w:rsid w:val="006C0394"/>
    <w:rsid w:val="006C0573"/>
    <w:rsid w:val="006C0BFD"/>
    <w:rsid w:val="006C0E45"/>
    <w:rsid w:val="006C1412"/>
    <w:rsid w:val="006C1482"/>
    <w:rsid w:val="006C15E4"/>
    <w:rsid w:val="006C1BFA"/>
    <w:rsid w:val="006C1DFE"/>
    <w:rsid w:val="006C1F15"/>
    <w:rsid w:val="006C2310"/>
    <w:rsid w:val="006C26C9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F06"/>
    <w:rsid w:val="006D0F7A"/>
    <w:rsid w:val="006D1523"/>
    <w:rsid w:val="006D1597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6544"/>
    <w:rsid w:val="006F68FB"/>
    <w:rsid w:val="006F6C6B"/>
    <w:rsid w:val="006F6D1F"/>
    <w:rsid w:val="006F6FA8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76E"/>
    <w:rsid w:val="00733AF6"/>
    <w:rsid w:val="00733E07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406E0"/>
    <w:rsid w:val="00740A96"/>
    <w:rsid w:val="00741F89"/>
    <w:rsid w:val="00742289"/>
    <w:rsid w:val="00742569"/>
    <w:rsid w:val="00742B2F"/>
    <w:rsid w:val="00742D37"/>
    <w:rsid w:val="0074399A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C54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5E9"/>
    <w:rsid w:val="0077295E"/>
    <w:rsid w:val="00772CAC"/>
    <w:rsid w:val="00773062"/>
    <w:rsid w:val="0077323B"/>
    <w:rsid w:val="00773A0E"/>
    <w:rsid w:val="0077466B"/>
    <w:rsid w:val="007748BB"/>
    <w:rsid w:val="007751A8"/>
    <w:rsid w:val="00775433"/>
    <w:rsid w:val="00775467"/>
    <w:rsid w:val="0077558E"/>
    <w:rsid w:val="0077596E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58C9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FC8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50E"/>
    <w:rsid w:val="0080589E"/>
    <w:rsid w:val="008065E6"/>
    <w:rsid w:val="00806BF9"/>
    <w:rsid w:val="0080720C"/>
    <w:rsid w:val="008072ED"/>
    <w:rsid w:val="00807340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7D8"/>
    <w:rsid w:val="00823C11"/>
    <w:rsid w:val="0082400A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FCF"/>
    <w:rsid w:val="00827BB4"/>
    <w:rsid w:val="00827F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639E"/>
    <w:rsid w:val="00846616"/>
    <w:rsid w:val="00846AE7"/>
    <w:rsid w:val="008473AF"/>
    <w:rsid w:val="00850D20"/>
    <w:rsid w:val="00851439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726D"/>
    <w:rsid w:val="008972F9"/>
    <w:rsid w:val="008A014B"/>
    <w:rsid w:val="008A0278"/>
    <w:rsid w:val="008A0A08"/>
    <w:rsid w:val="008A11AE"/>
    <w:rsid w:val="008A1429"/>
    <w:rsid w:val="008A15FC"/>
    <w:rsid w:val="008A1D18"/>
    <w:rsid w:val="008A2281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F76"/>
    <w:rsid w:val="008D15C2"/>
    <w:rsid w:val="008D1E37"/>
    <w:rsid w:val="008D1E41"/>
    <w:rsid w:val="008D27D8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F2"/>
    <w:rsid w:val="008F3C1C"/>
    <w:rsid w:val="008F3ED7"/>
    <w:rsid w:val="008F4046"/>
    <w:rsid w:val="008F6831"/>
    <w:rsid w:val="009000DA"/>
    <w:rsid w:val="009005E2"/>
    <w:rsid w:val="00900DD6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1224"/>
    <w:rsid w:val="009513AA"/>
    <w:rsid w:val="009528BE"/>
    <w:rsid w:val="00952B68"/>
    <w:rsid w:val="00953108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5B9F"/>
    <w:rsid w:val="00965CAD"/>
    <w:rsid w:val="00966846"/>
    <w:rsid w:val="009677AB"/>
    <w:rsid w:val="009678B8"/>
    <w:rsid w:val="00967A4B"/>
    <w:rsid w:val="00967D1B"/>
    <w:rsid w:val="00967D22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1015"/>
    <w:rsid w:val="009A32E5"/>
    <w:rsid w:val="009A33D3"/>
    <w:rsid w:val="009A3732"/>
    <w:rsid w:val="009A38F7"/>
    <w:rsid w:val="009A3EF2"/>
    <w:rsid w:val="009A5105"/>
    <w:rsid w:val="009A59CD"/>
    <w:rsid w:val="009A5DD9"/>
    <w:rsid w:val="009A7585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DE6"/>
    <w:rsid w:val="009D239A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896"/>
    <w:rsid w:val="00A21DB1"/>
    <w:rsid w:val="00A22EBD"/>
    <w:rsid w:val="00A239D4"/>
    <w:rsid w:val="00A23DE5"/>
    <w:rsid w:val="00A23FDA"/>
    <w:rsid w:val="00A24183"/>
    <w:rsid w:val="00A24617"/>
    <w:rsid w:val="00A24940"/>
    <w:rsid w:val="00A25213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207F"/>
    <w:rsid w:val="00A42A72"/>
    <w:rsid w:val="00A4390B"/>
    <w:rsid w:val="00A4391A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4FF"/>
    <w:rsid w:val="00A63392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2302"/>
    <w:rsid w:val="00A8398F"/>
    <w:rsid w:val="00A83F8C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82"/>
    <w:rsid w:val="00B050CD"/>
    <w:rsid w:val="00B05277"/>
    <w:rsid w:val="00B053B6"/>
    <w:rsid w:val="00B05719"/>
    <w:rsid w:val="00B05ABA"/>
    <w:rsid w:val="00B060A9"/>
    <w:rsid w:val="00B06B20"/>
    <w:rsid w:val="00B079C6"/>
    <w:rsid w:val="00B07B2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4645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721"/>
    <w:rsid w:val="00B25876"/>
    <w:rsid w:val="00B25DDD"/>
    <w:rsid w:val="00B26C90"/>
    <w:rsid w:val="00B26F44"/>
    <w:rsid w:val="00B27609"/>
    <w:rsid w:val="00B301D1"/>
    <w:rsid w:val="00B31232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F40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98F"/>
    <w:rsid w:val="00BA3B79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A59"/>
    <w:rsid w:val="00BD587F"/>
    <w:rsid w:val="00BD5F5A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408B"/>
    <w:rsid w:val="00BF486C"/>
    <w:rsid w:val="00BF49DC"/>
    <w:rsid w:val="00BF4ED8"/>
    <w:rsid w:val="00BF57FE"/>
    <w:rsid w:val="00BF5AEC"/>
    <w:rsid w:val="00BF5C3B"/>
    <w:rsid w:val="00BF60B8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208A8"/>
    <w:rsid w:val="00C2197B"/>
    <w:rsid w:val="00C21AD3"/>
    <w:rsid w:val="00C22453"/>
    <w:rsid w:val="00C22604"/>
    <w:rsid w:val="00C227A8"/>
    <w:rsid w:val="00C232FA"/>
    <w:rsid w:val="00C23439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AB8"/>
    <w:rsid w:val="00C531D5"/>
    <w:rsid w:val="00C533D8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BC1"/>
    <w:rsid w:val="00C63022"/>
    <w:rsid w:val="00C6372B"/>
    <w:rsid w:val="00C63977"/>
    <w:rsid w:val="00C63C15"/>
    <w:rsid w:val="00C63CA9"/>
    <w:rsid w:val="00C645BC"/>
    <w:rsid w:val="00C64F81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20BC"/>
    <w:rsid w:val="00C82A0E"/>
    <w:rsid w:val="00C82E30"/>
    <w:rsid w:val="00C82EB7"/>
    <w:rsid w:val="00C834D7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902"/>
    <w:rsid w:val="00D039E8"/>
    <w:rsid w:val="00D03F19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43B4"/>
    <w:rsid w:val="00D34403"/>
    <w:rsid w:val="00D35090"/>
    <w:rsid w:val="00D35966"/>
    <w:rsid w:val="00D3636A"/>
    <w:rsid w:val="00D36F2A"/>
    <w:rsid w:val="00D36F43"/>
    <w:rsid w:val="00D371A6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E2"/>
    <w:rsid w:val="00DB058C"/>
    <w:rsid w:val="00DB1A2A"/>
    <w:rsid w:val="00DB26C9"/>
    <w:rsid w:val="00DB2F24"/>
    <w:rsid w:val="00DB2FD5"/>
    <w:rsid w:val="00DB3725"/>
    <w:rsid w:val="00DB3AF5"/>
    <w:rsid w:val="00DB4427"/>
    <w:rsid w:val="00DB4746"/>
    <w:rsid w:val="00DB4C84"/>
    <w:rsid w:val="00DB514C"/>
    <w:rsid w:val="00DB54A4"/>
    <w:rsid w:val="00DB66AF"/>
    <w:rsid w:val="00DB67E1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C2C"/>
    <w:rsid w:val="00DD7086"/>
    <w:rsid w:val="00DD79F3"/>
    <w:rsid w:val="00DD7BEC"/>
    <w:rsid w:val="00DD7E49"/>
    <w:rsid w:val="00DE05B7"/>
    <w:rsid w:val="00DE0C18"/>
    <w:rsid w:val="00DE1CD6"/>
    <w:rsid w:val="00DE2324"/>
    <w:rsid w:val="00DE25C0"/>
    <w:rsid w:val="00DE263B"/>
    <w:rsid w:val="00DE3522"/>
    <w:rsid w:val="00DE35ED"/>
    <w:rsid w:val="00DE3B03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900"/>
    <w:rsid w:val="00DF21D2"/>
    <w:rsid w:val="00DF3234"/>
    <w:rsid w:val="00DF34DC"/>
    <w:rsid w:val="00DF3686"/>
    <w:rsid w:val="00DF4371"/>
    <w:rsid w:val="00DF524B"/>
    <w:rsid w:val="00DF5681"/>
    <w:rsid w:val="00DF6BD5"/>
    <w:rsid w:val="00DF7181"/>
    <w:rsid w:val="00DF758F"/>
    <w:rsid w:val="00DF796D"/>
    <w:rsid w:val="00DF7CC1"/>
    <w:rsid w:val="00DF7CD6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61F7"/>
    <w:rsid w:val="00E266C4"/>
    <w:rsid w:val="00E271D5"/>
    <w:rsid w:val="00E274D6"/>
    <w:rsid w:val="00E27B36"/>
    <w:rsid w:val="00E27B50"/>
    <w:rsid w:val="00E27C5B"/>
    <w:rsid w:val="00E307D6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95A"/>
    <w:rsid w:val="00E70B1B"/>
    <w:rsid w:val="00E7116D"/>
    <w:rsid w:val="00E71560"/>
    <w:rsid w:val="00E71569"/>
    <w:rsid w:val="00E733E9"/>
    <w:rsid w:val="00E73CB1"/>
    <w:rsid w:val="00E742A2"/>
    <w:rsid w:val="00E74414"/>
    <w:rsid w:val="00E74B43"/>
    <w:rsid w:val="00E75390"/>
    <w:rsid w:val="00E75796"/>
    <w:rsid w:val="00E76D59"/>
    <w:rsid w:val="00E77171"/>
    <w:rsid w:val="00E77C27"/>
    <w:rsid w:val="00E80458"/>
    <w:rsid w:val="00E80EDC"/>
    <w:rsid w:val="00E81E6E"/>
    <w:rsid w:val="00E82CA0"/>
    <w:rsid w:val="00E83EEB"/>
    <w:rsid w:val="00E84183"/>
    <w:rsid w:val="00E84637"/>
    <w:rsid w:val="00E85863"/>
    <w:rsid w:val="00E858D4"/>
    <w:rsid w:val="00E85E95"/>
    <w:rsid w:val="00E85FF8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637E"/>
    <w:rsid w:val="00EC6780"/>
    <w:rsid w:val="00EC6AB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A79"/>
    <w:rsid w:val="00ED4A93"/>
    <w:rsid w:val="00ED4BD4"/>
    <w:rsid w:val="00ED53A3"/>
    <w:rsid w:val="00ED5D1F"/>
    <w:rsid w:val="00ED5D8D"/>
    <w:rsid w:val="00ED6259"/>
    <w:rsid w:val="00ED6BB2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8EE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1AA"/>
    <w:rsid w:val="00FA3846"/>
    <w:rsid w:val="00FA40F4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D8C"/>
    <w:rsid w:val="00FD17AF"/>
    <w:rsid w:val="00FD1862"/>
    <w:rsid w:val="00FD271F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EDB8160-190A-4281-A7B9-42353217C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 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66B98-8B31-4641-832A-2EBBA8E7F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Links>
    <vt:vector size="30" baseType="variant"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_Toc162939716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_Toc162939715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_Toc162939714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_Toc162939713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_Toc162939712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2024-04-03T02:59:00Z</cp:lastPrinted>
  <dcterms:created xsi:type="dcterms:W3CDTF">2024-04-03T06:50:00Z</dcterms:created>
  <dcterms:modified xsi:type="dcterms:W3CDTF">2024-04-03T06:50:00Z</dcterms:modified>
</cp:coreProperties>
</file>