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B12" w:rsidRPr="006668B2" w:rsidRDefault="00D02E05" w:rsidP="00D02E05">
      <w:pPr>
        <w:pStyle w:val="a9"/>
        <w:rPr>
          <w:rFonts w:hint="eastAsia"/>
        </w:rPr>
      </w:pPr>
      <w:bookmarkStart w:id="0" w:name="_GoBack"/>
      <w:bookmarkEnd w:id="0"/>
      <w:r w:rsidRPr="006668B2">
        <w:rPr>
          <w:rFonts w:hint="eastAsia"/>
          <w:lang w:eastAsia="zh-HK"/>
        </w:rPr>
        <w:t>內政部主管非營業基金</w:t>
      </w:r>
      <w:r w:rsidR="00EC7F8F">
        <w:rPr>
          <w:rFonts w:hint="eastAsia"/>
        </w:rPr>
        <w:t>1</w:t>
      </w:r>
      <w:r w:rsidR="00EC7F8F">
        <w:t>1</w:t>
      </w:r>
      <w:r w:rsidR="000E2743">
        <w:t>1</w:t>
      </w:r>
      <w:r w:rsidRPr="006668B2">
        <w:rPr>
          <w:rFonts w:hint="eastAsia"/>
          <w:lang w:eastAsia="zh-HK"/>
        </w:rPr>
        <w:t>年度決算評估報告</w:t>
      </w:r>
    </w:p>
    <w:p w:rsidR="00001DC6" w:rsidRPr="00C10B17" w:rsidRDefault="00001DC6" w:rsidP="000E2743">
      <w:pPr>
        <w:pStyle w:val="14"/>
        <w:ind w:left="567" w:hanging="567"/>
      </w:pPr>
      <w:bookmarkStart w:id="1" w:name="_Toc528827788"/>
      <w:bookmarkStart w:id="2" w:name="_Toc528834763"/>
      <w:bookmarkStart w:id="3" w:name="_Toc528179769"/>
      <w:bookmarkStart w:id="4" w:name="_Toc528178957"/>
      <w:bookmarkStart w:id="5" w:name="_Toc528178439"/>
      <w:bookmarkStart w:id="6" w:name="_Toc496271150"/>
      <w:bookmarkStart w:id="7" w:name="_Toc54342900"/>
      <w:bookmarkStart w:id="8" w:name="_Toc54343700"/>
      <w:bookmarkStart w:id="9" w:name="_Toc54343986"/>
      <w:bookmarkStart w:id="10" w:name="_Toc116221373"/>
      <w:bookmarkStart w:id="11" w:name="_Toc116222099"/>
      <w:bookmarkStart w:id="12" w:name="_Toc117759484"/>
      <w:bookmarkStart w:id="13" w:name="_Toc54276182"/>
      <w:bookmarkStart w:id="14" w:name="_Toc87264189"/>
      <w:bookmarkStart w:id="15" w:name="_Toc162862318"/>
      <w:r>
        <w:rPr>
          <w:rFonts w:hint="eastAsia"/>
        </w:rPr>
        <w:t>三</w:t>
      </w:r>
      <w:r w:rsidRPr="00C10B17">
        <w:rPr>
          <w:rFonts w:hint="eastAsia"/>
          <w:lang w:eastAsia="zh-HK"/>
        </w:rPr>
        <w:t>、</w:t>
      </w:r>
      <w:r w:rsidRPr="00E818DD">
        <w:rPr>
          <w:rFonts w:hint="eastAsia"/>
          <w:lang w:eastAsia="zh-HK"/>
        </w:rPr>
        <w:t>中央都市更新基金</w:t>
      </w:r>
      <w:r>
        <w:rPr>
          <w:rFonts w:hint="eastAsia"/>
        </w:rPr>
        <w:t>辦理</w:t>
      </w:r>
      <w:r w:rsidRPr="001913C1">
        <w:rPr>
          <w:rFonts w:hint="eastAsia"/>
          <w:lang w:eastAsia="zh-HK"/>
        </w:rPr>
        <w:t>「都市更新發展計畫(108-111年)」</w:t>
      </w:r>
      <w:r>
        <w:rPr>
          <w:rFonts w:hint="eastAsia"/>
        </w:rPr>
        <w:t>，各年度預算執行率均欠佳，</w:t>
      </w:r>
      <w:r w:rsidRPr="00C10B17">
        <w:rPr>
          <w:rFonts w:hint="eastAsia"/>
        </w:rPr>
        <w:t>且</w:t>
      </w:r>
      <w:r w:rsidRPr="00F85AEA">
        <w:rPr>
          <w:rFonts w:hint="eastAsia"/>
        </w:rPr>
        <w:t>甚多項目</w:t>
      </w:r>
      <w:r w:rsidRPr="0003407B">
        <w:rPr>
          <w:rFonts w:hint="eastAsia"/>
        </w:rPr>
        <w:t>實際績效</w:t>
      </w:r>
      <w:r>
        <w:rPr>
          <w:rFonts w:hint="eastAsia"/>
        </w:rPr>
        <w:t>未達成</w:t>
      </w:r>
      <w:r w:rsidRPr="00F85AEA">
        <w:rPr>
          <w:rFonts w:hint="eastAsia"/>
        </w:rPr>
        <w:t>預期目標</w:t>
      </w:r>
      <w:r>
        <w:rPr>
          <w:rFonts w:hint="eastAsia"/>
        </w:rPr>
        <w:t>，允宜積極</w:t>
      </w:r>
      <w:r w:rsidRPr="00FB33A3">
        <w:rPr>
          <w:rFonts w:hint="eastAsia"/>
        </w:rPr>
        <w:t>研謀改善</w:t>
      </w:r>
      <w:bookmarkEnd w:id="15"/>
    </w:p>
    <w:p w:rsidR="00001DC6" w:rsidRPr="00F85AEA" w:rsidRDefault="00001DC6" w:rsidP="000E2743">
      <w:pPr>
        <w:snapToGrid w:val="0"/>
        <w:ind w:left="566" w:firstLine="566"/>
        <w:rPr>
          <w:snapToGrid/>
          <w:color w:val="FF0000"/>
        </w:rPr>
      </w:pPr>
      <w:r w:rsidRPr="00C10B17">
        <w:rPr>
          <w:rFonts w:hint="eastAsia"/>
        </w:rPr>
        <w:t>中央都</w:t>
      </w:r>
      <w:r>
        <w:rPr>
          <w:rFonts w:hint="eastAsia"/>
        </w:rPr>
        <w:t>市</w:t>
      </w:r>
      <w:r w:rsidRPr="00C10B17">
        <w:rPr>
          <w:rFonts w:hint="eastAsia"/>
        </w:rPr>
        <w:t>更</w:t>
      </w:r>
      <w:r>
        <w:rPr>
          <w:rFonts w:hint="eastAsia"/>
        </w:rPr>
        <w:t>新</w:t>
      </w:r>
      <w:r w:rsidRPr="00C10B17">
        <w:rPr>
          <w:rFonts w:hint="eastAsia"/>
        </w:rPr>
        <w:t>基金</w:t>
      </w:r>
      <w:r>
        <w:rPr>
          <w:rFonts w:hint="eastAsia"/>
        </w:rPr>
        <w:t>1</w:t>
      </w:r>
      <w:r>
        <w:t>11</w:t>
      </w:r>
      <w:r w:rsidRPr="00C10B17">
        <w:rPr>
          <w:rFonts w:hint="eastAsia"/>
          <w:lang w:eastAsia="zh-HK"/>
        </w:rPr>
        <w:t>年度</w:t>
      </w:r>
      <w:r w:rsidRPr="00F85AEA">
        <w:rPr>
          <w:rFonts w:hint="eastAsia"/>
        </w:rPr>
        <w:t>「都市更新發展計畫(108-111年)」</w:t>
      </w:r>
      <w:r>
        <w:rPr>
          <w:rFonts w:hint="eastAsia"/>
        </w:rPr>
        <w:t>預算數</w:t>
      </w:r>
      <w:r w:rsidRPr="00CA3B04">
        <w:rPr>
          <w:rFonts w:hint="eastAsia"/>
        </w:rPr>
        <w:t>1億3</w:t>
      </w:r>
      <w:r w:rsidRPr="00CA3B04">
        <w:t>,</w:t>
      </w:r>
      <w:r w:rsidRPr="00CA3B04">
        <w:rPr>
          <w:rFonts w:hint="eastAsia"/>
        </w:rPr>
        <w:t>9</w:t>
      </w:r>
      <w:r w:rsidRPr="00CA3B04">
        <w:t>04</w:t>
      </w:r>
      <w:r w:rsidRPr="00CA3B04">
        <w:rPr>
          <w:rFonts w:hint="eastAsia"/>
        </w:rPr>
        <w:t>萬8千元、決算數7</w:t>
      </w:r>
      <w:r w:rsidRPr="00CA3B04">
        <w:t>,165</w:t>
      </w:r>
      <w:r w:rsidRPr="00CA3B04">
        <w:rPr>
          <w:rFonts w:hint="eastAsia"/>
        </w:rPr>
        <w:t>萬1千元，預算執行率5</w:t>
      </w:r>
      <w:r w:rsidRPr="00CA3B04">
        <w:t>1.53%</w:t>
      </w:r>
      <w:r w:rsidRPr="00CA3B04">
        <w:rPr>
          <w:rFonts w:hint="eastAsia"/>
          <w:snapToGrid/>
          <w:lang w:eastAsia="zh-HK"/>
        </w:rPr>
        <w:t>。經查：</w:t>
      </w:r>
    </w:p>
    <w:p w:rsidR="00001DC6" w:rsidRPr="00C10B17" w:rsidRDefault="00001DC6" w:rsidP="000E2743">
      <w:pPr>
        <w:pStyle w:val="a4"/>
        <w:ind w:left="849" w:hanging="283"/>
        <w:rPr>
          <w:b/>
        </w:rPr>
      </w:pPr>
      <w:r w:rsidRPr="00C10B17">
        <w:rPr>
          <w:rFonts w:hint="eastAsia"/>
          <w:b/>
        </w:rPr>
        <w:t>(</w:t>
      </w:r>
      <w:r w:rsidRPr="00C10B17">
        <w:rPr>
          <w:rFonts w:hint="eastAsia"/>
          <w:b/>
          <w:lang w:eastAsia="zh-HK"/>
        </w:rPr>
        <w:t>一</w:t>
      </w:r>
      <w:r w:rsidRPr="00C10B17">
        <w:rPr>
          <w:rFonts w:hint="eastAsia"/>
          <w:b/>
        </w:rPr>
        <w:t>)</w:t>
      </w:r>
      <w:r w:rsidRPr="007B4FA6">
        <w:rPr>
          <w:rFonts w:hint="eastAsia"/>
          <w:b/>
        </w:rPr>
        <w:t>「都市更新發展計畫(108-111年)」</w:t>
      </w:r>
      <w:r>
        <w:rPr>
          <w:rFonts w:hint="eastAsia"/>
          <w:b/>
        </w:rPr>
        <w:t>各年度預算執行率均偏低</w:t>
      </w:r>
    </w:p>
    <w:p w:rsidR="00001DC6" w:rsidRPr="00C10B17" w:rsidRDefault="00001DC6" w:rsidP="000E2743">
      <w:pPr>
        <w:pStyle w:val="22"/>
        <w:ind w:left="850" w:firstLine="566"/>
      </w:pPr>
      <w:r w:rsidRPr="00C10B17">
        <w:rPr>
          <w:rFonts w:hint="eastAsia"/>
          <w:snapToGrid/>
          <w:lang w:eastAsia="zh-HK"/>
        </w:rPr>
        <w:t>為促進都市土地有計畫之再開發利用，我國於87年11月11日</w:t>
      </w:r>
      <w:r>
        <w:rPr>
          <w:rFonts w:hint="eastAsia"/>
          <w:snapToGrid/>
        </w:rPr>
        <w:t>制定</w:t>
      </w:r>
      <w:r w:rsidRPr="00C10B17">
        <w:rPr>
          <w:rFonts w:hint="eastAsia"/>
          <w:snapToGrid/>
          <w:lang w:eastAsia="zh-HK"/>
        </w:rPr>
        <w:t>都市更新條例，並歷經多次修法，近期</w:t>
      </w:r>
      <w:r w:rsidRPr="00C10B17">
        <w:rPr>
          <w:rFonts w:hint="eastAsia"/>
          <w:snapToGrid/>
        </w:rPr>
        <w:t>於110年5月28日修正公布</w:t>
      </w:r>
      <w:r w:rsidRPr="00C10B17">
        <w:rPr>
          <w:rFonts w:hint="eastAsia"/>
          <w:snapToGrid/>
          <w:lang w:eastAsia="zh-HK"/>
        </w:rPr>
        <w:t>第57條、第61條及第65條</w:t>
      </w:r>
      <w:r w:rsidRPr="00C10B17">
        <w:rPr>
          <w:rFonts w:hint="eastAsia"/>
          <w:snapToGrid/>
        </w:rPr>
        <w:t>，</w:t>
      </w:r>
      <w:r w:rsidRPr="00D12251">
        <w:rPr>
          <w:rFonts w:hint="eastAsia"/>
          <w:snapToGrid/>
        </w:rPr>
        <w:t>對於高氯離子鋼筋混凝土以及耐震能力不足而有明顯危害公共安全之建築物，採取積極手段加速處理，</w:t>
      </w:r>
      <w:r>
        <w:rPr>
          <w:rFonts w:hint="eastAsia"/>
          <w:snapToGrid/>
        </w:rPr>
        <w:t>並</w:t>
      </w:r>
      <w:r w:rsidRPr="00D12251">
        <w:rPr>
          <w:rFonts w:hint="eastAsia"/>
          <w:snapToGrid/>
          <w:lang w:eastAsia="zh-HK"/>
        </w:rPr>
        <w:t>提高容積獎勵</w:t>
      </w:r>
      <w:r>
        <w:rPr>
          <w:rFonts w:hint="eastAsia"/>
          <w:snapToGrid/>
        </w:rPr>
        <w:t>，另</w:t>
      </w:r>
      <w:r w:rsidRPr="00D12251">
        <w:rPr>
          <w:rFonts w:hint="eastAsia"/>
          <w:snapToGrid/>
        </w:rPr>
        <w:t>授權</w:t>
      </w:r>
      <w:r w:rsidRPr="00D12251">
        <w:rPr>
          <w:rFonts w:hint="eastAsia"/>
          <w:snapToGrid/>
          <w:lang w:eastAsia="zh-HK"/>
        </w:rPr>
        <w:t>訂定都市更新耐震能力不足建築物而有明顯危害公共安全認定辦法</w:t>
      </w:r>
      <w:r>
        <w:rPr>
          <w:rFonts w:hint="eastAsia"/>
          <w:snapToGrid/>
        </w:rPr>
        <w:t>，以</w:t>
      </w:r>
      <w:r w:rsidRPr="003444D8">
        <w:rPr>
          <w:rFonts w:hint="eastAsia"/>
          <w:snapToGrid/>
          <w:lang w:eastAsia="zh-HK"/>
        </w:rPr>
        <w:t>提升居住環境安全</w:t>
      </w:r>
      <w:r w:rsidRPr="00D12251">
        <w:rPr>
          <w:rFonts w:hint="eastAsia"/>
          <w:snapToGrid/>
          <w:lang w:eastAsia="zh-HK"/>
        </w:rPr>
        <w:t>。</w:t>
      </w:r>
      <w:r>
        <w:rPr>
          <w:rFonts w:hint="eastAsia"/>
          <w:snapToGrid/>
        </w:rPr>
        <w:t>營建署為推動</w:t>
      </w:r>
      <w:r w:rsidRPr="00344081">
        <w:rPr>
          <w:rFonts w:hint="eastAsia"/>
          <w:snapToGrid/>
        </w:rPr>
        <w:t>都市更新政策</w:t>
      </w:r>
      <w:r>
        <w:rPr>
          <w:rFonts w:hint="eastAsia"/>
          <w:snapToGrid/>
        </w:rPr>
        <w:t>，持續辦理都市更新發展計畫，期</w:t>
      </w:r>
      <w:r w:rsidRPr="00344081">
        <w:rPr>
          <w:rFonts w:hint="eastAsia"/>
          <w:snapToGrid/>
        </w:rPr>
        <w:t>改善都市空間環境與復甦都市機能</w:t>
      </w:r>
      <w:r>
        <w:rPr>
          <w:rFonts w:hint="eastAsia"/>
          <w:snapToGrid/>
        </w:rPr>
        <w:t>，惟近年於</w:t>
      </w:r>
      <w:r w:rsidRPr="00E765D2">
        <w:rPr>
          <w:rFonts w:hint="eastAsia"/>
          <w:snapToGrid/>
        </w:rPr>
        <w:t>中央都市更新基金</w:t>
      </w:r>
      <w:r>
        <w:rPr>
          <w:rFonts w:hint="eastAsia"/>
          <w:snapToGrid/>
        </w:rPr>
        <w:t>辦理之</w:t>
      </w:r>
      <w:r>
        <w:rPr>
          <w:rFonts w:hint="eastAsia"/>
        </w:rPr>
        <w:t>「</w:t>
      </w:r>
      <w:r w:rsidRPr="00C10B17">
        <w:rPr>
          <w:rFonts w:hint="eastAsia"/>
        </w:rPr>
        <w:t>都市更新發展計畫(108-111年)</w:t>
      </w:r>
      <w:r>
        <w:rPr>
          <w:rFonts w:hint="eastAsia"/>
        </w:rPr>
        <w:t>」，各</w:t>
      </w:r>
      <w:r w:rsidRPr="00E62E04">
        <w:rPr>
          <w:rFonts w:hint="eastAsia"/>
        </w:rPr>
        <w:t>年度</w:t>
      </w:r>
      <w:r w:rsidRPr="00C10B17">
        <w:rPr>
          <w:rFonts w:hint="eastAsia"/>
        </w:rPr>
        <w:t>預算</w:t>
      </w:r>
      <w:r>
        <w:rPr>
          <w:rFonts w:hint="eastAsia"/>
        </w:rPr>
        <w:t>執行</w:t>
      </w:r>
      <w:r w:rsidRPr="00C10B17">
        <w:rPr>
          <w:rFonts w:hint="eastAsia"/>
        </w:rPr>
        <w:t>率</w:t>
      </w:r>
      <w:r>
        <w:rPr>
          <w:rFonts w:hint="eastAsia"/>
        </w:rPr>
        <w:t>僅各為</w:t>
      </w:r>
      <w:r>
        <w:t>22.61%</w:t>
      </w:r>
      <w:r>
        <w:rPr>
          <w:rFonts w:hint="eastAsia"/>
        </w:rPr>
        <w:t>、</w:t>
      </w:r>
      <w:r>
        <w:t>27.96%</w:t>
      </w:r>
      <w:r>
        <w:rPr>
          <w:rFonts w:hint="eastAsia"/>
        </w:rPr>
        <w:t>、</w:t>
      </w:r>
      <w:r>
        <w:t>37.94%</w:t>
      </w:r>
      <w:r>
        <w:rPr>
          <w:rFonts w:hint="eastAsia"/>
        </w:rPr>
        <w:t>及</w:t>
      </w:r>
      <w:r>
        <w:t>51.53%</w:t>
      </w:r>
      <w:r w:rsidRPr="00BA4270">
        <w:rPr>
          <w:rFonts w:hint="eastAsia"/>
        </w:rPr>
        <w:t>(詳表</w:t>
      </w:r>
      <w:r>
        <w:rPr>
          <w:rFonts w:hint="eastAsia"/>
        </w:rPr>
        <w:t>1</w:t>
      </w:r>
      <w:r w:rsidRPr="00BA4270">
        <w:rPr>
          <w:rFonts w:hint="eastAsia"/>
        </w:rPr>
        <w:t>)</w:t>
      </w:r>
      <w:r w:rsidRPr="00C10B17">
        <w:rPr>
          <w:rFonts w:hint="eastAsia"/>
        </w:rPr>
        <w:t>。</w:t>
      </w:r>
    </w:p>
    <w:p w:rsidR="00001DC6" w:rsidRPr="00C10B17" w:rsidRDefault="00001DC6" w:rsidP="000E2743">
      <w:pPr>
        <w:pStyle w:val="22"/>
        <w:ind w:leftChars="0" w:left="850" w:hangingChars="300" w:hanging="850"/>
      </w:pPr>
      <w:r w:rsidRPr="00C10B17">
        <w:rPr>
          <w:rFonts w:hint="eastAsia"/>
          <w:b/>
        </w:rPr>
        <w:t>表</w:t>
      </w:r>
      <w:r>
        <w:rPr>
          <w:rFonts w:hint="eastAsia"/>
          <w:b/>
        </w:rPr>
        <w:t>1</w:t>
      </w:r>
      <w:r w:rsidRPr="00C10B17">
        <w:rPr>
          <w:rFonts w:hint="eastAsia"/>
          <w:b/>
        </w:rPr>
        <w:t xml:space="preserve">　都市更新發展計畫(</w:t>
      </w:r>
      <w:r w:rsidRPr="00C10B17">
        <w:rPr>
          <w:b/>
        </w:rPr>
        <w:t>108-111</w:t>
      </w:r>
      <w:r w:rsidRPr="00C10B17">
        <w:rPr>
          <w:rFonts w:hint="eastAsia"/>
          <w:b/>
        </w:rPr>
        <w:t>年</w:t>
      </w:r>
      <w:r w:rsidRPr="00C10B17">
        <w:rPr>
          <w:b/>
        </w:rPr>
        <w:t>)</w:t>
      </w:r>
      <w:r w:rsidRPr="00C10B17">
        <w:rPr>
          <w:rFonts w:hint="eastAsia"/>
          <w:b/>
        </w:rPr>
        <w:t>預算執行情形表</w:t>
      </w:r>
      <w:r w:rsidRPr="00C10B17">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56"/>
        <w:gridCol w:w="1958"/>
        <w:gridCol w:w="2233"/>
        <w:gridCol w:w="1819"/>
      </w:tblGrid>
      <w:tr w:rsidR="00001DC6" w:rsidRPr="00C10B17" w:rsidTr="000E2743">
        <w:trPr>
          <w:trHeight w:hRule="exact" w:val="340"/>
          <w:tblHeader/>
        </w:trPr>
        <w:tc>
          <w:tcPr>
            <w:tcW w:w="2356" w:type="dxa"/>
            <w:shd w:val="clear" w:color="auto" w:fill="auto"/>
            <w:vAlign w:val="center"/>
          </w:tcPr>
          <w:p w:rsidR="00001DC6" w:rsidRPr="00C10B17" w:rsidRDefault="00001DC6" w:rsidP="000E2743">
            <w:pPr>
              <w:pStyle w:val="142"/>
              <w:jc w:val="center"/>
              <w:rPr>
                <w:b/>
              </w:rPr>
            </w:pPr>
            <w:r w:rsidRPr="00C10B17">
              <w:rPr>
                <w:rFonts w:hint="eastAsia"/>
                <w:b/>
                <w:lang w:eastAsia="zh-HK"/>
              </w:rPr>
              <w:t>年度</w:t>
            </w:r>
          </w:p>
        </w:tc>
        <w:tc>
          <w:tcPr>
            <w:tcW w:w="1958" w:type="dxa"/>
            <w:shd w:val="clear" w:color="auto" w:fill="auto"/>
            <w:vAlign w:val="center"/>
          </w:tcPr>
          <w:p w:rsidR="00001DC6" w:rsidRPr="00C10B17" w:rsidRDefault="00001DC6" w:rsidP="000E2743">
            <w:pPr>
              <w:pStyle w:val="142"/>
              <w:jc w:val="center"/>
              <w:rPr>
                <w:b/>
              </w:rPr>
            </w:pPr>
            <w:r w:rsidRPr="00C10B17">
              <w:rPr>
                <w:rFonts w:hint="eastAsia"/>
                <w:b/>
                <w:lang w:eastAsia="zh-HK"/>
              </w:rPr>
              <w:t>預算數</w:t>
            </w:r>
          </w:p>
        </w:tc>
        <w:tc>
          <w:tcPr>
            <w:tcW w:w="2233" w:type="dxa"/>
            <w:shd w:val="clear" w:color="auto" w:fill="auto"/>
            <w:vAlign w:val="center"/>
          </w:tcPr>
          <w:p w:rsidR="00001DC6" w:rsidRPr="00C10B17" w:rsidRDefault="00001DC6" w:rsidP="000E2743">
            <w:pPr>
              <w:pStyle w:val="142"/>
              <w:jc w:val="center"/>
              <w:rPr>
                <w:b/>
              </w:rPr>
            </w:pPr>
            <w:r w:rsidRPr="00C10B17">
              <w:rPr>
                <w:rFonts w:hint="eastAsia"/>
                <w:b/>
                <w:lang w:eastAsia="zh-HK"/>
              </w:rPr>
              <w:t>決算數</w:t>
            </w:r>
          </w:p>
        </w:tc>
        <w:tc>
          <w:tcPr>
            <w:tcW w:w="1819" w:type="dxa"/>
            <w:vAlign w:val="center"/>
          </w:tcPr>
          <w:p w:rsidR="00001DC6" w:rsidRPr="00C10B17" w:rsidRDefault="00001DC6" w:rsidP="000E2743">
            <w:pPr>
              <w:pStyle w:val="142"/>
              <w:jc w:val="center"/>
              <w:rPr>
                <w:b/>
              </w:rPr>
            </w:pPr>
            <w:r>
              <w:rPr>
                <w:rFonts w:hint="eastAsia"/>
                <w:b/>
              </w:rPr>
              <w:t>預算執行率</w:t>
            </w:r>
          </w:p>
        </w:tc>
      </w:tr>
      <w:tr w:rsidR="00001DC6" w:rsidRPr="00C10B17" w:rsidTr="000E2743">
        <w:trPr>
          <w:trHeight w:hRule="exact" w:val="340"/>
        </w:trPr>
        <w:tc>
          <w:tcPr>
            <w:tcW w:w="2356" w:type="dxa"/>
            <w:shd w:val="clear" w:color="auto" w:fill="auto"/>
            <w:vAlign w:val="center"/>
          </w:tcPr>
          <w:p w:rsidR="00001DC6" w:rsidRPr="00C10B17" w:rsidRDefault="00001DC6" w:rsidP="000E2743">
            <w:pPr>
              <w:pStyle w:val="142"/>
              <w:jc w:val="center"/>
            </w:pPr>
            <w:r w:rsidRPr="00C10B17">
              <w:rPr>
                <w:rFonts w:hint="eastAsia"/>
              </w:rPr>
              <w:t>108</w:t>
            </w:r>
          </w:p>
        </w:tc>
        <w:tc>
          <w:tcPr>
            <w:tcW w:w="1958" w:type="dxa"/>
            <w:shd w:val="clear" w:color="auto" w:fill="auto"/>
            <w:vAlign w:val="center"/>
          </w:tcPr>
          <w:p w:rsidR="00001DC6" w:rsidRPr="00C10B17" w:rsidRDefault="00001DC6" w:rsidP="000E2743">
            <w:pPr>
              <w:pStyle w:val="142"/>
              <w:jc w:val="right"/>
            </w:pPr>
            <w:r w:rsidRPr="00C10B17">
              <w:rPr>
                <w:rFonts w:hint="eastAsia"/>
              </w:rPr>
              <w:t>433</w:t>
            </w:r>
            <w:r w:rsidRPr="00C10B17">
              <w:t>,</w:t>
            </w:r>
            <w:r w:rsidRPr="00C10B17">
              <w:rPr>
                <w:rFonts w:hint="eastAsia"/>
              </w:rPr>
              <w:t>024</w:t>
            </w:r>
          </w:p>
        </w:tc>
        <w:tc>
          <w:tcPr>
            <w:tcW w:w="2233" w:type="dxa"/>
            <w:shd w:val="clear" w:color="auto" w:fill="auto"/>
            <w:vAlign w:val="center"/>
          </w:tcPr>
          <w:p w:rsidR="00001DC6" w:rsidRPr="00C10B17" w:rsidRDefault="00001DC6" w:rsidP="000E2743">
            <w:pPr>
              <w:pStyle w:val="142"/>
              <w:jc w:val="right"/>
            </w:pPr>
            <w:r w:rsidRPr="00C10B17">
              <w:rPr>
                <w:rFonts w:hint="eastAsia"/>
              </w:rPr>
              <w:t>97,902</w:t>
            </w:r>
          </w:p>
        </w:tc>
        <w:tc>
          <w:tcPr>
            <w:tcW w:w="1819" w:type="dxa"/>
            <w:vAlign w:val="center"/>
          </w:tcPr>
          <w:p w:rsidR="00001DC6" w:rsidRPr="00C10B17" w:rsidRDefault="00001DC6" w:rsidP="000E2743">
            <w:pPr>
              <w:pStyle w:val="142"/>
              <w:jc w:val="right"/>
            </w:pPr>
            <w:r w:rsidRPr="00C10B17">
              <w:t xml:space="preserve">22.61% </w:t>
            </w:r>
          </w:p>
        </w:tc>
      </w:tr>
      <w:tr w:rsidR="00001DC6" w:rsidRPr="00C10B17" w:rsidTr="000E2743">
        <w:trPr>
          <w:trHeight w:hRule="exact" w:val="340"/>
        </w:trPr>
        <w:tc>
          <w:tcPr>
            <w:tcW w:w="2356" w:type="dxa"/>
            <w:shd w:val="clear" w:color="auto" w:fill="auto"/>
            <w:vAlign w:val="center"/>
          </w:tcPr>
          <w:p w:rsidR="00001DC6" w:rsidRPr="00C10B17" w:rsidRDefault="00001DC6" w:rsidP="000E2743">
            <w:pPr>
              <w:pStyle w:val="142"/>
              <w:jc w:val="center"/>
            </w:pPr>
            <w:r w:rsidRPr="00C10B17">
              <w:rPr>
                <w:rFonts w:hint="eastAsia"/>
              </w:rPr>
              <w:t>109</w:t>
            </w:r>
          </w:p>
        </w:tc>
        <w:tc>
          <w:tcPr>
            <w:tcW w:w="1958" w:type="dxa"/>
            <w:shd w:val="clear" w:color="auto" w:fill="auto"/>
            <w:vAlign w:val="center"/>
          </w:tcPr>
          <w:p w:rsidR="00001DC6" w:rsidRPr="00C10B17" w:rsidRDefault="00001DC6" w:rsidP="000E2743">
            <w:pPr>
              <w:pStyle w:val="142"/>
              <w:jc w:val="right"/>
            </w:pPr>
            <w:r w:rsidRPr="00C10B17">
              <w:t>431,920</w:t>
            </w:r>
          </w:p>
        </w:tc>
        <w:tc>
          <w:tcPr>
            <w:tcW w:w="2233" w:type="dxa"/>
            <w:shd w:val="clear" w:color="auto" w:fill="auto"/>
            <w:vAlign w:val="center"/>
          </w:tcPr>
          <w:p w:rsidR="00001DC6" w:rsidRPr="00C10B17" w:rsidRDefault="00001DC6" w:rsidP="000E2743">
            <w:pPr>
              <w:pStyle w:val="142"/>
              <w:jc w:val="right"/>
            </w:pPr>
            <w:r w:rsidRPr="00C10B17">
              <w:t>120,747</w:t>
            </w:r>
          </w:p>
        </w:tc>
        <w:tc>
          <w:tcPr>
            <w:tcW w:w="1819" w:type="dxa"/>
            <w:vAlign w:val="center"/>
          </w:tcPr>
          <w:p w:rsidR="00001DC6" w:rsidRPr="00C10B17" w:rsidRDefault="00001DC6" w:rsidP="000E2743">
            <w:pPr>
              <w:pStyle w:val="142"/>
              <w:jc w:val="right"/>
            </w:pPr>
            <w:r w:rsidRPr="00C10B17">
              <w:t xml:space="preserve">27.96% </w:t>
            </w:r>
          </w:p>
        </w:tc>
      </w:tr>
      <w:tr w:rsidR="00001DC6" w:rsidRPr="00C10B17" w:rsidTr="000E2743">
        <w:trPr>
          <w:trHeight w:hRule="exact" w:val="340"/>
        </w:trPr>
        <w:tc>
          <w:tcPr>
            <w:tcW w:w="2356" w:type="dxa"/>
            <w:shd w:val="clear" w:color="auto" w:fill="auto"/>
            <w:vAlign w:val="center"/>
          </w:tcPr>
          <w:p w:rsidR="00001DC6" w:rsidRPr="00C10B17" w:rsidRDefault="00001DC6" w:rsidP="000E2743">
            <w:pPr>
              <w:pStyle w:val="142"/>
              <w:jc w:val="center"/>
            </w:pPr>
            <w:r w:rsidRPr="00C10B17">
              <w:rPr>
                <w:rFonts w:hint="eastAsia"/>
              </w:rPr>
              <w:t>1</w:t>
            </w:r>
            <w:r w:rsidRPr="00C10B17">
              <w:t>10</w:t>
            </w:r>
          </w:p>
        </w:tc>
        <w:tc>
          <w:tcPr>
            <w:tcW w:w="1958" w:type="dxa"/>
            <w:shd w:val="clear" w:color="auto" w:fill="auto"/>
            <w:vAlign w:val="center"/>
          </w:tcPr>
          <w:p w:rsidR="00001DC6" w:rsidRPr="00C10B17" w:rsidRDefault="00001DC6" w:rsidP="000E2743">
            <w:pPr>
              <w:pStyle w:val="142"/>
              <w:jc w:val="right"/>
            </w:pPr>
            <w:r w:rsidRPr="00C10B17">
              <w:t>1</w:t>
            </w:r>
            <w:r w:rsidRPr="00C10B17">
              <w:rPr>
                <w:rFonts w:hint="eastAsia"/>
              </w:rPr>
              <w:t>87</w:t>
            </w:r>
            <w:r w:rsidRPr="00C10B17">
              <w:t>,047</w:t>
            </w:r>
          </w:p>
        </w:tc>
        <w:tc>
          <w:tcPr>
            <w:tcW w:w="2233" w:type="dxa"/>
            <w:shd w:val="clear" w:color="auto" w:fill="auto"/>
            <w:vAlign w:val="center"/>
          </w:tcPr>
          <w:p w:rsidR="00001DC6" w:rsidRPr="00C10B17" w:rsidRDefault="00001DC6" w:rsidP="000E2743">
            <w:pPr>
              <w:pStyle w:val="142"/>
              <w:jc w:val="right"/>
            </w:pPr>
            <w:r w:rsidRPr="00C10B17">
              <w:rPr>
                <w:rFonts w:hint="eastAsia"/>
              </w:rPr>
              <w:t>70</w:t>
            </w:r>
            <w:r w:rsidRPr="00C10B17">
              <w:t>,</w:t>
            </w:r>
            <w:r w:rsidRPr="00C10B17">
              <w:rPr>
                <w:rFonts w:hint="eastAsia"/>
              </w:rPr>
              <w:t>962</w:t>
            </w:r>
          </w:p>
        </w:tc>
        <w:tc>
          <w:tcPr>
            <w:tcW w:w="1819" w:type="dxa"/>
            <w:vAlign w:val="center"/>
          </w:tcPr>
          <w:p w:rsidR="00001DC6" w:rsidRPr="00C10B17" w:rsidRDefault="00001DC6" w:rsidP="000E2743">
            <w:pPr>
              <w:pStyle w:val="142"/>
              <w:jc w:val="right"/>
            </w:pPr>
            <w:r w:rsidRPr="00C10B17">
              <w:t xml:space="preserve">37.94% </w:t>
            </w:r>
          </w:p>
        </w:tc>
      </w:tr>
      <w:tr w:rsidR="00001DC6" w:rsidRPr="00C10B17" w:rsidTr="000E2743">
        <w:trPr>
          <w:trHeight w:hRule="exact" w:val="340"/>
        </w:trPr>
        <w:tc>
          <w:tcPr>
            <w:tcW w:w="2356" w:type="dxa"/>
            <w:shd w:val="clear" w:color="auto" w:fill="auto"/>
            <w:vAlign w:val="center"/>
          </w:tcPr>
          <w:p w:rsidR="00001DC6" w:rsidRPr="00C10B17" w:rsidRDefault="00001DC6" w:rsidP="000E2743">
            <w:pPr>
              <w:pStyle w:val="142"/>
              <w:jc w:val="center"/>
            </w:pPr>
            <w:r w:rsidRPr="00C10B17">
              <w:rPr>
                <w:rFonts w:hint="eastAsia"/>
              </w:rPr>
              <w:t>11</w:t>
            </w:r>
            <w:r w:rsidRPr="00C10B17">
              <w:t>1</w:t>
            </w:r>
          </w:p>
        </w:tc>
        <w:tc>
          <w:tcPr>
            <w:tcW w:w="1958" w:type="dxa"/>
            <w:shd w:val="clear" w:color="auto" w:fill="auto"/>
            <w:vAlign w:val="center"/>
          </w:tcPr>
          <w:p w:rsidR="00001DC6" w:rsidRPr="00C10B17" w:rsidRDefault="00001DC6" w:rsidP="000E2743">
            <w:pPr>
              <w:pStyle w:val="142"/>
              <w:jc w:val="right"/>
            </w:pPr>
            <w:r w:rsidRPr="00C10B17">
              <w:t>139,048</w:t>
            </w:r>
          </w:p>
        </w:tc>
        <w:tc>
          <w:tcPr>
            <w:tcW w:w="2233" w:type="dxa"/>
            <w:shd w:val="clear" w:color="auto" w:fill="auto"/>
            <w:vAlign w:val="center"/>
          </w:tcPr>
          <w:p w:rsidR="00001DC6" w:rsidRPr="00C10B17" w:rsidRDefault="00001DC6" w:rsidP="000E2743">
            <w:pPr>
              <w:pStyle w:val="142"/>
              <w:jc w:val="right"/>
            </w:pPr>
            <w:r>
              <w:rPr>
                <w:rFonts w:hint="eastAsia"/>
              </w:rPr>
              <w:t>7</w:t>
            </w:r>
            <w:r>
              <w:t>1,651</w:t>
            </w:r>
          </w:p>
        </w:tc>
        <w:tc>
          <w:tcPr>
            <w:tcW w:w="1819" w:type="dxa"/>
            <w:vAlign w:val="center"/>
          </w:tcPr>
          <w:p w:rsidR="00001DC6" w:rsidRPr="00C10B17" w:rsidRDefault="00001DC6" w:rsidP="000E2743">
            <w:pPr>
              <w:pStyle w:val="142"/>
              <w:jc w:val="right"/>
            </w:pPr>
            <w:r>
              <w:rPr>
                <w:rFonts w:hint="eastAsia"/>
              </w:rPr>
              <w:t>5</w:t>
            </w:r>
            <w:r>
              <w:t>1.53%</w:t>
            </w:r>
          </w:p>
        </w:tc>
      </w:tr>
    </w:tbl>
    <w:p w:rsidR="00001DC6" w:rsidRPr="00C10B17" w:rsidRDefault="00001DC6" w:rsidP="000E2743">
      <w:pPr>
        <w:pStyle w:val="142"/>
      </w:pPr>
      <w:r w:rsidRPr="00C10B17">
        <w:rPr>
          <w:rFonts w:hint="eastAsia"/>
        </w:rPr>
        <w:t>資料來源：營建署。</w:t>
      </w:r>
    </w:p>
    <w:p w:rsidR="00001DC6" w:rsidRPr="00C10B17" w:rsidRDefault="00001DC6" w:rsidP="000E2743">
      <w:pPr>
        <w:pStyle w:val="a4"/>
        <w:ind w:left="849" w:hanging="283"/>
        <w:rPr>
          <w:b/>
        </w:rPr>
      </w:pPr>
      <w:r w:rsidRPr="00C10B17">
        <w:rPr>
          <w:rFonts w:hint="eastAsia"/>
          <w:b/>
          <w:snapToGrid/>
        </w:rPr>
        <w:t>(</w:t>
      </w:r>
      <w:r>
        <w:rPr>
          <w:rFonts w:hint="eastAsia"/>
          <w:b/>
          <w:snapToGrid/>
        </w:rPr>
        <w:t>二</w:t>
      </w:r>
      <w:r w:rsidRPr="00C10B17">
        <w:rPr>
          <w:b/>
          <w:snapToGrid/>
        </w:rPr>
        <w:t>)</w:t>
      </w:r>
      <w:r>
        <w:rPr>
          <w:rFonts w:hint="eastAsia"/>
          <w:b/>
        </w:rPr>
        <w:t>甚多項目</w:t>
      </w:r>
      <w:r w:rsidRPr="00051A34">
        <w:rPr>
          <w:rFonts w:hint="eastAsia"/>
          <w:b/>
        </w:rPr>
        <w:t>實際績效與預期目標存有落差</w:t>
      </w:r>
    </w:p>
    <w:p w:rsidR="00001DC6" w:rsidRDefault="00001DC6" w:rsidP="000E2743">
      <w:pPr>
        <w:pStyle w:val="22"/>
        <w:ind w:left="850" w:firstLine="566"/>
        <w:rPr>
          <w:rFonts w:hAnsi="標楷體"/>
          <w:snapToGrid/>
          <w:szCs w:val="24"/>
        </w:rPr>
      </w:pPr>
      <w:r>
        <w:rPr>
          <w:rFonts w:hAnsi="標楷體" w:hint="eastAsia"/>
          <w:snapToGrid/>
          <w:szCs w:val="24"/>
        </w:rPr>
        <w:t>營建署辦理「</w:t>
      </w:r>
      <w:r w:rsidRPr="00C10B17">
        <w:rPr>
          <w:rFonts w:hAnsi="標楷體" w:hint="eastAsia"/>
          <w:snapToGrid/>
          <w:szCs w:val="24"/>
        </w:rPr>
        <w:t>都市更新發展計畫</w:t>
      </w:r>
      <w:r>
        <w:rPr>
          <w:rFonts w:hAnsi="標楷體" w:hint="eastAsia"/>
          <w:snapToGrid/>
          <w:szCs w:val="24"/>
        </w:rPr>
        <w:t>」</w:t>
      </w:r>
      <w:r w:rsidRPr="00C10B17">
        <w:rPr>
          <w:rFonts w:hAnsi="標楷體" w:hint="eastAsia"/>
          <w:snapToGrid/>
          <w:szCs w:val="24"/>
        </w:rPr>
        <w:t>(108-111年)</w:t>
      </w:r>
      <w:r>
        <w:rPr>
          <w:rFonts w:hAnsi="標楷體" w:hint="eastAsia"/>
          <w:snapToGrid/>
          <w:szCs w:val="24"/>
        </w:rPr>
        <w:t>訂有4項</w:t>
      </w:r>
      <w:r w:rsidRPr="00C10B17">
        <w:rPr>
          <w:rFonts w:hAnsi="標楷體" w:hint="eastAsia"/>
          <w:snapToGrid/>
          <w:szCs w:val="24"/>
        </w:rPr>
        <w:lastRenderedPageBreak/>
        <w:t>策略目標</w:t>
      </w:r>
      <w:r>
        <w:rPr>
          <w:rFonts w:hAnsi="標楷體" w:hint="eastAsia"/>
          <w:snapToGrid/>
          <w:szCs w:val="24"/>
        </w:rPr>
        <w:t>，</w:t>
      </w:r>
      <w:r w:rsidRPr="00C61582">
        <w:rPr>
          <w:rFonts w:hAnsi="標楷體" w:hint="eastAsia"/>
          <w:snapToGrid/>
          <w:szCs w:val="24"/>
        </w:rPr>
        <w:t>截至111年底</w:t>
      </w:r>
      <w:r>
        <w:rPr>
          <w:rFonts w:hAnsi="標楷體" w:hint="eastAsia"/>
          <w:snapToGrid/>
          <w:szCs w:val="24"/>
        </w:rPr>
        <w:t>止</w:t>
      </w:r>
      <w:r w:rsidRPr="00C61582">
        <w:rPr>
          <w:rFonts w:hAnsi="標楷體" w:hint="eastAsia"/>
          <w:snapToGrid/>
          <w:szCs w:val="24"/>
        </w:rPr>
        <w:t>部分項目未達預計目標，其中策</w:t>
      </w:r>
      <w:r w:rsidRPr="00C10B17">
        <w:rPr>
          <w:rFonts w:hAnsi="標楷體" w:hint="eastAsia"/>
          <w:snapToGrid/>
          <w:szCs w:val="24"/>
        </w:rPr>
        <w:t>略目標「強化政府主導都市更新機制」設定108</w:t>
      </w:r>
      <w:r>
        <w:rPr>
          <w:rFonts w:hAnsi="標楷體" w:hint="eastAsia"/>
          <w:snapToGrid/>
          <w:szCs w:val="24"/>
        </w:rPr>
        <w:t>至</w:t>
      </w:r>
      <w:r w:rsidRPr="00C10B17">
        <w:rPr>
          <w:rFonts w:hAnsi="標楷體" w:hint="eastAsia"/>
          <w:snapToGrid/>
          <w:szCs w:val="24"/>
        </w:rPr>
        <w:t>111年應達1</w:t>
      </w:r>
      <w:r w:rsidRPr="00C10B17">
        <w:rPr>
          <w:rFonts w:hAnsi="標楷體"/>
          <w:snapToGrid/>
          <w:szCs w:val="24"/>
        </w:rPr>
        <w:t>00</w:t>
      </w:r>
      <w:r w:rsidRPr="00C10B17">
        <w:rPr>
          <w:rFonts w:hAnsi="標楷體" w:hint="eastAsia"/>
          <w:snapToGrid/>
          <w:szCs w:val="24"/>
        </w:rPr>
        <w:t>件，</w:t>
      </w:r>
      <w:r>
        <w:rPr>
          <w:rFonts w:hAnsi="標楷體" w:hint="eastAsia"/>
          <w:snapToGrid/>
          <w:szCs w:val="24"/>
        </w:rPr>
        <w:t>實際</w:t>
      </w:r>
      <w:r w:rsidRPr="00C10B17">
        <w:rPr>
          <w:rFonts w:hAnsi="標楷體" w:hint="eastAsia"/>
          <w:snapToGrid/>
          <w:szCs w:val="24"/>
        </w:rPr>
        <w:t>僅達2</w:t>
      </w:r>
      <w:r>
        <w:rPr>
          <w:rFonts w:hAnsi="標楷體"/>
          <w:snapToGrid/>
          <w:szCs w:val="24"/>
        </w:rPr>
        <w:t>5</w:t>
      </w:r>
      <w:r>
        <w:rPr>
          <w:rFonts w:hAnsi="標楷體" w:hint="eastAsia"/>
          <w:snapToGrid/>
          <w:szCs w:val="24"/>
        </w:rPr>
        <w:t>件(占比2</w:t>
      </w:r>
      <w:r>
        <w:rPr>
          <w:rFonts w:hAnsi="標楷體"/>
          <w:snapToGrid/>
          <w:szCs w:val="24"/>
        </w:rPr>
        <w:t>5%)</w:t>
      </w:r>
      <w:r>
        <w:rPr>
          <w:rFonts w:hAnsi="標楷體" w:hint="eastAsia"/>
          <w:snapToGrid/>
          <w:szCs w:val="24"/>
        </w:rPr>
        <w:t>，另策略目標「鼓勵民間自主實施更新」項下尚有</w:t>
      </w:r>
      <w:r w:rsidRPr="00C10B17">
        <w:rPr>
          <w:rFonts w:hAnsi="標楷體" w:hint="eastAsia"/>
          <w:snapToGrid/>
          <w:szCs w:val="24"/>
        </w:rPr>
        <w:t>「辦理重建先期規劃整合作業、輔導成立都市更新會及擬具都市更新事業計畫及權利變換計畫」、「辦理整建、維護先期整合作業、擬具都市更新事業計畫及工程施作」、「遴選專業團隊辦理都更業務」</w:t>
      </w:r>
      <w:r>
        <w:rPr>
          <w:rFonts w:hAnsi="標楷體" w:hint="eastAsia"/>
          <w:snapToGrid/>
          <w:szCs w:val="24"/>
        </w:rPr>
        <w:t>等細項</w:t>
      </w:r>
      <w:r w:rsidRPr="00C10B17">
        <w:rPr>
          <w:rFonts w:hAnsi="標楷體" w:hint="eastAsia"/>
          <w:snapToGrid/>
          <w:szCs w:val="24"/>
        </w:rPr>
        <w:t>僅</w:t>
      </w:r>
      <w:r>
        <w:rPr>
          <w:rFonts w:hAnsi="標楷體" w:hint="eastAsia"/>
          <w:snapToGrid/>
          <w:szCs w:val="24"/>
        </w:rPr>
        <w:t>各</w:t>
      </w:r>
      <w:r w:rsidRPr="00C10B17">
        <w:rPr>
          <w:rFonts w:hAnsi="標楷體" w:hint="eastAsia"/>
          <w:snapToGrid/>
          <w:szCs w:val="24"/>
        </w:rPr>
        <w:t>達成設定目標之</w:t>
      </w:r>
      <w:r>
        <w:rPr>
          <w:rFonts w:hAnsi="標楷體"/>
          <w:snapToGrid/>
          <w:szCs w:val="24"/>
        </w:rPr>
        <w:t>54</w:t>
      </w:r>
      <w:r w:rsidRPr="00C10B17">
        <w:rPr>
          <w:rFonts w:hAnsi="標楷體"/>
          <w:snapToGrid/>
          <w:szCs w:val="24"/>
        </w:rPr>
        <w:t>%</w:t>
      </w:r>
      <w:r w:rsidRPr="00C10B17">
        <w:rPr>
          <w:rFonts w:hAnsi="標楷體" w:hint="eastAsia"/>
          <w:snapToGrid/>
          <w:szCs w:val="24"/>
        </w:rPr>
        <w:t>、</w:t>
      </w:r>
      <w:r>
        <w:rPr>
          <w:rFonts w:hAnsi="標楷體"/>
          <w:snapToGrid/>
          <w:szCs w:val="24"/>
        </w:rPr>
        <w:t>65</w:t>
      </w:r>
      <w:r w:rsidRPr="00C10B17">
        <w:rPr>
          <w:rFonts w:hAnsi="標楷體"/>
          <w:snapToGrid/>
          <w:szCs w:val="24"/>
        </w:rPr>
        <w:t>%</w:t>
      </w:r>
      <w:r w:rsidRPr="00C10B17">
        <w:rPr>
          <w:rFonts w:hAnsi="標楷體" w:hint="eastAsia"/>
          <w:snapToGrid/>
          <w:szCs w:val="24"/>
        </w:rPr>
        <w:t>及</w:t>
      </w:r>
      <w:r>
        <w:rPr>
          <w:rFonts w:hAnsi="標楷體"/>
          <w:snapToGrid/>
          <w:szCs w:val="24"/>
        </w:rPr>
        <w:t>54</w:t>
      </w:r>
      <w:r w:rsidRPr="00C10B17">
        <w:rPr>
          <w:rFonts w:hAnsi="標楷體"/>
          <w:snapToGrid/>
          <w:szCs w:val="24"/>
        </w:rPr>
        <w:t>%</w:t>
      </w:r>
      <w:r w:rsidRPr="00C10B17">
        <w:rPr>
          <w:rFonts w:hAnsi="標楷體" w:hint="eastAsia"/>
          <w:snapToGrid/>
          <w:szCs w:val="24"/>
        </w:rPr>
        <w:t>(詳表</w:t>
      </w:r>
      <w:r>
        <w:rPr>
          <w:rFonts w:hAnsi="標楷體" w:hint="eastAsia"/>
          <w:snapToGrid/>
          <w:szCs w:val="24"/>
        </w:rPr>
        <w:t>2</w:t>
      </w:r>
      <w:r w:rsidRPr="00C10B17">
        <w:rPr>
          <w:rFonts w:hAnsi="標楷體"/>
          <w:snapToGrid/>
          <w:szCs w:val="24"/>
        </w:rPr>
        <w:t>)</w:t>
      </w:r>
      <w:r>
        <w:rPr>
          <w:rFonts w:hAnsi="標楷體" w:hint="eastAsia"/>
          <w:snapToGrid/>
          <w:szCs w:val="24"/>
        </w:rPr>
        <w:t>，允宜檢討強化。</w:t>
      </w:r>
    </w:p>
    <w:p w:rsidR="00001DC6" w:rsidRPr="00AA53EA" w:rsidRDefault="00001DC6" w:rsidP="000E2743">
      <w:pPr>
        <w:snapToGrid w:val="0"/>
        <w:ind w:leftChars="0" w:left="737" w:rightChars="11" w:right="31" w:firstLineChars="0" w:hanging="737"/>
        <w:rPr>
          <w:rFonts w:hAnsi="標楷體"/>
          <w:b/>
          <w:snapToGrid/>
          <w:spacing w:val="-5"/>
          <w:kern w:val="0"/>
          <w:szCs w:val="24"/>
        </w:rPr>
      </w:pPr>
      <w:r w:rsidRPr="00AA53EA">
        <w:rPr>
          <w:rFonts w:hAnsi="標楷體"/>
          <w:b/>
          <w:snapToGrid/>
          <w:spacing w:val="-5"/>
          <w:kern w:val="0"/>
          <w:szCs w:val="24"/>
        </w:rPr>
        <w:t>表</w:t>
      </w:r>
      <w:r w:rsidRPr="00AA53EA">
        <w:rPr>
          <w:rFonts w:hAnsi="標楷體" w:hint="eastAsia"/>
          <w:b/>
          <w:snapToGrid/>
          <w:spacing w:val="-5"/>
          <w:kern w:val="0"/>
          <w:szCs w:val="24"/>
        </w:rPr>
        <w:t>2</w:t>
      </w:r>
      <w:r w:rsidRPr="00AA53EA">
        <w:rPr>
          <w:rFonts w:hAnsi="標楷體"/>
          <w:b/>
          <w:snapToGrid/>
          <w:spacing w:val="-5"/>
          <w:kern w:val="0"/>
          <w:szCs w:val="24"/>
        </w:rPr>
        <w:t xml:space="preserve">　都市更新發展計畫(108-111年)績效目標達成情形表</w:t>
      </w:r>
    </w:p>
    <w:tbl>
      <w:tblPr>
        <w:tblOverlap w:val="neve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38"/>
        <w:gridCol w:w="3930"/>
        <w:gridCol w:w="488"/>
        <w:gridCol w:w="825"/>
        <w:gridCol w:w="1012"/>
        <w:gridCol w:w="850"/>
      </w:tblGrid>
      <w:tr w:rsidR="00001DC6" w:rsidRPr="00AA53EA" w:rsidTr="00812D44">
        <w:trPr>
          <w:tblHeader/>
          <w:jc w:val="center"/>
        </w:trPr>
        <w:tc>
          <w:tcPr>
            <w:tcW w:w="1438" w:type="dxa"/>
            <w:shd w:val="clear" w:color="auto" w:fill="auto"/>
            <w:vAlign w:val="center"/>
          </w:tcPr>
          <w:p w:rsidR="00001DC6" w:rsidRPr="00AA53EA" w:rsidRDefault="00001DC6" w:rsidP="001D4458">
            <w:pPr>
              <w:spacing w:line="280" w:lineRule="exact"/>
              <w:ind w:leftChars="0" w:left="0" w:firstLineChars="0" w:firstLine="0"/>
              <w:jc w:val="center"/>
              <w:rPr>
                <w:rFonts w:hAnsi="標楷體"/>
                <w:b/>
                <w:snapToGrid/>
                <w:sz w:val="24"/>
              </w:rPr>
            </w:pPr>
            <w:r w:rsidRPr="00AA53EA">
              <w:rPr>
                <w:rFonts w:hAnsi="標楷體"/>
                <w:b/>
                <w:snapToGrid/>
                <w:sz w:val="24"/>
              </w:rPr>
              <w:t>策略目標</w:t>
            </w:r>
          </w:p>
        </w:tc>
        <w:tc>
          <w:tcPr>
            <w:tcW w:w="3930" w:type="dxa"/>
            <w:shd w:val="clear" w:color="auto" w:fill="auto"/>
            <w:vAlign w:val="center"/>
          </w:tcPr>
          <w:p w:rsidR="00001DC6" w:rsidRPr="00AA53EA" w:rsidRDefault="00001DC6" w:rsidP="000E2743">
            <w:pPr>
              <w:spacing w:line="280" w:lineRule="exact"/>
              <w:ind w:leftChars="0" w:left="0" w:firstLineChars="0" w:firstLine="0"/>
              <w:jc w:val="center"/>
              <w:rPr>
                <w:rFonts w:hAnsi="標楷體"/>
                <w:b/>
                <w:snapToGrid/>
                <w:sz w:val="24"/>
              </w:rPr>
            </w:pPr>
            <w:r w:rsidRPr="00AA53EA">
              <w:rPr>
                <w:rFonts w:hAnsi="標楷體"/>
                <w:b/>
                <w:snapToGrid/>
                <w:sz w:val="24"/>
              </w:rPr>
              <w:t>項目內容</w:t>
            </w:r>
          </w:p>
        </w:tc>
        <w:tc>
          <w:tcPr>
            <w:tcW w:w="488" w:type="dxa"/>
            <w:vAlign w:val="center"/>
          </w:tcPr>
          <w:p w:rsidR="00001DC6" w:rsidRPr="00AA53EA" w:rsidRDefault="00001DC6" w:rsidP="000E2743">
            <w:pPr>
              <w:spacing w:line="280" w:lineRule="exact"/>
              <w:ind w:leftChars="0" w:left="0" w:firstLineChars="0" w:firstLine="0"/>
              <w:jc w:val="center"/>
              <w:rPr>
                <w:rFonts w:hAnsi="標楷體"/>
                <w:b/>
                <w:snapToGrid/>
                <w:sz w:val="24"/>
              </w:rPr>
            </w:pPr>
            <w:r w:rsidRPr="00AA53EA">
              <w:rPr>
                <w:rFonts w:hAnsi="標楷體"/>
                <w:b/>
                <w:snapToGrid/>
                <w:sz w:val="24"/>
              </w:rPr>
              <w:t>單位</w:t>
            </w:r>
          </w:p>
        </w:tc>
        <w:tc>
          <w:tcPr>
            <w:tcW w:w="825" w:type="dxa"/>
            <w:shd w:val="clear" w:color="auto" w:fill="auto"/>
            <w:vAlign w:val="center"/>
          </w:tcPr>
          <w:p w:rsidR="00001DC6" w:rsidRPr="00AA53EA" w:rsidRDefault="00001DC6" w:rsidP="000E2743">
            <w:pPr>
              <w:spacing w:line="280" w:lineRule="exact"/>
              <w:ind w:leftChars="0" w:left="0" w:firstLineChars="0" w:firstLine="0"/>
              <w:jc w:val="center"/>
              <w:rPr>
                <w:rFonts w:hAnsi="標楷體"/>
                <w:b/>
                <w:snapToGrid/>
                <w:sz w:val="24"/>
              </w:rPr>
            </w:pPr>
            <w:r w:rsidRPr="00AA53EA">
              <w:rPr>
                <w:rFonts w:hAnsi="標楷體"/>
                <w:b/>
                <w:snapToGrid/>
                <w:sz w:val="24"/>
              </w:rPr>
              <w:t>總目標值</w:t>
            </w:r>
          </w:p>
        </w:tc>
        <w:tc>
          <w:tcPr>
            <w:tcW w:w="1012" w:type="dxa"/>
          </w:tcPr>
          <w:p w:rsidR="00001DC6" w:rsidRPr="00AA53EA" w:rsidRDefault="00001DC6" w:rsidP="000E2743">
            <w:pPr>
              <w:spacing w:line="280" w:lineRule="exact"/>
              <w:ind w:leftChars="-14" w:left="-39" w:rightChars="-5" w:right="-14" w:firstLineChars="0" w:hanging="1"/>
              <w:jc w:val="center"/>
              <w:rPr>
                <w:rFonts w:hAnsi="標楷體"/>
                <w:b/>
                <w:snapToGrid/>
                <w:sz w:val="24"/>
              </w:rPr>
            </w:pPr>
            <w:r w:rsidRPr="00AA53EA">
              <w:rPr>
                <w:rFonts w:hAnsi="標楷體"/>
                <w:b/>
                <w:snapToGrid/>
                <w:sz w:val="24"/>
              </w:rPr>
              <w:t>迄111年底達成情形</w:t>
            </w:r>
          </w:p>
        </w:tc>
        <w:tc>
          <w:tcPr>
            <w:tcW w:w="850" w:type="dxa"/>
          </w:tcPr>
          <w:p w:rsidR="00001DC6" w:rsidRPr="00AA53EA" w:rsidRDefault="00001DC6" w:rsidP="000E2743">
            <w:pPr>
              <w:spacing w:line="280" w:lineRule="exact"/>
              <w:ind w:leftChars="0" w:left="0" w:firstLineChars="0" w:firstLine="0"/>
              <w:jc w:val="center"/>
              <w:rPr>
                <w:rFonts w:hAnsi="標楷體"/>
                <w:b/>
                <w:snapToGrid/>
                <w:sz w:val="24"/>
              </w:rPr>
            </w:pPr>
            <w:r w:rsidRPr="00AA53EA">
              <w:rPr>
                <w:rFonts w:hAnsi="標楷體"/>
                <w:b/>
                <w:snapToGrid/>
                <w:sz w:val="24"/>
              </w:rPr>
              <w:t>達成率(%)</w:t>
            </w:r>
          </w:p>
        </w:tc>
      </w:tr>
      <w:tr w:rsidR="00001DC6" w:rsidRPr="00AA53EA" w:rsidTr="00812D44">
        <w:trPr>
          <w:trHeight w:val="20"/>
          <w:jc w:val="center"/>
        </w:trPr>
        <w:tc>
          <w:tcPr>
            <w:tcW w:w="1438" w:type="dxa"/>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r w:rsidRPr="00AA53EA">
              <w:rPr>
                <w:rFonts w:hAnsi="標楷體"/>
                <w:snapToGrid/>
                <w:kern w:val="0"/>
                <w:sz w:val="24"/>
                <w:szCs w:val="20"/>
              </w:rPr>
              <w:t>強化政府主導</w:t>
            </w:r>
            <w:r w:rsidRPr="00AA53EA">
              <w:rPr>
                <w:rFonts w:hAnsi="標楷體"/>
                <w:snapToGrid/>
                <w:sz w:val="24"/>
              </w:rPr>
              <w:t>都市更新機制</w:t>
            </w: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補助辦理個案先期評估規劃、更新地區劃定、都市更新計畫擬定變更、都市計畫擬定、都市更新整體計畫擬定、策略性更新地區劃定、設立專案辦公室、公開評選作業</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件</w:t>
            </w:r>
          </w:p>
        </w:tc>
        <w:tc>
          <w:tcPr>
            <w:tcW w:w="825" w:type="dxa"/>
            <w:shd w:val="clear" w:color="auto" w:fill="auto"/>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100</w:t>
            </w:r>
          </w:p>
        </w:tc>
        <w:tc>
          <w:tcPr>
            <w:tcW w:w="1012" w:type="dxa"/>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25</w:t>
            </w:r>
          </w:p>
        </w:tc>
        <w:tc>
          <w:tcPr>
            <w:tcW w:w="850" w:type="dxa"/>
            <w:shd w:val="clear" w:color="auto" w:fill="auto"/>
            <w:vAlign w:val="center"/>
          </w:tcPr>
          <w:p w:rsidR="00001DC6" w:rsidRPr="00712596" w:rsidRDefault="00001DC6" w:rsidP="000E2743">
            <w:pPr>
              <w:spacing w:line="280" w:lineRule="exact"/>
              <w:ind w:leftChars="-54" w:left="0" w:hangingChars="63" w:hanging="153"/>
              <w:jc w:val="right"/>
              <w:rPr>
                <w:rFonts w:hAnsi="標楷體"/>
                <w:b/>
                <w:snapToGrid/>
                <w:sz w:val="24"/>
              </w:rPr>
            </w:pPr>
            <w:r w:rsidRPr="00712596">
              <w:rPr>
                <w:rFonts w:hAnsi="標楷體"/>
                <w:b/>
                <w:snapToGrid/>
                <w:sz w:val="24"/>
              </w:rPr>
              <w:t>25</w:t>
            </w:r>
          </w:p>
        </w:tc>
      </w:tr>
      <w:tr w:rsidR="00001DC6" w:rsidRPr="00AA53EA" w:rsidTr="00812D44">
        <w:trPr>
          <w:trHeight w:val="20"/>
          <w:jc w:val="center"/>
        </w:trPr>
        <w:tc>
          <w:tcPr>
            <w:tcW w:w="1438" w:type="dxa"/>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r w:rsidRPr="00AA53EA">
              <w:rPr>
                <w:rFonts w:hAnsi="標楷體"/>
                <w:snapToGrid/>
                <w:sz w:val="24"/>
              </w:rPr>
              <w:t>專責機構協助擴大都市更新量能</w:t>
            </w: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國家住都中心完成政府主導都市更新案公開評選實施者/投資人</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件</w:t>
            </w:r>
          </w:p>
        </w:tc>
        <w:tc>
          <w:tcPr>
            <w:tcW w:w="825" w:type="dxa"/>
            <w:shd w:val="clear" w:color="auto" w:fill="auto"/>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6</w:t>
            </w:r>
          </w:p>
        </w:tc>
        <w:tc>
          <w:tcPr>
            <w:tcW w:w="1012" w:type="dxa"/>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8</w:t>
            </w:r>
          </w:p>
        </w:tc>
        <w:tc>
          <w:tcPr>
            <w:tcW w:w="850" w:type="dxa"/>
            <w:shd w:val="clear" w:color="auto" w:fill="auto"/>
            <w:vAlign w:val="center"/>
          </w:tcPr>
          <w:p w:rsidR="00001DC6" w:rsidRPr="00AA53EA" w:rsidRDefault="00001DC6" w:rsidP="000E2743">
            <w:pPr>
              <w:spacing w:line="280" w:lineRule="exact"/>
              <w:ind w:leftChars="-54" w:left="0" w:hangingChars="63" w:hanging="153"/>
              <w:jc w:val="right"/>
              <w:rPr>
                <w:rFonts w:hAnsi="標楷體"/>
                <w:snapToGrid/>
                <w:sz w:val="24"/>
              </w:rPr>
            </w:pPr>
            <w:r w:rsidRPr="00AA53EA">
              <w:rPr>
                <w:rFonts w:hAnsi="標楷體"/>
                <w:snapToGrid/>
                <w:sz w:val="24"/>
              </w:rPr>
              <w:t>133</w:t>
            </w:r>
          </w:p>
        </w:tc>
      </w:tr>
      <w:tr w:rsidR="00001DC6" w:rsidRPr="00AA53EA" w:rsidTr="00812D44">
        <w:trPr>
          <w:trHeight w:val="20"/>
          <w:jc w:val="center"/>
        </w:trPr>
        <w:tc>
          <w:tcPr>
            <w:tcW w:w="1438" w:type="dxa"/>
            <w:vMerge w:val="restart"/>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r w:rsidRPr="00AA53EA">
              <w:rPr>
                <w:rFonts w:hAnsi="標楷體"/>
                <w:snapToGrid/>
                <w:sz w:val="24"/>
              </w:rPr>
              <w:t>鼓勵民間自主實施更新</w:t>
            </w: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辦理重建先期規劃整合作業、輔導成立都市更新會及擬具都市更新事業計畫及權利變換計畫</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件</w:t>
            </w:r>
          </w:p>
        </w:tc>
        <w:tc>
          <w:tcPr>
            <w:tcW w:w="825" w:type="dxa"/>
            <w:shd w:val="clear" w:color="auto" w:fill="auto"/>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24</w:t>
            </w:r>
          </w:p>
        </w:tc>
        <w:tc>
          <w:tcPr>
            <w:tcW w:w="1012" w:type="dxa"/>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13</w:t>
            </w:r>
          </w:p>
        </w:tc>
        <w:tc>
          <w:tcPr>
            <w:tcW w:w="850" w:type="dxa"/>
            <w:shd w:val="clear" w:color="auto" w:fill="auto"/>
            <w:vAlign w:val="center"/>
          </w:tcPr>
          <w:p w:rsidR="00001DC6" w:rsidRPr="00712596" w:rsidRDefault="00001DC6" w:rsidP="000E2743">
            <w:pPr>
              <w:spacing w:line="280" w:lineRule="exact"/>
              <w:ind w:leftChars="-54" w:left="0" w:hangingChars="63" w:hanging="153"/>
              <w:jc w:val="right"/>
              <w:rPr>
                <w:rFonts w:hAnsi="標楷體"/>
                <w:b/>
                <w:snapToGrid/>
                <w:sz w:val="24"/>
              </w:rPr>
            </w:pPr>
            <w:r w:rsidRPr="00712596">
              <w:rPr>
                <w:rFonts w:hAnsi="標楷體"/>
                <w:b/>
                <w:snapToGrid/>
                <w:sz w:val="24"/>
              </w:rPr>
              <w:t>54</w:t>
            </w:r>
          </w:p>
        </w:tc>
      </w:tr>
      <w:tr w:rsidR="00001DC6" w:rsidRPr="00AA53EA" w:rsidTr="00812D44">
        <w:trPr>
          <w:trHeight w:val="20"/>
          <w:jc w:val="center"/>
        </w:trPr>
        <w:tc>
          <w:tcPr>
            <w:tcW w:w="1438" w:type="dxa"/>
            <w:vMerge/>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辦理整建、維護先期整合作業、擬具都市更新事業計畫及工程施作</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件</w:t>
            </w:r>
          </w:p>
        </w:tc>
        <w:tc>
          <w:tcPr>
            <w:tcW w:w="825" w:type="dxa"/>
            <w:shd w:val="clear" w:color="auto" w:fill="auto"/>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48</w:t>
            </w:r>
          </w:p>
        </w:tc>
        <w:tc>
          <w:tcPr>
            <w:tcW w:w="1012" w:type="dxa"/>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31</w:t>
            </w:r>
          </w:p>
        </w:tc>
        <w:tc>
          <w:tcPr>
            <w:tcW w:w="850" w:type="dxa"/>
            <w:shd w:val="clear" w:color="auto" w:fill="auto"/>
            <w:vAlign w:val="center"/>
          </w:tcPr>
          <w:p w:rsidR="00001DC6" w:rsidRPr="00712596" w:rsidRDefault="00001DC6" w:rsidP="000E2743">
            <w:pPr>
              <w:spacing w:line="280" w:lineRule="exact"/>
              <w:ind w:leftChars="-54" w:left="0" w:hangingChars="63" w:hanging="153"/>
              <w:jc w:val="right"/>
              <w:rPr>
                <w:rFonts w:hAnsi="標楷體"/>
                <w:b/>
                <w:snapToGrid/>
                <w:sz w:val="24"/>
              </w:rPr>
            </w:pPr>
            <w:r w:rsidRPr="00712596">
              <w:rPr>
                <w:rFonts w:hAnsi="標楷體"/>
                <w:b/>
                <w:snapToGrid/>
                <w:sz w:val="24"/>
              </w:rPr>
              <w:t>65</w:t>
            </w:r>
          </w:p>
        </w:tc>
      </w:tr>
      <w:tr w:rsidR="00001DC6" w:rsidRPr="00AA53EA" w:rsidTr="00812D44">
        <w:trPr>
          <w:trHeight w:val="20"/>
          <w:jc w:val="center"/>
        </w:trPr>
        <w:tc>
          <w:tcPr>
            <w:tcW w:w="1438" w:type="dxa"/>
            <w:vMerge/>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辦理老舊建物耐震補強鑑定及工程修繕</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戶</w:t>
            </w:r>
          </w:p>
        </w:tc>
        <w:tc>
          <w:tcPr>
            <w:tcW w:w="825" w:type="dxa"/>
            <w:shd w:val="clear" w:color="auto" w:fill="auto"/>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400</w:t>
            </w:r>
          </w:p>
        </w:tc>
        <w:tc>
          <w:tcPr>
            <w:tcW w:w="1012" w:type="dxa"/>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436</w:t>
            </w:r>
          </w:p>
        </w:tc>
        <w:tc>
          <w:tcPr>
            <w:tcW w:w="850" w:type="dxa"/>
            <w:shd w:val="clear" w:color="auto" w:fill="auto"/>
            <w:vAlign w:val="center"/>
          </w:tcPr>
          <w:p w:rsidR="00001DC6" w:rsidRPr="00AA53EA" w:rsidRDefault="00001DC6" w:rsidP="000E2743">
            <w:pPr>
              <w:spacing w:line="280" w:lineRule="exact"/>
              <w:ind w:leftChars="-54" w:left="0" w:hangingChars="63" w:hanging="153"/>
              <w:jc w:val="right"/>
              <w:rPr>
                <w:rFonts w:hAnsi="標楷體"/>
                <w:snapToGrid/>
                <w:sz w:val="24"/>
              </w:rPr>
            </w:pPr>
            <w:r w:rsidRPr="00AA53EA">
              <w:rPr>
                <w:rFonts w:hAnsi="標楷體"/>
                <w:snapToGrid/>
                <w:sz w:val="24"/>
              </w:rPr>
              <w:t>109</w:t>
            </w:r>
          </w:p>
        </w:tc>
      </w:tr>
      <w:tr w:rsidR="00001DC6" w:rsidRPr="00AA53EA" w:rsidTr="00812D44">
        <w:trPr>
          <w:trHeight w:val="20"/>
          <w:jc w:val="center"/>
        </w:trPr>
        <w:tc>
          <w:tcPr>
            <w:tcW w:w="1438" w:type="dxa"/>
            <w:vMerge/>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遴選專業團隊辦理都更業務</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件</w:t>
            </w:r>
          </w:p>
        </w:tc>
        <w:tc>
          <w:tcPr>
            <w:tcW w:w="825" w:type="dxa"/>
            <w:shd w:val="clear" w:color="auto" w:fill="auto"/>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24</w:t>
            </w:r>
          </w:p>
        </w:tc>
        <w:tc>
          <w:tcPr>
            <w:tcW w:w="1012" w:type="dxa"/>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13</w:t>
            </w:r>
          </w:p>
        </w:tc>
        <w:tc>
          <w:tcPr>
            <w:tcW w:w="850" w:type="dxa"/>
            <w:shd w:val="clear" w:color="auto" w:fill="auto"/>
            <w:vAlign w:val="center"/>
          </w:tcPr>
          <w:p w:rsidR="00001DC6" w:rsidRPr="00712596" w:rsidRDefault="00001DC6" w:rsidP="000E2743">
            <w:pPr>
              <w:spacing w:line="280" w:lineRule="exact"/>
              <w:ind w:leftChars="-54" w:left="0" w:hangingChars="63" w:hanging="153"/>
              <w:jc w:val="right"/>
              <w:rPr>
                <w:rFonts w:hAnsi="標楷體"/>
                <w:b/>
                <w:snapToGrid/>
                <w:sz w:val="24"/>
              </w:rPr>
            </w:pPr>
            <w:r w:rsidRPr="00712596">
              <w:rPr>
                <w:rFonts w:hAnsi="標楷體"/>
                <w:b/>
                <w:snapToGrid/>
                <w:sz w:val="24"/>
              </w:rPr>
              <w:t>54</w:t>
            </w:r>
          </w:p>
        </w:tc>
      </w:tr>
      <w:tr w:rsidR="00001DC6" w:rsidRPr="00AA53EA" w:rsidTr="00812D44">
        <w:trPr>
          <w:trHeight w:val="390"/>
          <w:jc w:val="center"/>
        </w:trPr>
        <w:tc>
          <w:tcPr>
            <w:tcW w:w="1438" w:type="dxa"/>
            <w:vMerge w:val="restart"/>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r w:rsidRPr="00AA53EA">
              <w:rPr>
                <w:rFonts w:hAnsi="標楷體"/>
                <w:snapToGrid/>
                <w:sz w:val="24"/>
              </w:rPr>
              <w:t>厚植都市更新產業人才</w:t>
            </w: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民間從業人員短期訓練課程</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人</w:t>
            </w:r>
          </w:p>
        </w:tc>
        <w:tc>
          <w:tcPr>
            <w:tcW w:w="825" w:type="dxa"/>
            <w:shd w:val="clear" w:color="auto" w:fill="auto"/>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400</w:t>
            </w:r>
          </w:p>
        </w:tc>
        <w:tc>
          <w:tcPr>
            <w:tcW w:w="1012" w:type="dxa"/>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1,365</w:t>
            </w:r>
          </w:p>
        </w:tc>
        <w:tc>
          <w:tcPr>
            <w:tcW w:w="850" w:type="dxa"/>
            <w:shd w:val="clear" w:color="auto" w:fill="auto"/>
            <w:vAlign w:val="center"/>
          </w:tcPr>
          <w:p w:rsidR="00001DC6" w:rsidRPr="00AA53EA" w:rsidRDefault="00001DC6" w:rsidP="000E2743">
            <w:pPr>
              <w:spacing w:line="280" w:lineRule="exact"/>
              <w:ind w:leftChars="-54" w:left="0" w:hangingChars="63" w:hanging="153"/>
              <w:jc w:val="right"/>
              <w:rPr>
                <w:rFonts w:hAnsi="標楷體"/>
                <w:snapToGrid/>
                <w:sz w:val="24"/>
              </w:rPr>
            </w:pPr>
            <w:r w:rsidRPr="00AA53EA">
              <w:rPr>
                <w:rFonts w:hAnsi="標楷體"/>
                <w:snapToGrid/>
                <w:sz w:val="24"/>
              </w:rPr>
              <w:t>341</w:t>
            </w:r>
          </w:p>
        </w:tc>
      </w:tr>
      <w:tr w:rsidR="00001DC6" w:rsidRPr="00AA53EA" w:rsidTr="00812D44">
        <w:trPr>
          <w:trHeight w:val="426"/>
          <w:jc w:val="center"/>
        </w:trPr>
        <w:tc>
          <w:tcPr>
            <w:tcW w:w="1438" w:type="dxa"/>
            <w:vMerge/>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宣導都市更新教育訓練</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人</w:t>
            </w:r>
          </w:p>
        </w:tc>
        <w:tc>
          <w:tcPr>
            <w:tcW w:w="825" w:type="dxa"/>
            <w:shd w:val="clear" w:color="auto" w:fill="auto"/>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6,000</w:t>
            </w:r>
          </w:p>
        </w:tc>
        <w:tc>
          <w:tcPr>
            <w:tcW w:w="1012" w:type="dxa"/>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37,393</w:t>
            </w:r>
          </w:p>
        </w:tc>
        <w:tc>
          <w:tcPr>
            <w:tcW w:w="850" w:type="dxa"/>
            <w:shd w:val="clear" w:color="auto" w:fill="auto"/>
            <w:vAlign w:val="center"/>
          </w:tcPr>
          <w:p w:rsidR="00001DC6" w:rsidRPr="00AA53EA" w:rsidRDefault="00001DC6" w:rsidP="000E2743">
            <w:pPr>
              <w:spacing w:line="280" w:lineRule="exact"/>
              <w:ind w:leftChars="-54" w:left="0" w:hangingChars="63" w:hanging="153"/>
              <w:jc w:val="right"/>
              <w:rPr>
                <w:rFonts w:hAnsi="標楷體"/>
                <w:snapToGrid/>
                <w:sz w:val="24"/>
              </w:rPr>
            </w:pPr>
            <w:r w:rsidRPr="00AA53EA">
              <w:rPr>
                <w:rFonts w:hAnsi="標楷體"/>
                <w:snapToGrid/>
                <w:sz w:val="24"/>
              </w:rPr>
              <w:t>623</w:t>
            </w:r>
          </w:p>
        </w:tc>
      </w:tr>
    </w:tbl>
    <w:p w:rsidR="00001DC6" w:rsidRDefault="00001DC6" w:rsidP="000E2743">
      <w:pPr>
        <w:spacing w:line="280" w:lineRule="exact"/>
        <w:ind w:leftChars="-1" w:left="-3" w:firstLineChars="0" w:firstLine="3"/>
        <w:jc w:val="left"/>
        <w:rPr>
          <w:rFonts w:ascii="Times New Roman"/>
          <w:sz w:val="24"/>
        </w:rPr>
      </w:pPr>
      <w:r w:rsidRPr="00752AD6">
        <w:rPr>
          <w:rFonts w:ascii="Times New Roman"/>
          <w:sz w:val="24"/>
          <w:lang w:eastAsia="zh-HK"/>
        </w:rPr>
        <w:t>資料來源：</w:t>
      </w:r>
      <w:r>
        <w:rPr>
          <w:rFonts w:ascii="Times New Roman" w:hint="eastAsia"/>
          <w:sz w:val="24"/>
        </w:rPr>
        <w:t>營建</w:t>
      </w:r>
      <w:r w:rsidRPr="000E39DD">
        <w:rPr>
          <w:rFonts w:ascii="Times New Roman" w:hint="eastAsia"/>
          <w:sz w:val="24"/>
        </w:rPr>
        <w:t>署</w:t>
      </w:r>
      <w:r w:rsidRPr="00752AD6">
        <w:rPr>
          <w:rFonts w:ascii="Times New Roman"/>
          <w:sz w:val="24"/>
        </w:rPr>
        <w:t>。</w:t>
      </w:r>
    </w:p>
    <w:p w:rsidR="00001DC6" w:rsidRPr="00AA45E3" w:rsidRDefault="00001DC6" w:rsidP="000E2743">
      <w:pPr>
        <w:ind w:left="566" w:firstLine="566"/>
      </w:pPr>
      <w:r w:rsidRPr="00C10B17">
        <w:rPr>
          <w:rFonts w:hint="eastAsia"/>
          <w:lang w:eastAsia="zh-HK"/>
        </w:rPr>
        <w:t>綜上，</w:t>
      </w:r>
      <w:r w:rsidRPr="00C10B17">
        <w:rPr>
          <w:rFonts w:hint="eastAsia"/>
        </w:rPr>
        <w:t>為</w:t>
      </w:r>
      <w:r w:rsidRPr="00174175">
        <w:rPr>
          <w:rFonts w:hint="eastAsia"/>
        </w:rPr>
        <w:t>積極推動</w:t>
      </w:r>
      <w:r w:rsidRPr="00C10B17">
        <w:rPr>
          <w:rFonts w:hint="eastAsia"/>
          <w:lang w:eastAsia="zh-HK"/>
        </w:rPr>
        <w:t>都市更新改善城市風貌，</w:t>
      </w:r>
      <w:r>
        <w:rPr>
          <w:rFonts w:hint="eastAsia"/>
        </w:rPr>
        <w:t>營建署於中央都更基金辧理</w:t>
      </w:r>
      <w:r w:rsidRPr="00AA45E3">
        <w:rPr>
          <w:rFonts w:hint="eastAsia"/>
        </w:rPr>
        <w:t>「都市更新發展計畫」(108-111年)</w:t>
      </w:r>
      <w:r>
        <w:rPr>
          <w:rFonts w:hint="eastAsia"/>
        </w:rPr>
        <w:t>，惟</w:t>
      </w:r>
      <w:r w:rsidRPr="00AA45E3">
        <w:rPr>
          <w:rFonts w:hint="eastAsia"/>
        </w:rPr>
        <w:t>各年度預算執行率</w:t>
      </w:r>
      <w:r>
        <w:rPr>
          <w:rFonts w:hint="eastAsia"/>
        </w:rPr>
        <w:t>均</w:t>
      </w:r>
      <w:r w:rsidRPr="00AA45E3">
        <w:rPr>
          <w:rFonts w:hint="eastAsia"/>
        </w:rPr>
        <w:t>偏低，且策略目標「強化政府主導都市更新機制」設定108至111年應達100件，實際僅達25件，另策略目標「鼓勵民間自</w:t>
      </w:r>
      <w:r w:rsidRPr="00AA45E3">
        <w:rPr>
          <w:rFonts w:hint="eastAsia"/>
        </w:rPr>
        <w:lastRenderedPageBreak/>
        <w:t>主實施更新」項下亦有甚多細項達成情形未見理想，</w:t>
      </w:r>
      <w:r>
        <w:rPr>
          <w:rFonts w:hint="eastAsia"/>
        </w:rPr>
        <w:t>允宜研謀</w:t>
      </w:r>
      <w:r w:rsidRPr="00AA45E3">
        <w:rPr>
          <w:rFonts w:hint="eastAsia"/>
        </w:rPr>
        <w:t>提升計畫成效。</w:t>
      </w:r>
    </w:p>
    <w:bookmarkEnd w:id="1"/>
    <w:bookmarkEnd w:id="2"/>
    <w:bookmarkEnd w:id="3"/>
    <w:bookmarkEnd w:id="4"/>
    <w:bookmarkEnd w:id="5"/>
    <w:bookmarkEnd w:id="6"/>
    <w:bookmarkEnd w:id="7"/>
    <w:bookmarkEnd w:id="8"/>
    <w:bookmarkEnd w:id="9"/>
    <w:bookmarkEnd w:id="10"/>
    <w:bookmarkEnd w:id="11"/>
    <w:bookmarkEnd w:id="12"/>
    <w:bookmarkEnd w:id="13"/>
    <w:bookmarkEnd w:id="14"/>
    <w:sectPr w:rsidR="00001DC6" w:rsidRPr="00AA45E3" w:rsidSect="00E1687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A46" w:rsidRDefault="004F1A46" w:rsidP="00D36A3D">
      <w:pPr>
        <w:spacing w:line="240" w:lineRule="auto"/>
        <w:ind w:left="560" w:firstLine="560"/>
      </w:pPr>
      <w:r>
        <w:separator/>
      </w:r>
    </w:p>
  </w:endnote>
  <w:endnote w:type="continuationSeparator" w:id="0">
    <w:p w:rsidR="004F1A46" w:rsidRDefault="004F1A46" w:rsidP="00D36A3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A14727">
    <w:pPr>
      <w:pStyle w:val="af"/>
      <w:ind w:leftChars="0" w:left="0" w:firstLineChars="0" w:firstLine="0"/>
      <w:jc w:val="center"/>
    </w:pPr>
    <w:r>
      <w:fldChar w:fldCharType="begin"/>
    </w:r>
    <w:r>
      <w:instrText>PAGE   \* MERGEFORMAT</w:instrText>
    </w:r>
    <w:r>
      <w:fldChar w:fldCharType="separate"/>
    </w:r>
    <w:r w:rsidR="00724D7C" w:rsidRPr="00724D7C">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A46" w:rsidRDefault="004F1A46" w:rsidP="00733280">
      <w:pPr>
        <w:spacing w:line="240" w:lineRule="auto"/>
        <w:ind w:left="560" w:firstLine="560"/>
      </w:pPr>
      <w:r>
        <w:separator/>
      </w:r>
    </w:p>
  </w:footnote>
  <w:footnote w:type="continuationSeparator" w:id="0">
    <w:p w:rsidR="004F1A46" w:rsidRDefault="004F1A46" w:rsidP="00D36A3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576AE0">
    <w:pPr>
      <w:pStyle w:val="ad"/>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34A5E"/>
    <w:multiLevelType w:val="hybridMultilevel"/>
    <w:tmpl w:val="CE485C66"/>
    <w:lvl w:ilvl="0" w:tplc="8DE88CE0">
      <w:start w:val="1"/>
      <w:numFmt w:val="taiwaneseCountingThousand"/>
      <w:lvlText w:val="(%1)"/>
      <w:lvlJc w:val="left"/>
      <w:pPr>
        <w:ind w:left="1287" w:hanging="72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0C037579"/>
    <w:multiLevelType w:val="hybridMultilevel"/>
    <w:tmpl w:val="1A9409D2"/>
    <w:lvl w:ilvl="0" w:tplc="7EEE01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4"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797C60"/>
    <w:multiLevelType w:val="hybridMultilevel"/>
    <w:tmpl w:val="8280F188"/>
    <w:lvl w:ilvl="0" w:tplc="0EBE12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87969F0"/>
    <w:multiLevelType w:val="hybridMultilevel"/>
    <w:tmpl w:val="E4204358"/>
    <w:lvl w:ilvl="0" w:tplc="F12E17F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8F2FFD"/>
    <w:multiLevelType w:val="hybridMultilevel"/>
    <w:tmpl w:val="34981972"/>
    <w:lvl w:ilvl="0" w:tplc="288AAA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99D0E40"/>
    <w:multiLevelType w:val="hybridMultilevel"/>
    <w:tmpl w:val="5AF61460"/>
    <w:lvl w:ilvl="0" w:tplc="9ECA50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131E0A"/>
    <w:multiLevelType w:val="hybridMultilevel"/>
    <w:tmpl w:val="71927016"/>
    <w:lvl w:ilvl="0" w:tplc="526A1C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BD26E5"/>
    <w:multiLevelType w:val="hybridMultilevel"/>
    <w:tmpl w:val="13EEF148"/>
    <w:lvl w:ilvl="0" w:tplc="A588C89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A3C7244"/>
    <w:multiLevelType w:val="hybridMultilevel"/>
    <w:tmpl w:val="A466577A"/>
    <w:lvl w:ilvl="0" w:tplc="6FBAADD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EE1D5C"/>
    <w:multiLevelType w:val="hybridMultilevel"/>
    <w:tmpl w:val="3BB28332"/>
    <w:lvl w:ilvl="0" w:tplc="2F566F0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D61E42"/>
    <w:multiLevelType w:val="hybridMultilevel"/>
    <w:tmpl w:val="7EDEB23A"/>
    <w:lvl w:ilvl="0" w:tplc="EB108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5F046403"/>
    <w:multiLevelType w:val="hybridMultilevel"/>
    <w:tmpl w:val="C4B874B0"/>
    <w:lvl w:ilvl="0" w:tplc="9948E5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91D4DF6"/>
    <w:multiLevelType w:val="hybridMultilevel"/>
    <w:tmpl w:val="DABCFDC6"/>
    <w:lvl w:ilvl="0" w:tplc="BF5A6F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EC53FE7"/>
    <w:multiLevelType w:val="hybridMultilevel"/>
    <w:tmpl w:val="CE507316"/>
    <w:lvl w:ilvl="0" w:tplc="E436AC4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9BC06D5"/>
    <w:multiLevelType w:val="hybridMultilevel"/>
    <w:tmpl w:val="C7A8EF2A"/>
    <w:lvl w:ilvl="0" w:tplc="4A26113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B4276AD"/>
    <w:multiLevelType w:val="hybridMultilevel"/>
    <w:tmpl w:val="8FE4A5FE"/>
    <w:lvl w:ilvl="0" w:tplc="0D6C25D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7" w15:restartNumberingAfterBreak="0">
    <w:nsid w:val="7F332DF0"/>
    <w:multiLevelType w:val="hybridMultilevel"/>
    <w:tmpl w:val="E990C900"/>
    <w:lvl w:ilvl="0" w:tplc="7E8A0C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15"/>
  </w:num>
  <w:num w:numId="3">
    <w:abstractNumId w:val="7"/>
  </w:num>
  <w:num w:numId="4">
    <w:abstractNumId w:val="40"/>
  </w:num>
  <w:num w:numId="5">
    <w:abstractNumId w:val="24"/>
  </w:num>
  <w:num w:numId="6">
    <w:abstractNumId w:val="36"/>
  </w:num>
  <w:num w:numId="7">
    <w:abstractNumId w:val="46"/>
  </w:num>
  <w:num w:numId="8">
    <w:abstractNumId w:val="5"/>
  </w:num>
  <w:num w:numId="9">
    <w:abstractNumId w:val="22"/>
  </w:num>
  <w:num w:numId="10">
    <w:abstractNumId w:val="35"/>
  </w:num>
  <w:num w:numId="11">
    <w:abstractNumId w:val="16"/>
  </w:num>
  <w:num w:numId="12">
    <w:abstractNumId w:val="30"/>
  </w:num>
  <w:num w:numId="13">
    <w:abstractNumId w:val="14"/>
  </w:num>
  <w:num w:numId="14">
    <w:abstractNumId w:val="43"/>
  </w:num>
  <w:num w:numId="15">
    <w:abstractNumId w:val="28"/>
  </w:num>
  <w:num w:numId="16">
    <w:abstractNumId w:val="17"/>
  </w:num>
  <w:num w:numId="17">
    <w:abstractNumId w:val="2"/>
  </w:num>
  <w:num w:numId="18">
    <w:abstractNumId w:val="21"/>
  </w:num>
  <w:num w:numId="19">
    <w:abstractNumId w:val="12"/>
  </w:num>
  <w:num w:numId="20">
    <w:abstractNumId w:val="32"/>
  </w:num>
  <w:num w:numId="21">
    <w:abstractNumId w:val="27"/>
  </w:num>
  <w:num w:numId="22">
    <w:abstractNumId w:val="8"/>
  </w:num>
  <w:num w:numId="23">
    <w:abstractNumId w:val="29"/>
  </w:num>
  <w:num w:numId="24">
    <w:abstractNumId w:val="13"/>
  </w:num>
  <w:num w:numId="25">
    <w:abstractNumId w:val="1"/>
  </w:num>
  <w:num w:numId="26">
    <w:abstractNumId w:val="37"/>
  </w:num>
  <w:num w:numId="27">
    <w:abstractNumId w:val="33"/>
  </w:num>
  <w:num w:numId="28">
    <w:abstractNumId w:val="10"/>
  </w:num>
  <w:num w:numId="29">
    <w:abstractNumId w:val="26"/>
  </w:num>
  <w:num w:numId="30">
    <w:abstractNumId w:val="45"/>
  </w:num>
  <w:num w:numId="31">
    <w:abstractNumId w:val="44"/>
  </w:num>
  <w:num w:numId="32">
    <w:abstractNumId w:val="19"/>
  </w:num>
  <w:num w:numId="33">
    <w:abstractNumId w:val="11"/>
  </w:num>
  <w:num w:numId="34">
    <w:abstractNumId w:val="18"/>
  </w:num>
  <w:num w:numId="35">
    <w:abstractNumId w:val="31"/>
  </w:num>
  <w:num w:numId="36">
    <w:abstractNumId w:val="34"/>
  </w:num>
  <w:num w:numId="37">
    <w:abstractNumId w:val="47"/>
  </w:num>
  <w:num w:numId="38">
    <w:abstractNumId w:val="39"/>
  </w:num>
  <w:num w:numId="39">
    <w:abstractNumId w:val="20"/>
    <w:lvlOverride w:ilvl="0"/>
    <w:lvlOverride w:ilvl="1"/>
    <w:lvlOverride w:ilvl="2"/>
    <w:lvlOverride w:ilvl="3"/>
    <w:lvlOverride w:ilvl="4"/>
    <w:lvlOverride w:ilvl="5"/>
    <w:lvlOverride w:ilvl="6"/>
    <w:lvlOverride w:ilvl="7"/>
    <w:lvlOverride w:ilvl="8"/>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20"/>
  </w:num>
  <w:num w:numId="43">
    <w:abstractNumId w:val="6"/>
  </w:num>
  <w:num w:numId="44">
    <w:abstractNumId w:val="23"/>
  </w:num>
  <w:num w:numId="45">
    <w:abstractNumId w:val="4"/>
  </w:num>
  <w:num w:numId="46">
    <w:abstractNumId w:val="3"/>
  </w:num>
  <w:num w:numId="47">
    <w:abstractNumId w:val="9"/>
  </w:num>
  <w:num w:numId="48">
    <w:abstractNumId w:val="25"/>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1687C"/>
    <w:rsid w:val="00001DC6"/>
    <w:rsid w:val="0000321B"/>
    <w:rsid w:val="000047A3"/>
    <w:rsid w:val="00005DAA"/>
    <w:rsid w:val="00006316"/>
    <w:rsid w:val="00016ADF"/>
    <w:rsid w:val="00022C0B"/>
    <w:rsid w:val="00023192"/>
    <w:rsid w:val="00024049"/>
    <w:rsid w:val="0002612B"/>
    <w:rsid w:val="00034B02"/>
    <w:rsid w:val="00035893"/>
    <w:rsid w:val="0003654C"/>
    <w:rsid w:val="000366FD"/>
    <w:rsid w:val="00043873"/>
    <w:rsid w:val="000440FB"/>
    <w:rsid w:val="0004426C"/>
    <w:rsid w:val="00044514"/>
    <w:rsid w:val="00046D9D"/>
    <w:rsid w:val="00047966"/>
    <w:rsid w:val="00052CE4"/>
    <w:rsid w:val="0005322E"/>
    <w:rsid w:val="00055D79"/>
    <w:rsid w:val="00057633"/>
    <w:rsid w:val="000634BA"/>
    <w:rsid w:val="0006730A"/>
    <w:rsid w:val="000721A0"/>
    <w:rsid w:val="00072C4B"/>
    <w:rsid w:val="00073738"/>
    <w:rsid w:val="0007696B"/>
    <w:rsid w:val="000800CA"/>
    <w:rsid w:val="00081113"/>
    <w:rsid w:val="0009449E"/>
    <w:rsid w:val="00097325"/>
    <w:rsid w:val="000A13D7"/>
    <w:rsid w:val="000A2408"/>
    <w:rsid w:val="000A6E46"/>
    <w:rsid w:val="000A78AC"/>
    <w:rsid w:val="000B0C40"/>
    <w:rsid w:val="000B2E04"/>
    <w:rsid w:val="000B334C"/>
    <w:rsid w:val="000B3C7E"/>
    <w:rsid w:val="000B5559"/>
    <w:rsid w:val="000B664D"/>
    <w:rsid w:val="000C29DA"/>
    <w:rsid w:val="000C6DE5"/>
    <w:rsid w:val="000C7AAB"/>
    <w:rsid w:val="000D1887"/>
    <w:rsid w:val="000D71B2"/>
    <w:rsid w:val="000D79E6"/>
    <w:rsid w:val="000E2743"/>
    <w:rsid w:val="000E28CD"/>
    <w:rsid w:val="000E29C8"/>
    <w:rsid w:val="000F1261"/>
    <w:rsid w:val="000F1547"/>
    <w:rsid w:val="000F1E9F"/>
    <w:rsid w:val="000F486D"/>
    <w:rsid w:val="000F5D44"/>
    <w:rsid w:val="00103490"/>
    <w:rsid w:val="001057C5"/>
    <w:rsid w:val="001063DB"/>
    <w:rsid w:val="001064A9"/>
    <w:rsid w:val="0011295D"/>
    <w:rsid w:val="0011552C"/>
    <w:rsid w:val="00125A0A"/>
    <w:rsid w:val="001260CF"/>
    <w:rsid w:val="00130F4A"/>
    <w:rsid w:val="00132637"/>
    <w:rsid w:val="0013266D"/>
    <w:rsid w:val="001362E0"/>
    <w:rsid w:val="00136F53"/>
    <w:rsid w:val="0014041C"/>
    <w:rsid w:val="00141BFA"/>
    <w:rsid w:val="0014240C"/>
    <w:rsid w:val="00157B4B"/>
    <w:rsid w:val="00161159"/>
    <w:rsid w:val="0016276A"/>
    <w:rsid w:val="00164181"/>
    <w:rsid w:val="0016473B"/>
    <w:rsid w:val="00166FAC"/>
    <w:rsid w:val="001753D1"/>
    <w:rsid w:val="00175BAA"/>
    <w:rsid w:val="00176C38"/>
    <w:rsid w:val="00182BED"/>
    <w:rsid w:val="0018441F"/>
    <w:rsid w:val="00186302"/>
    <w:rsid w:val="00186978"/>
    <w:rsid w:val="00194B75"/>
    <w:rsid w:val="001A2B9E"/>
    <w:rsid w:val="001A3BD8"/>
    <w:rsid w:val="001A3E25"/>
    <w:rsid w:val="001A3E6A"/>
    <w:rsid w:val="001A5590"/>
    <w:rsid w:val="001A5CE3"/>
    <w:rsid w:val="001A798D"/>
    <w:rsid w:val="001B5FD4"/>
    <w:rsid w:val="001B653A"/>
    <w:rsid w:val="001B6B84"/>
    <w:rsid w:val="001B6EEE"/>
    <w:rsid w:val="001C5EE7"/>
    <w:rsid w:val="001D4458"/>
    <w:rsid w:val="001E30C6"/>
    <w:rsid w:val="001E5096"/>
    <w:rsid w:val="001F0112"/>
    <w:rsid w:val="001F302E"/>
    <w:rsid w:val="001F49FB"/>
    <w:rsid w:val="001F54D4"/>
    <w:rsid w:val="001F6F10"/>
    <w:rsid w:val="001F798F"/>
    <w:rsid w:val="002018FE"/>
    <w:rsid w:val="00207389"/>
    <w:rsid w:val="00210AB7"/>
    <w:rsid w:val="002136DF"/>
    <w:rsid w:val="00213DF7"/>
    <w:rsid w:val="00214045"/>
    <w:rsid w:val="00215F0E"/>
    <w:rsid w:val="00221D13"/>
    <w:rsid w:val="0022442D"/>
    <w:rsid w:val="00224D09"/>
    <w:rsid w:val="0022764E"/>
    <w:rsid w:val="00233397"/>
    <w:rsid w:val="002363AE"/>
    <w:rsid w:val="002403DD"/>
    <w:rsid w:val="0024042D"/>
    <w:rsid w:val="00240FE7"/>
    <w:rsid w:val="0024164B"/>
    <w:rsid w:val="002464E9"/>
    <w:rsid w:val="00247436"/>
    <w:rsid w:val="002512E9"/>
    <w:rsid w:val="0025172F"/>
    <w:rsid w:val="00253CFA"/>
    <w:rsid w:val="002553B3"/>
    <w:rsid w:val="0025606E"/>
    <w:rsid w:val="00266158"/>
    <w:rsid w:val="0027117D"/>
    <w:rsid w:val="00274AB1"/>
    <w:rsid w:val="00276E1D"/>
    <w:rsid w:val="00277933"/>
    <w:rsid w:val="0028161F"/>
    <w:rsid w:val="00282B0D"/>
    <w:rsid w:val="00283A41"/>
    <w:rsid w:val="00285B39"/>
    <w:rsid w:val="00287DFD"/>
    <w:rsid w:val="002922D6"/>
    <w:rsid w:val="002951C8"/>
    <w:rsid w:val="002A1F89"/>
    <w:rsid w:val="002A25BD"/>
    <w:rsid w:val="002A33B8"/>
    <w:rsid w:val="002A5211"/>
    <w:rsid w:val="002A62A2"/>
    <w:rsid w:val="002A62DA"/>
    <w:rsid w:val="002A7A87"/>
    <w:rsid w:val="002B1D64"/>
    <w:rsid w:val="002B2752"/>
    <w:rsid w:val="002B28D4"/>
    <w:rsid w:val="002B7B33"/>
    <w:rsid w:val="002C0AAD"/>
    <w:rsid w:val="002C10CD"/>
    <w:rsid w:val="002C37A4"/>
    <w:rsid w:val="002C4C71"/>
    <w:rsid w:val="002C4F06"/>
    <w:rsid w:val="002C71B9"/>
    <w:rsid w:val="002D4CEC"/>
    <w:rsid w:val="002D4D03"/>
    <w:rsid w:val="002D592A"/>
    <w:rsid w:val="002E1FBA"/>
    <w:rsid w:val="002E21E1"/>
    <w:rsid w:val="002E5EEB"/>
    <w:rsid w:val="002E6387"/>
    <w:rsid w:val="002F0DBD"/>
    <w:rsid w:val="002F177B"/>
    <w:rsid w:val="002F3896"/>
    <w:rsid w:val="002F5866"/>
    <w:rsid w:val="003003A3"/>
    <w:rsid w:val="003025E4"/>
    <w:rsid w:val="003029EC"/>
    <w:rsid w:val="00302B12"/>
    <w:rsid w:val="00305558"/>
    <w:rsid w:val="003068A9"/>
    <w:rsid w:val="003072E8"/>
    <w:rsid w:val="00307349"/>
    <w:rsid w:val="003118F7"/>
    <w:rsid w:val="00317190"/>
    <w:rsid w:val="003179AE"/>
    <w:rsid w:val="003200EC"/>
    <w:rsid w:val="0032187A"/>
    <w:rsid w:val="00324FEC"/>
    <w:rsid w:val="003271F6"/>
    <w:rsid w:val="0033128B"/>
    <w:rsid w:val="003324E0"/>
    <w:rsid w:val="00336576"/>
    <w:rsid w:val="00337CC4"/>
    <w:rsid w:val="00342144"/>
    <w:rsid w:val="0036078C"/>
    <w:rsid w:val="003644C6"/>
    <w:rsid w:val="003657B6"/>
    <w:rsid w:val="00366BF5"/>
    <w:rsid w:val="00367B4F"/>
    <w:rsid w:val="003705F1"/>
    <w:rsid w:val="00373979"/>
    <w:rsid w:val="003740DD"/>
    <w:rsid w:val="0037524E"/>
    <w:rsid w:val="00386130"/>
    <w:rsid w:val="00391404"/>
    <w:rsid w:val="003927ED"/>
    <w:rsid w:val="003936A4"/>
    <w:rsid w:val="00393FF7"/>
    <w:rsid w:val="00397F84"/>
    <w:rsid w:val="003A33D7"/>
    <w:rsid w:val="003A396A"/>
    <w:rsid w:val="003B1E29"/>
    <w:rsid w:val="003B413B"/>
    <w:rsid w:val="003B440C"/>
    <w:rsid w:val="003B7E2B"/>
    <w:rsid w:val="003C2604"/>
    <w:rsid w:val="003C382A"/>
    <w:rsid w:val="003C3B64"/>
    <w:rsid w:val="003C406F"/>
    <w:rsid w:val="003D051B"/>
    <w:rsid w:val="003D31BF"/>
    <w:rsid w:val="003D54DF"/>
    <w:rsid w:val="003D5626"/>
    <w:rsid w:val="003D58FB"/>
    <w:rsid w:val="003D695D"/>
    <w:rsid w:val="003D7788"/>
    <w:rsid w:val="003E3F40"/>
    <w:rsid w:val="003E5C46"/>
    <w:rsid w:val="00404AD7"/>
    <w:rsid w:val="004062F1"/>
    <w:rsid w:val="0040643C"/>
    <w:rsid w:val="00407289"/>
    <w:rsid w:val="00410B49"/>
    <w:rsid w:val="0041114D"/>
    <w:rsid w:val="0042037B"/>
    <w:rsid w:val="00422ECA"/>
    <w:rsid w:val="00423781"/>
    <w:rsid w:val="00426CC8"/>
    <w:rsid w:val="0042798E"/>
    <w:rsid w:val="00430B7E"/>
    <w:rsid w:val="0043171A"/>
    <w:rsid w:val="0043490C"/>
    <w:rsid w:val="00436897"/>
    <w:rsid w:val="00440CFB"/>
    <w:rsid w:val="00442D1F"/>
    <w:rsid w:val="00444A71"/>
    <w:rsid w:val="00446DA8"/>
    <w:rsid w:val="00447393"/>
    <w:rsid w:val="00450BF1"/>
    <w:rsid w:val="00452266"/>
    <w:rsid w:val="00454EE2"/>
    <w:rsid w:val="004556A1"/>
    <w:rsid w:val="004566DA"/>
    <w:rsid w:val="004569AA"/>
    <w:rsid w:val="004569F4"/>
    <w:rsid w:val="00461A10"/>
    <w:rsid w:val="00462769"/>
    <w:rsid w:val="00473DD2"/>
    <w:rsid w:val="00476502"/>
    <w:rsid w:val="00477DFE"/>
    <w:rsid w:val="00480D96"/>
    <w:rsid w:val="00482146"/>
    <w:rsid w:val="0048674E"/>
    <w:rsid w:val="00490901"/>
    <w:rsid w:val="004948E6"/>
    <w:rsid w:val="00494E22"/>
    <w:rsid w:val="00496123"/>
    <w:rsid w:val="004A2528"/>
    <w:rsid w:val="004A37EB"/>
    <w:rsid w:val="004A3EDF"/>
    <w:rsid w:val="004B1551"/>
    <w:rsid w:val="004B2C3D"/>
    <w:rsid w:val="004B47C3"/>
    <w:rsid w:val="004B4BB6"/>
    <w:rsid w:val="004B5A1E"/>
    <w:rsid w:val="004B69EA"/>
    <w:rsid w:val="004B6E95"/>
    <w:rsid w:val="004B7F84"/>
    <w:rsid w:val="004C2F17"/>
    <w:rsid w:val="004C7A2A"/>
    <w:rsid w:val="004D13D0"/>
    <w:rsid w:val="004D2AF4"/>
    <w:rsid w:val="004E1B14"/>
    <w:rsid w:val="004F0D79"/>
    <w:rsid w:val="004F0D9A"/>
    <w:rsid w:val="004F0DAA"/>
    <w:rsid w:val="004F1A46"/>
    <w:rsid w:val="004F2C83"/>
    <w:rsid w:val="004F2EC5"/>
    <w:rsid w:val="004F474A"/>
    <w:rsid w:val="004F62F7"/>
    <w:rsid w:val="004F69A2"/>
    <w:rsid w:val="00501A4F"/>
    <w:rsid w:val="005036D6"/>
    <w:rsid w:val="00506D1F"/>
    <w:rsid w:val="0051091B"/>
    <w:rsid w:val="005110D2"/>
    <w:rsid w:val="00513137"/>
    <w:rsid w:val="00516100"/>
    <w:rsid w:val="005173CD"/>
    <w:rsid w:val="0051769B"/>
    <w:rsid w:val="00521CB3"/>
    <w:rsid w:val="0052294E"/>
    <w:rsid w:val="00522B61"/>
    <w:rsid w:val="00524B8C"/>
    <w:rsid w:val="00525D59"/>
    <w:rsid w:val="005276CB"/>
    <w:rsid w:val="0052772B"/>
    <w:rsid w:val="00527EC6"/>
    <w:rsid w:val="00534FD8"/>
    <w:rsid w:val="005406BE"/>
    <w:rsid w:val="00541C67"/>
    <w:rsid w:val="00542A24"/>
    <w:rsid w:val="00543DEF"/>
    <w:rsid w:val="00544190"/>
    <w:rsid w:val="00544420"/>
    <w:rsid w:val="005507F8"/>
    <w:rsid w:val="00551F59"/>
    <w:rsid w:val="00554467"/>
    <w:rsid w:val="005551F9"/>
    <w:rsid w:val="005555FF"/>
    <w:rsid w:val="00556B4F"/>
    <w:rsid w:val="00560B86"/>
    <w:rsid w:val="005623B4"/>
    <w:rsid w:val="005632C1"/>
    <w:rsid w:val="00563F0F"/>
    <w:rsid w:val="005670DB"/>
    <w:rsid w:val="0056710F"/>
    <w:rsid w:val="0057096A"/>
    <w:rsid w:val="0057257B"/>
    <w:rsid w:val="00576AE0"/>
    <w:rsid w:val="0057779F"/>
    <w:rsid w:val="00581804"/>
    <w:rsid w:val="0058304E"/>
    <w:rsid w:val="005859E8"/>
    <w:rsid w:val="00585A04"/>
    <w:rsid w:val="0058642D"/>
    <w:rsid w:val="005866DF"/>
    <w:rsid w:val="005869E5"/>
    <w:rsid w:val="005910AD"/>
    <w:rsid w:val="0059349A"/>
    <w:rsid w:val="0059531C"/>
    <w:rsid w:val="00597117"/>
    <w:rsid w:val="005974E0"/>
    <w:rsid w:val="005A108F"/>
    <w:rsid w:val="005A2376"/>
    <w:rsid w:val="005A29A1"/>
    <w:rsid w:val="005A614A"/>
    <w:rsid w:val="005B2483"/>
    <w:rsid w:val="005B29E1"/>
    <w:rsid w:val="005B6511"/>
    <w:rsid w:val="005B6C78"/>
    <w:rsid w:val="005B7D84"/>
    <w:rsid w:val="005C0349"/>
    <w:rsid w:val="005C099A"/>
    <w:rsid w:val="005C24C4"/>
    <w:rsid w:val="005D0CD3"/>
    <w:rsid w:val="005D2AE5"/>
    <w:rsid w:val="005D2C53"/>
    <w:rsid w:val="005D5F8A"/>
    <w:rsid w:val="005E0C90"/>
    <w:rsid w:val="005E21ED"/>
    <w:rsid w:val="005E3410"/>
    <w:rsid w:val="005E4639"/>
    <w:rsid w:val="005E589A"/>
    <w:rsid w:val="005E7680"/>
    <w:rsid w:val="005F0723"/>
    <w:rsid w:val="005F1E23"/>
    <w:rsid w:val="005F25F3"/>
    <w:rsid w:val="005F297A"/>
    <w:rsid w:val="005F3A41"/>
    <w:rsid w:val="00605FF6"/>
    <w:rsid w:val="00606467"/>
    <w:rsid w:val="006071F2"/>
    <w:rsid w:val="00610D1F"/>
    <w:rsid w:val="00611137"/>
    <w:rsid w:val="00611D3E"/>
    <w:rsid w:val="0061451E"/>
    <w:rsid w:val="0062042F"/>
    <w:rsid w:val="006208A6"/>
    <w:rsid w:val="00622B6E"/>
    <w:rsid w:val="0062338B"/>
    <w:rsid w:val="00625005"/>
    <w:rsid w:val="00630F65"/>
    <w:rsid w:val="00630F9A"/>
    <w:rsid w:val="006310D1"/>
    <w:rsid w:val="00632169"/>
    <w:rsid w:val="006374C9"/>
    <w:rsid w:val="00640DA2"/>
    <w:rsid w:val="00643742"/>
    <w:rsid w:val="00644F8B"/>
    <w:rsid w:val="00646017"/>
    <w:rsid w:val="00651913"/>
    <w:rsid w:val="00653E28"/>
    <w:rsid w:val="0065461F"/>
    <w:rsid w:val="00657338"/>
    <w:rsid w:val="006668B2"/>
    <w:rsid w:val="00667559"/>
    <w:rsid w:val="00670341"/>
    <w:rsid w:val="00673235"/>
    <w:rsid w:val="006733A4"/>
    <w:rsid w:val="006744F1"/>
    <w:rsid w:val="00675104"/>
    <w:rsid w:val="00681B4A"/>
    <w:rsid w:val="00682168"/>
    <w:rsid w:val="00683513"/>
    <w:rsid w:val="00684973"/>
    <w:rsid w:val="00684C6D"/>
    <w:rsid w:val="00685157"/>
    <w:rsid w:val="00685E44"/>
    <w:rsid w:val="00687452"/>
    <w:rsid w:val="00690D8C"/>
    <w:rsid w:val="00692B2A"/>
    <w:rsid w:val="006931CA"/>
    <w:rsid w:val="006942E4"/>
    <w:rsid w:val="0069766F"/>
    <w:rsid w:val="006A2BFF"/>
    <w:rsid w:val="006A3137"/>
    <w:rsid w:val="006A4B0F"/>
    <w:rsid w:val="006A71E0"/>
    <w:rsid w:val="006B0193"/>
    <w:rsid w:val="006B0E99"/>
    <w:rsid w:val="006B72EF"/>
    <w:rsid w:val="006C0FF5"/>
    <w:rsid w:val="006C21FA"/>
    <w:rsid w:val="006C58CB"/>
    <w:rsid w:val="006C59B9"/>
    <w:rsid w:val="006C5D50"/>
    <w:rsid w:val="006D0424"/>
    <w:rsid w:val="006D0A63"/>
    <w:rsid w:val="006D2D05"/>
    <w:rsid w:val="006D4305"/>
    <w:rsid w:val="006D4780"/>
    <w:rsid w:val="006E05D4"/>
    <w:rsid w:val="006E6DED"/>
    <w:rsid w:val="006E7810"/>
    <w:rsid w:val="006F0DDC"/>
    <w:rsid w:val="006F270A"/>
    <w:rsid w:val="006F31C5"/>
    <w:rsid w:val="006F5B06"/>
    <w:rsid w:val="007015A1"/>
    <w:rsid w:val="00703906"/>
    <w:rsid w:val="00703993"/>
    <w:rsid w:val="007052D3"/>
    <w:rsid w:val="007052EF"/>
    <w:rsid w:val="00706CE1"/>
    <w:rsid w:val="00706E4D"/>
    <w:rsid w:val="00711CC5"/>
    <w:rsid w:val="00712722"/>
    <w:rsid w:val="00713F4A"/>
    <w:rsid w:val="00722B6D"/>
    <w:rsid w:val="0072395E"/>
    <w:rsid w:val="00724D7C"/>
    <w:rsid w:val="00726627"/>
    <w:rsid w:val="00727B70"/>
    <w:rsid w:val="00733280"/>
    <w:rsid w:val="00737B0A"/>
    <w:rsid w:val="007417C0"/>
    <w:rsid w:val="007428C1"/>
    <w:rsid w:val="00744408"/>
    <w:rsid w:val="00745163"/>
    <w:rsid w:val="00745315"/>
    <w:rsid w:val="007468D9"/>
    <w:rsid w:val="00751C9E"/>
    <w:rsid w:val="00752381"/>
    <w:rsid w:val="00757C8F"/>
    <w:rsid w:val="00761D9A"/>
    <w:rsid w:val="00763042"/>
    <w:rsid w:val="007648A9"/>
    <w:rsid w:val="00764D33"/>
    <w:rsid w:val="007659C0"/>
    <w:rsid w:val="0076634E"/>
    <w:rsid w:val="00766DDD"/>
    <w:rsid w:val="00766F2A"/>
    <w:rsid w:val="00770466"/>
    <w:rsid w:val="0077562A"/>
    <w:rsid w:val="00777B7A"/>
    <w:rsid w:val="0078027E"/>
    <w:rsid w:val="007828FE"/>
    <w:rsid w:val="00784AA5"/>
    <w:rsid w:val="00790D33"/>
    <w:rsid w:val="007937A1"/>
    <w:rsid w:val="00793874"/>
    <w:rsid w:val="00794B5C"/>
    <w:rsid w:val="007952E3"/>
    <w:rsid w:val="00797C4A"/>
    <w:rsid w:val="007A222C"/>
    <w:rsid w:val="007A320C"/>
    <w:rsid w:val="007A40B6"/>
    <w:rsid w:val="007A427E"/>
    <w:rsid w:val="007A6053"/>
    <w:rsid w:val="007B096C"/>
    <w:rsid w:val="007B22C8"/>
    <w:rsid w:val="007B2B74"/>
    <w:rsid w:val="007B3821"/>
    <w:rsid w:val="007B3D76"/>
    <w:rsid w:val="007B488C"/>
    <w:rsid w:val="007B6827"/>
    <w:rsid w:val="007D1CD3"/>
    <w:rsid w:val="007D64AF"/>
    <w:rsid w:val="007D66F4"/>
    <w:rsid w:val="007E076D"/>
    <w:rsid w:val="007E2A8D"/>
    <w:rsid w:val="007E67F1"/>
    <w:rsid w:val="007E7010"/>
    <w:rsid w:val="007E78D6"/>
    <w:rsid w:val="007F2E9C"/>
    <w:rsid w:val="007F45DA"/>
    <w:rsid w:val="007F482E"/>
    <w:rsid w:val="007F5A7B"/>
    <w:rsid w:val="00801D8E"/>
    <w:rsid w:val="00802CFE"/>
    <w:rsid w:val="00803793"/>
    <w:rsid w:val="00810B98"/>
    <w:rsid w:val="00811283"/>
    <w:rsid w:val="00812D44"/>
    <w:rsid w:val="00813208"/>
    <w:rsid w:val="008159AD"/>
    <w:rsid w:val="00816546"/>
    <w:rsid w:val="008177B2"/>
    <w:rsid w:val="00820364"/>
    <w:rsid w:val="008219F5"/>
    <w:rsid w:val="008256C2"/>
    <w:rsid w:val="0083059A"/>
    <w:rsid w:val="00832790"/>
    <w:rsid w:val="00832E18"/>
    <w:rsid w:val="0083329E"/>
    <w:rsid w:val="0083444A"/>
    <w:rsid w:val="00834A25"/>
    <w:rsid w:val="0083673F"/>
    <w:rsid w:val="00840029"/>
    <w:rsid w:val="00843240"/>
    <w:rsid w:val="00844D02"/>
    <w:rsid w:val="008454B6"/>
    <w:rsid w:val="00851099"/>
    <w:rsid w:val="008519A4"/>
    <w:rsid w:val="00852542"/>
    <w:rsid w:val="00853742"/>
    <w:rsid w:val="00855B60"/>
    <w:rsid w:val="00857A70"/>
    <w:rsid w:val="00857C66"/>
    <w:rsid w:val="008618A9"/>
    <w:rsid w:val="00863ADB"/>
    <w:rsid w:val="00863F33"/>
    <w:rsid w:val="00864627"/>
    <w:rsid w:val="00865347"/>
    <w:rsid w:val="00865407"/>
    <w:rsid w:val="0086583B"/>
    <w:rsid w:val="00866520"/>
    <w:rsid w:val="00874B5A"/>
    <w:rsid w:val="00875103"/>
    <w:rsid w:val="00875E12"/>
    <w:rsid w:val="0088159D"/>
    <w:rsid w:val="008829C1"/>
    <w:rsid w:val="008843E1"/>
    <w:rsid w:val="00886C65"/>
    <w:rsid w:val="008923C1"/>
    <w:rsid w:val="0089527C"/>
    <w:rsid w:val="008976B2"/>
    <w:rsid w:val="008A2481"/>
    <w:rsid w:val="008A3AB9"/>
    <w:rsid w:val="008A4B18"/>
    <w:rsid w:val="008A4CEF"/>
    <w:rsid w:val="008A792F"/>
    <w:rsid w:val="008A7B2C"/>
    <w:rsid w:val="008B07BC"/>
    <w:rsid w:val="008B0891"/>
    <w:rsid w:val="008B1945"/>
    <w:rsid w:val="008B1E4F"/>
    <w:rsid w:val="008B2E93"/>
    <w:rsid w:val="008B4FE3"/>
    <w:rsid w:val="008B601E"/>
    <w:rsid w:val="008B6CB6"/>
    <w:rsid w:val="008B7BC1"/>
    <w:rsid w:val="008C01EB"/>
    <w:rsid w:val="008C0A32"/>
    <w:rsid w:val="008C18B9"/>
    <w:rsid w:val="008C35F6"/>
    <w:rsid w:val="008D4274"/>
    <w:rsid w:val="008E1028"/>
    <w:rsid w:val="008E1AD3"/>
    <w:rsid w:val="008E650B"/>
    <w:rsid w:val="008E71E5"/>
    <w:rsid w:val="008F1F24"/>
    <w:rsid w:val="008F2C0A"/>
    <w:rsid w:val="008F4A75"/>
    <w:rsid w:val="008F6AA4"/>
    <w:rsid w:val="008F7E6F"/>
    <w:rsid w:val="00901B69"/>
    <w:rsid w:val="00905286"/>
    <w:rsid w:val="0091001A"/>
    <w:rsid w:val="009127C4"/>
    <w:rsid w:val="00913674"/>
    <w:rsid w:val="009233B2"/>
    <w:rsid w:val="0092554A"/>
    <w:rsid w:val="00926D0C"/>
    <w:rsid w:val="00926EDA"/>
    <w:rsid w:val="009303B9"/>
    <w:rsid w:val="00930BEA"/>
    <w:rsid w:val="0093258D"/>
    <w:rsid w:val="00932936"/>
    <w:rsid w:val="009377B1"/>
    <w:rsid w:val="00942917"/>
    <w:rsid w:val="00942E07"/>
    <w:rsid w:val="00944B25"/>
    <w:rsid w:val="00947CCA"/>
    <w:rsid w:val="00952F53"/>
    <w:rsid w:val="009555D7"/>
    <w:rsid w:val="00960943"/>
    <w:rsid w:val="00962294"/>
    <w:rsid w:val="009640DE"/>
    <w:rsid w:val="00964BE4"/>
    <w:rsid w:val="00970251"/>
    <w:rsid w:val="00970E5D"/>
    <w:rsid w:val="00977065"/>
    <w:rsid w:val="009803ED"/>
    <w:rsid w:val="00981B22"/>
    <w:rsid w:val="009824B3"/>
    <w:rsid w:val="0098680A"/>
    <w:rsid w:val="00991370"/>
    <w:rsid w:val="009976D8"/>
    <w:rsid w:val="009A0533"/>
    <w:rsid w:val="009B04AF"/>
    <w:rsid w:val="009B0D08"/>
    <w:rsid w:val="009B1B0D"/>
    <w:rsid w:val="009B3908"/>
    <w:rsid w:val="009C2CA9"/>
    <w:rsid w:val="009D173E"/>
    <w:rsid w:val="009D6622"/>
    <w:rsid w:val="009F1AC4"/>
    <w:rsid w:val="00A038FD"/>
    <w:rsid w:val="00A04C10"/>
    <w:rsid w:val="00A12306"/>
    <w:rsid w:val="00A12A3E"/>
    <w:rsid w:val="00A14727"/>
    <w:rsid w:val="00A17675"/>
    <w:rsid w:val="00A20101"/>
    <w:rsid w:val="00A20348"/>
    <w:rsid w:val="00A2123F"/>
    <w:rsid w:val="00A228C3"/>
    <w:rsid w:val="00A236C3"/>
    <w:rsid w:val="00A266F1"/>
    <w:rsid w:val="00A277A8"/>
    <w:rsid w:val="00A30AC5"/>
    <w:rsid w:val="00A317A6"/>
    <w:rsid w:val="00A33230"/>
    <w:rsid w:val="00A35CC2"/>
    <w:rsid w:val="00A35DCA"/>
    <w:rsid w:val="00A430B1"/>
    <w:rsid w:val="00A465B1"/>
    <w:rsid w:val="00A46E2B"/>
    <w:rsid w:val="00A50C68"/>
    <w:rsid w:val="00A5559E"/>
    <w:rsid w:val="00A60C7F"/>
    <w:rsid w:val="00A631AD"/>
    <w:rsid w:val="00A646FB"/>
    <w:rsid w:val="00A66F61"/>
    <w:rsid w:val="00A67B50"/>
    <w:rsid w:val="00A71377"/>
    <w:rsid w:val="00A727E9"/>
    <w:rsid w:val="00A76CA4"/>
    <w:rsid w:val="00A77A66"/>
    <w:rsid w:val="00A96560"/>
    <w:rsid w:val="00AA1274"/>
    <w:rsid w:val="00AA242E"/>
    <w:rsid w:val="00AA4429"/>
    <w:rsid w:val="00AA6D9A"/>
    <w:rsid w:val="00AB3E57"/>
    <w:rsid w:val="00AB4215"/>
    <w:rsid w:val="00AB4813"/>
    <w:rsid w:val="00AB4A9F"/>
    <w:rsid w:val="00AB6DD1"/>
    <w:rsid w:val="00AB750E"/>
    <w:rsid w:val="00AC21D9"/>
    <w:rsid w:val="00AD1984"/>
    <w:rsid w:val="00AD4113"/>
    <w:rsid w:val="00AD7CFD"/>
    <w:rsid w:val="00AE32B6"/>
    <w:rsid w:val="00AE32C9"/>
    <w:rsid w:val="00AE455F"/>
    <w:rsid w:val="00AF10D1"/>
    <w:rsid w:val="00AF1AF4"/>
    <w:rsid w:val="00AF5868"/>
    <w:rsid w:val="00B21F2E"/>
    <w:rsid w:val="00B2243E"/>
    <w:rsid w:val="00B22F71"/>
    <w:rsid w:val="00B259BB"/>
    <w:rsid w:val="00B26883"/>
    <w:rsid w:val="00B33CB5"/>
    <w:rsid w:val="00B352CA"/>
    <w:rsid w:val="00B37B12"/>
    <w:rsid w:val="00B4238A"/>
    <w:rsid w:val="00B424B6"/>
    <w:rsid w:val="00B426BA"/>
    <w:rsid w:val="00B43CCE"/>
    <w:rsid w:val="00B44EDF"/>
    <w:rsid w:val="00B45802"/>
    <w:rsid w:val="00B470BC"/>
    <w:rsid w:val="00B502B2"/>
    <w:rsid w:val="00B521C0"/>
    <w:rsid w:val="00B61546"/>
    <w:rsid w:val="00B62939"/>
    <w:rsid w:val="00B66765"/>
    <w:rsid w:val="00B70C1A"/>
    <w:rsid w:val="00B755F0"/>
    <w:rsid w:val="00B76433"/>
    <w:rsid w:val="00B769C2"/>
    <w:rsid w:val="00B81540"/>
    <w:rsid w:val="00B841D9"/>
    <w:rsid w:val="00B8439F"/>
    <w:rsid w:val="00B85552"/>
    <w:rsid w:val="00B85EA5"/>
    <w:rsid w:val="00B863C9"/>
    <w:rsid w:val="00B8693B"/>
    <w:rsid w:val="00B87565"/>
    <w:rsid w:val="00B879BB"/>
    <w:rsid w:val="00B879C0"/>
    <w:rsid w:val="00B87A0B"/>
    <w:rsid w:val="00B87DF5"/>
    <w:rsid w:val="00B902F0"/>
    <w:rsid w:val="00B9035B"/>
    <w:rsid w:val="00B922BF"/>
    <w:rsid w:val="00B92C60"/>
    <w:rsid w:val="00B973E9"/>
    <w:rsid w:val="00BA0E54"/>
    <w:rsid w:val="00BA493A"/>
    <w:rsid w:val="00BA4CA9"/>
    <w:rsid w:val="00BA63FB"/>
    <w:rsid w:val="00BA7B03"/>
    <w:rsid w:val="00BB1004"/>
    <w:rsid w:val="00BB2EDE"/>
    <w:rsid w:val="00BB368F"/>
    <w:rsid w:val="00BB370A"/>
    <w:rsid w:val="00BB4B5B"/>
    <w:rsid w:val="00BB7143"/>
    <w:rsid w:val="00BB78C1"/>
    <w:rsid w:val="00BC347F"/>
    <w:rsid w:val="00BD06C4"/>
    <w:rsid w:val="00BD08B1"/>
    <w:rsid w:val="00BD0D26"/>
    <w:rsid w:val="00BD176F"/>
    <w:rsid w:val="00BD186B"/>
    <w:rsid w:val="00BD2DE6"/>
    <w:rsid w:val="00BD36C9"/>
    <w:rsid w:val="00BD36DB"/>
    <w:rsid w:val="00BD6D92"/>
    <w:rsid w:val="00BE07ED"/>
    <w:rsid w:val="00BE3CA8"/>
    <w:rsid w:val="00BE3FB3"/>
    <w:rsid w:val="00BE6CCC"/>
    <w:rsid w:val="00BF0713"/>
    <w:rsid w:val="00BF2FBE"/>
    <w:rsid w:val="00BF3B6A"/>
    <w:rsid w:val="00BF545E"/>
    <w:rsid w:val="00BF5704"/>
    <w:rsid w:val="00C0027D"/>
    <w:rsid w:val="00C012EF"/>
    <w:rsid w:val="00C025E6"/>
    <w:rsid w:val="00C05066"/>
    <w:rsid w:val="00C06448"/>
    <w:rsid w:val="00C06E49"/>
    <w:rsid w:val="00C0728C"/>
    <w:rsid w:val="00C0779C"/>
    <w:rsid w:val="00C11867"/>
    <w:rsid w:val="00C1469D"/>
    <w:rsid w:val="00C1515A"/>
    <w:rsid w:val="00C15936"/>
    <w:rsid w:val="00C2152A"/>
    <w:rsid w:val="00C218CF"/>
    <w:rsid w:val="00C2644A"/>
    <w:rsid w:val="00C26F05"/>
    <w:rsid w:val="00C42E87"/>
    <w:rsid w:val="00C43DFA"/>
    <w:rsid w:val="00C43FFA"/>
    <w:rsid w:val="00C44BEC"/>
    <w:rsid w:val="00C46BB5"/>
    <w:rsid w:val="00C47603"/>
    <w:rsid w:val="00C5036B"/>
    <w:rsid w:val="00C51595"/>
    <w:rsid w:val="00C5346F"/>
    <w:rsid w:val="00C54439"/>
    <w:rsid w:val="00C63F77"/>
    <w:rsid w:val="00C642D7"/>
    <w:rsid w:val="00C70082"/>
    <w:rsid w:val="00C717C9"/>
    <w:rsid w:val="00C71C01"/>
    <w:rsid w:val="00C725BE"/>
    <w:rsid w:val="00C72E58"/>
    <w:rsid w:val="00C81AD5"/>
    <w:rsid w:val="00C84E29"/>
    <w:rsid w:val="00C8623D"/>
    <w:rsid w:val="00C86277"/>
    <w:rsid w:val="00C8671C"/>
    <w:rsid w:val="00C911E4"/>
    <w:rsid w:val="00C92505"/>
    <w:rsid w:val="00C94A6A"/>
    <w:rsid w:val="00CA037A"/>
    <w:rsid w:val="00CA0C72"/>
    <w:rsid w:val="00CA2D0E"/>
    <w:rsid w:val="00CA55A7"/>
    <w:rsid w:val="00CB14F5"/>
    <w:rsid w:val="00CB333E"/>
    <w:rsid w:val="00CB4C3A"/>
    <w:rsid w:val="00CB665F"/>
    <w:rsid w:val="00CC2227"/>
    <w:rsid w:val="00CD05A1"/>
    <w:rsid w:val="00CD0FCA"/>
    <w:rsid w:val="00CD347C"/>
    <w:rsid w:val="00CD5983"/>
    <w:rsid w:val="00CD5B20"/>
    <w:rsid w:val="00CD6FD6"/>
    <w:rsid w:val="00CD7CD9"/>
    <w:rsid w:val="00CE0512"/>
    <w:rsid w:val="00CE06B5"/>
    <w:rsid w:val="00CE362C"/>
    <w:rsid w:val="00CE4CFF"/>
    <w:rsid w:val="00CE635C"/>
    <w:rsid w:val="00CE63EE"/>
    <w:rsid w:val="00CE792A"/>
    <w:rsid w:val="00CF0152"/>
    <w:rsid w:val="00CF1316"/>
    <w:rsid w:val="00CF1973"/>
    <w:rsid w:val="00CF4067"/>
    <w:rsid w:val="00CF6550"/>
    <w:rsid w:val="00D010F8"/>
    <w:rsid w:val="00D02E05"/>
    <w:rsid w:val="00D0308F"/>
    <w:rsid w:val="00D13F3A"/>
    <w:rsid w:val="00D146D3"/>
    <w:rsid w:val="00D1562C"/>
    <w:rsid w:val="00D1668D"/>
    <w:rsid w:val="00D17591"/>
    <w:rsid w:val="00D17F6D"/>
    <w:rsid w:val="00D218D1"/>
    <w:rsid w:val="00D23BEE"/>
    <w:rsid w:val="00D253E0"/>
    <w:rsid w:val="00D26713"/>
    <w:rsid w:val="00D33B92"/>
    <w:rsid w:val="00D3564A"/>
    <w:rsid w:val="00D3574F"/>
    <w:rsid w:val="00D35C54"/>
    <w:rsid w:val="00D35FF5"/>
    <w:rsid w:val="00D36A3D"/>
    <w:rsid w:val="00D401C3"/>
    <w:rsid w:val="00D439F0"/>
    <w:rsid w:val="00D44395"/>
    <w:rsid w:val="00D5556D"/>
    <w:rsid w:val="00D55C20"/>
    <w:rsid w:val="00D6274A"/>
    <w:rsid w:val="00D62921"/>
    <w:rsid w:val="00D634E9"/>
    <w:rsid w:val="00D63FFC"/>
    <w:rsid w:val="00D6573E"/>
    <w:rsid w:val="00D66560"/>
    <w:rsid w:val="00D7044C"/>
    <w:rsid w:val="00D74D74"/>
    <w:rsid w:val="00D768D2"/>
    <w:rsid w:val="00D84043"/>
    <w:rsid w:val="00D84A02"/>
    <w:rsid w:val="00D84EA2"/>
    <w:rsid w:val="00D85002"/>
    <w:rsid w:val="00D8506D"/>
    <w:rsid w:val="00D85AA4"/>
    <w:rsid w:val="00D87461"/>
    <w:rsid w:val="00D87746"/>
    <w:rsid w:val="00D977B1"/>
    <w:rsid w:val="00DA2379"/>
    <w:rsid w:val="00DB2AE6"/>
    <w:rsid w:val="00DB53AA"/>
    <w:rsid w:val="00DB631C"/>
    <w:rsid w:val="00DB7D4F"/>
    <w:rsid w:val="00DC1466"/>
    <w:rsid w:val="00DC1703"/>
    <w:rsid w:val="00DC697C"/>
    <w:rsid w:val="00DD2C4A"/>
    <w:rsid w:val="00DD6A22"/>
    <w:rsid w:val="00DD7B32"/>
    <w:rsid w:val="00DE12DF"/>
    <w:rsid w:val="00DE28E5"/>
    <w:rsid w:val="00DE2AFD"/>
    <w:rsid w:val="00DE2CD8"/>
    <w:rsid w:val="00DE613C"/>
    <w:rsid w:val="00DE7123"/>
    <w:rsid w:val="00DF0126"/>
    <w:rsid w:val="00DF0677"/>
    <w:rsid w:val="00DF0BC1"/>
    <w:rsid w:val="00DF2486"/>
    <w:rsid w:val="00DF3421"/>
    <w:rsid w:val="00DF3BB9"/>
    <w:rsid w:val="00DF4AC0"/>
    <w:rsid w:val="00DF4EA4"/>
    <w:rsid w:val="00DF6BE5"/>
    <w:rsid w:val="00E029E1"/>
    <w:rsid w:val="00E03937"/>
    <w:rsid w:val="00E05075"/>
    <w:rsid w:val="00E070F0"/>
    <w:rsid w:val="00E10C7C"/>
    <w:rsid w:val="00E10D57"/>
    <w:rsid w:val="00E131C5"/>
    <w:rsid w:val="00E14781"/>
    <w:rsid w:val="00E1687C"/>
    <w:rsid w:val="00E17158"/>
    <w:rsid w:val="00E21DD0"/>
    <w:rsid w:val="00E24246"/>
    <w:rsid w:val="00E26156"/>
    <w:rsid w:val="00E35EF2"/>
    <w:rsid w:val="00E40D5C"/>
    <w:rsid w:val="00E41A43"/>
    <w:rsid w:val="00E42AC7"/>
    <w:rsid w:val="00E43076"/>
    <w:rsid w:val="00E46533"/>
    <w:rsid w:val="00E55145"/>
    <w:rsid w:val="00E56EDC"/>
    <w:rsid w:val="00E60543"/>
    <w:rsid w:val="00E6078B"/>
    <w:rsid w:val="00E64A3E"/>
    <w:rsid w:val="00E6627A"/>
    <w:rsid w:val="00E70A24"/>
    <w:rsid w:val="00E736E9"/>
    <w:rsid w:val="00E7382C"/>
    <w:rsid w:val="00E75F23"/>
    <w:rsid w:val="00E77AB5"/>
    <w:rsid w:val="00E80445"/>
    <w:rsid w:val="00E81AB7"/>
    <w:rsid w:val="00E83181"/>
    <w:rsid w:val="00E83347"/>
    <w:rsid w:val="00E86049"/>
    <w:rsid w:val="00E86656"/>
    <w:rsid w:val="00E9375E"/>
    <w:rsid w:val="00E96D92"/>
    <w:rsid w:val="00E9742F"/>
    <w:rsid w:val="00E978E6"/>
    <w:rsid w:val="00EA1274"/>
    <w:rsid w:val="00EA328C"/>
    <w:rsid w:val="00EA3814"/>
    <w:rsid w:val="00EA3F68"/>
    <w:rsid w:val="00EA5B6F"/>
    <w:rsid w:val="00EB0005"/>
    <w:rsid w:val="00EB055A"/>
    <w:rsid w:val="00EB1DAC"/>
    <w:rsid w:val="00EB1FD1"/>
    <w:rsid w:val="00EB2BD3"/>
    <w:rsid w:val="00EB37C7"/>
    <w:rsid w:val="00EB6C41"/>
    <w:rsid w:val="00EC10C9"/>
    <w:rsid w:val="00EC20E5"/>
    <w:rsid w:val="00EC49E9"/>
    <w:rsid w:val="00EC7F8F"/>
    <w:rsid w:val="00ED1268"/>
    <w:rsid w:val="00ED13F6"/>
    <w:rsid w:val="00ED1722"/>
    <w:rsid w:val="00ED20FC"/>
    <w:rsid w:val="00ED4AEF"/>
    <w:rsid w:val="00ED6A84"/>
    <w:rsid w:val="00ED7234"/>
    <w:rsid w:val="00ED7B48"/>
    <w:rsid w:val="00EE270E"/>
    <w:rsid w:val="00EE5B17"/>
    <w:rsid w:val="00EE6A71"/>
    <w:rsid w:val="00EE7585"/>
    <w:rsid w:val="00EE77F3"/>
    <w:rsid w:val="00EF1FC0"/>
    <w:rsid w:val="00EF5C52"/>
    <w:rsid w:val="00F02E56"/>
    <w:rsid w:val="00F0762D"/>
    <w:rsid w:val="00F17909"/>
    <w:rsid w:val="00F23C85"/>
    <w:rsid w:val="00F24DEF"/>
    <w:rsid w:val="00F26675"/>
    <w:rsid w:val="00F3433C"/>
    <w:rsid w:val="00F422AC"/>
    <w:rsid w:val="00F43912"/>
    <w:rsid w:val="00F43CAE"/>
    <w:rsid w:val="00F447CA"/>
    <w:rsid w:val="00F44CAF"/>
    <w:rsid w:val="00F4598A"/>
    <w:rsid w:val="00F46945"/>
    <w:rsid w:val="00F469A9"/>
    <w:rsid w:val="00F47AFC"/>
    <w:rsid w:val="00F50094"/>
    <w:rsid w:val="00F52054"/>
    <w:rsid w:val="00F52644"/>
    <w:rsid w:val="00F54512"/>
    <w:rsid w:val="00F54E68"/>
    <w:rsid w:val="00F61C18"/>
    <w:rsid w:val="00F62BC3"/>
    <w:rsid w:val="00F62F01"/>
    <w:rsid w:val="00F63110"/>
    <w:rsid w:val="00F63375"/>
    <w:rsid w:val="00F6345E"/>
    <w:rsid w:val="00F76ADD"/>
    <w:rsid w:val="00F77591"/>
    <w:rsid w:val="00F77C08"/>
    <w:rsid w:val="00F802C1"/>
    <w:rsid w:val="00F82374"/>
    <w:rsid w:val="00F82482"/>
    <w:rsid w:val="00F82562"/>
    <w:rsid w:val="00F85352"/>
    <w:rsid w:val="00F86F34"/>
    <w:rsid w:val="00F93AED"/>
    <w:rsid w:val="00F93CD5"/>
    <w:rsid w:val="00F97190"/>
    <w:rsid w:val="00FA4364"/>
    <w:rsid w:val="00FA5DD8"/>
    <w:rsid w:val="00FA6052"/>
    <w:rsid w:val="00FB2493"/>
    <w:rsid w:val="00FB55BF"/>
    <w:rsid w:val="00FC0449"/>
    <w:rsid w:val="00FC166C"/>
    <w:rsid w:val="00FC2DDA"/>
    <w:rsid w:val="00FC6A4B"/>
    <w:rsid w:val="00FD22A0"/>
    <w:rsid w:val="00FD3011"/>
    <w:rsid w:val="00FD56D8"/>
    <w:rsid w:val="00FD692B"/>
    <w:rsid w:val="00FF6B8C"/>
    <w:rsid w:val="00FF71DF"/>
    <w:rsid w:val="00FF73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248CEEC-DFF5-4CD3-A9F4-0CAFA00A0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1687C"/>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E1687C"/>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E1687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B922B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qFormat/>
    <w:rsid w:val="00E1687C"/>
    <w:pPr>
      <w:tabs>
        <w:tab w:val="right" w:leader="hyphen" w:pos="8490"/>
      </w:tabs>
      <w:ind w:leftChars="0" w:hangingChars="200" w:hanging="200"/>
    </w:pPr>
    <w:rPr>
      <w:b/>
      <w:sz w:val="24"/>
    </w:rPr>
  </w:style>
  <w:style w:type="paragraph" w:styleId="24">
    <w:name w:val="toc 2"/>
    <w:basedOn w:val="a"/>
    <w:next w:val="a"/>
    <w:autoRedefine/>
    <w:uiPriority w:val="39"/>
    <w:qFormat/>
    <w:rsid w:val="00E1687C"/>
    <w:pPr>
      <w:tabs>
        <w:tab w:val="right" w:leader="hyphen" w:pos="8505"/>
      </w:tabs>
      <w:ind w:leftChars="0" w:left="486" w:rightChars="99" w:right="280" w:hangingChars="200" w:hanging="486"/>
    </w:pPr>
    <w:rPr>
      <w:sz w:val="22"/>
    </w:rPr>
  </w:style>
  <w:style w:type="character" w:customStyle="1" w:styleId="ae">
    <w:name w:val="頁首 字元"/>
    <w:link w:val="ad"/>
    <w:uiPriority w:val="99"/>
    <w:rsid w:val="00B922BF"/>
    <w:rPr>
      <w:rFonts w:ascii="標楷體" w:eastAsia="標楷體"/>
      <w:snapToGrid w:val="0"/>
      <w:kern w:val="2"/>
    </w:rPr>
  </w:style>
  <w:style w:type="paragraph" w:styleId="af">
    <w:name w:val="footer"/>
    <w:basedOn w:val="a"/>
    <w:link w:val="af0"/>
    <w:uiPriority w:val="99"/>
    <w:unhideWhenUsed/>
    <w:rsid w:val="00B922BF"/>
    <w:pPr>
      <w:tabs>
        <w:tab w:val="center" w:pos="4153"/>
        <w:tab w:val="right" w:pos="8306"/>
      </w:tabs>
      <w:snapToGrid w:val="0"/>
    </w:pPr>
    <w:rPr>
      <w:sz w:val="20"/>
      <w:szCs w:val="20"/>
    </w:rPr>
  </w:style>
  <w:style w:type="character" w:customStyle="1" w:styleId="af0">
    <w:name w:val="頁尾 字元"/>
    <w:link w:val="af"/>
    <w:uiPriority w:val="99"/>
    <w:rsid w:val="00B922BF"/>
    <w:rPr>
      <w:rFonts w:ascii="標楷體" w:eastAsia="標楷體"/>
      <w:snapToGrid w:val="0"/>
      <w:kern w:val="2"/>
    </w:rPr>
  </w:style>
  <w:style w:type="character" w:customStyle="1" w:styleId="10">
    <w:name w:val="標題 1 字元"/>
    <w:link w:val="1"/>
    <w:uiPriority w:val="9"/>
    <w:rsid w:val="00E1687C"/>
    <w:rPr>
      <w:rFonts w:ascii="Cambria" w:hAnsi="Cambria"/>
      <w:b/>
      <w:bCs/>
      <w:snapToGrid w:val="0"/>
      <w:kern w:val="52"/>
      <w:sz w:val="52"/>
      <w:szCs w:val="52"/>
    </w:rPr>
  </w:style>
  <w:style w:type="character" w:customStyle="1" w:styleId="20">
    <w:name w:val="標題 2 字元"/>
    <w:link w:val="2"/>
    <w:uiPriority w:val="9"/>
    <w:semiHidden/>
    <w:rsid w:val="00E1687C"/>
    <w:rPr>
      <w:rFonts w:ascii="Cambria" w:hAnsi="Cambria"/>
      <w:b/>
      <w:bCs/>
      <w:snapToGrid w:val="0"/>
      <w:kern w:val="2"/>
      <w:sz w:val="48"/>
      <w:szCs w:val="48"/>
    </w:rPr>
  </w:style>
  <w:style w:type="character" w:customStyle="1" w:styleId="30">
    <w:name w:val="標題 3 字元"/>
    <w:link w:val="3"/>
    <w:uiPriority w:val="9"/>
    <w:semiHidden/>
    <w:rsid w:val="00E1687C"/>
    <w:rPr>
      <w:rFonts w:ascii="Cambria" w:hAnsi="Cambria"/>
      <w:b/>
      <w:bCs/>
      <w:snapToGrid w:val="0"/>
      <w:kern w:val="2"/>
      <w:sz w:val="36"/>
      <w:szCs w:val="36"/>
    </w:rPr>
  </w:style>
  <w:style w:type="numbering" w:customStyle="1" w:styleId="12">
    <w:name w:val="無清單1"/>
    <w:next w:val="a2"/>
    <w:uiPriority w:val="99"/>
    <w:semiHidden/>
    <w:unhideWhenUsed/>
    <w:rsid w:val="00E1687C"/>
  </w:style>
  <w:style w:type="character" w:styleId="af1">
    <w:name w:val="Hyperlink"/>
    <w:uiPriority w:val="99"/>
    <w:unhideWhenUsed/>
    <w:rsid w:val="00E1687C"/>
    <w:rPr>
      <w:rFonts w:eastAsia="標楷體"/>
      <w:color w:val="auto"/>
      <w:sz w:val="24"/>
      <w:u w:val="single"/>
    </w:rPr>
  </w:style>
  <w:style w:type="character" w:customStyle="1" w:styleId="143">
    <w:name w:val="表格內文(14行高) 字元"/>
    <w:link w:val="142"/>
    <w:rsid w:val="00E1687C"/>
    <w:rPr>
      <w:rFonts w:ascii="標楷體" w:eastAsia="標楷體"/>
      <w:snapToGrid w:val="0"/>
      <w:kern w:val="2"/>
      <w:sz w:val="24"/>
      <w:szCs w:val="28"/>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3"/>
    <w:unhideWhenUsed/>
    <w:rsid w:val="00E1687C"/>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1"/>
    <w:link w:val="af2"/>
    <w:rsid w:val="00E1687C"/>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nhideWhenUsed/>
    <w:rsid w:val="00E1687C"/>
    <w:rPr>
      <w:vertAlign w:val="superscript"/>
    </w:rPr>
  </w:style>
  <w:style w:type="character" w:customStyle="1" w:styleId="23">
    <w:name w:val="(一)下內文縮2 字元"/>
    <w:link w:val="22"/>
    <w:rsid w:val="00E1687C"/>
    <w:rPr>
      <w:rFonts w:ascii="標楷體" w:eastAsia="標楷體"/>
      <w:snapToGrid w:val="0"/>
      <w:kern w:val="2"/>
      <w:sz w:val="28"/>
      <w:szCs w:val="28"/>
    </w:rPr>
  </w:style>
  <w:style w:type="paragraph" w:styleId="af5">
    <w:name w:val="Balloon Text"/>
    <w:basedOn w:val="a"/>
    <w:link w:val="af6"/>
    <w:uiPriority w:val="99"/>
    <w:semiHidden/>
    <w:unhideWhenUsed/>
    <w:rsid w:val="00E1687C"/>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E1687C"/>
    <w:rPr>
      <w:rFonts w:ascii="Cambria" w:hAnsi="Cambria"/>
      <w:snapToGrid w:val="0"/>
      <w:kern w:val="2"/>
      <w:sz w:val="18"/>
      <w:szCs w:val="18"/>
    </w:rPr>
  </w:style>
  <w:style w:type="table" w:styleId="af7">
    <w:name w:val="Table Grid"/>
    <w:basedOn w:val="a1"/>
    <w:uiPriority w:val="59"/>
    <w:rsid w:val="00E16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E1687C"/>
    <w:rPr>
      <w:rFonts w:ascii="標楷體" w:eastAsia="標楷體"/>
      <w:snapToGrid w:val="0"/>
      <w:kern w:val="2"/>
      <w:sz w:val="28"/>
      <w:szCs w:val="28"/>
    </w:rPr>
  </w:style>
  <w:style w:type="character" w:customStyle="1" w:styleId="140">
    <w:name w:val="第二層(14號字) 字元"/>
    <w:link w:val="14"/>
    <w:rsid w:val="00E1687C"/>
    <w:rPr>
      <w:rFonts w:ascii="標楷體" w:eastAsia="標楷體"/>
      <w:b/>
      <w:snapToGrid w:val="0"/>
      <w:kern w:val="2"/>
      <w:sz w:val="28"/>
    </w:rPr>
  </w:style>
  <w:style w:type="table" w:customStyle="1" w:styleId="13">
    <w:name w:val="表格格線1"/>
    <w:basedOn w:val="a1"/>
    <w:next w:val="af7"/>
    <w:uiPriority w:val="59"/>
    <w:rsid w:val="00E1687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一)(二)(三) 字元 字元 字元 字元"/>
    <w:link w:val="af9"/>
    <w:locked/>
    <w:rsid w:val="00E1687C"/>
    <w:rPr>
      <w:rFonts w:ascii="標楷體" w:eastAsia="標楷體" w:hAnsi="標楷體"/>
      <w:kern w:val="2"/>
      <w:sz w:val="28"/>
      <w:szCs w:val="28"/>
    </w:rPr>
  </w:style>
  <w:style w:type="paragraph" w:customStyle="1" w:styleId="af9">
    <w:name w:val="(一)(二)(三) 字元 字元 字元"/>
    <w:basedOn w:val="a"/>
    <w:link w:val="af8"/>
    <w:rsid w:val="00E1687C"/>
    <w:pPr>
      <w:snapToGrid w:val="0"/>
      <w:ind w:left="300" w:hangingChars="100" w:hanging="100"/>
    </w:pPr>
    <w:rPr>
      <w:rFonts w:hAnsi="標楷體"/>
      <w:snapToGrid/>
    </w:rPr>
  </w:style>
  <w:style w:type="character" w:customStyle="1" w:styleId="145">
    <w:name w:val="表格內文(14行高) 字元 字元 字元"/>
    <w:link w:val="146"/>
    <w:locked/>
    <w:rsid w:val="00E1687C"/>
    <w:rPr>
      <w:rFonts w:ascii="標楷體" w:eastAsia="標楷體" w:hAnsi="標楷體"/>
      <w:kern w:val="2"/>
      <w:sz w:val="24"/>
      <w:szCs w:val="28"/>
    </w:rPr>
  </w:style>
  <w:style w:type="paragraph" w:customStyle="1" w:styleId="146">
    <w:name w:val="表格內文(14行高) 字元 字元"/>
    <w:basedOn w:val="a8"/>
    <w:link w:val="145"/>
    <w:rsid w:val="00E1687C"/>
    <w:pPr>
      <w:snapToGrid w:val="0"/>
      <w:spacing w:line="280" w:lineRule="exact"/>
      <w:ind w:leftChars="0" w:left="0" w:firstLineChars="0" w:firstLine="0"/>
      <w:jc w:val="left"/>
    </w:pPr>
    <w:rPr>
      <w:rFonts w:hAnsi="標楷體"/>
      <w:snapToGrid/>
      <w:sz w:val="24"/>
    </w:rPr>
  </w:style>
  <w:style w:type="character" w:customStyle="1" w:styleId="afa">
    <w:name w:val="(一)(二)(三) 字元"/>
    <w:locked/>
    <w:rsid w:val="00E1687C"/>
    <w:rPr>
      <w:rFonts w:ascii="標楷體" w:eastAsia="標楷體" w:hAnsi="標楷體"/>
      <w:kern w:val="2"/>
      <w:sz w:val="28"/>
      <w:szCs w:val="28"/>
    </w:rPr>
  </w:style>
  <w:style w:type="character" w:customStyle="1" w:styleId="1230">
    <w:name w:val="1.2.3. 字元"/>
    <w:link w:val="123"/>
    <w:locked/>
    <w:rsid w:val="00E1687C"/>
    <w:rPr>
      <w:rFonts w:ascii="標楷體" w:eastAsia="標楷體"/>
      <w:snapToGrid w:val="0"/>
      <w:kern w:val="2"/>
      <w:sz w:val="28"/>
      <w:szCs w:val="28"/>
    </w:rPr>
  </w:style>
  <w:style w:type="paragraph" w:styleId="HTML">
    <w:name w:val="HTML Preformatted"/>
    <w:basedOn w:val="a"/>
    <w:link w:val="HTML0"/>
    <w:uiPriority w:val="99"/>
    <w:unhideWhenUsed/>
    <w:rsid w:val="00E168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E1687C"/>
    <w:rPr>
      <w:rFonts w:ascii="細明體" w:eastAsia="細明體" w:hAnsi="細明體" w:cs="細明體"/>
      <w:sz w:val="24"/>
      <w:szCs w:val="24"/>
    </w:rPr>
  </w:style>
  <w:style w:type="paragraph" w:styleId="afb">
    <w:name w:val="Body Text"/>
    <w:basedOn w:val="a"/>
    <w:link w:val="afc"/>
    <w:rsid w:val="00E1687C"/>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c">
    <w:name w:val="本文 字元"/>
    <w:link w:val="afb"/>
    <w:rsid w:val="00E1687C"/>
    <w:rPr>
      <w:rFonts w:ascii="Arial" w:eastAsia="標楷體" w:hAnsi="Arial"/>
      <w:spacing w:val="-5"/>
      <w:sz w:val="28"/>
      <w:lang w:val="x-none" w:eastAsia="x-none"/>
    </w:rPr>
  </w:style>
  <w:style w:type="character" w:customStyle="1" w:styleId="lzlcontentmain">
    <w:name w:val="lzl_content_main"/>
    <w:rsid w:val="00E1687C"/>
  </w:style>
  <w:style w:type="character" w:customStyle="1" w:styleId="1410">
    <w:name w:val="第二層(14號字) 字元1"/>
    <w:rsid w:val="00E1687C"/>
    <w:rPr>
      <w:rFonts w:ascii="標楷體" w:eastAsia="標楷體"/>
      <w:b/>
      <w:snapToGrid w:val="0"/>
      <w:kern w:val="2"/>
      <w:sz w:val="28"/>
      <w:lang w:val="en-US" w:eastAsia="zh-TW" w:bidi="ar-SA"/>
    </w:rPr>
  </w:style>
  <w:style w:type="paragraph" w:customStyle="1" w:styleId="Default">
    <w:name w:val="Default"/>
    <w:rsid w:val="00E1687C"/>
    <w:pPr>
      <w:widowControl w:val="0"/>
      <w:autoSpaceDE w:val="0"/>
      <w:autoSpaceDN w:val="0"/>
      <w:adjustRightInd w:val="0"/>
    </w:pPr>
    <w:rPr>
      <w:rFonts w:ascii="標楷體" w:eastAsia="標楷體" w:cs="標楷體"/>
      <w:color w:val="000000"/>
      <w:sz w:val="24"/>
      <w:szCs w:val="24"/>
    </w:rPr>
  </w:style>
  <w:style w:type="paragraph" w:styleId="afd">
    <w:name w:val="TOC Heading"/>
    <w:basedOn w:val="1"/>
    <w:next w:val="a"/>
    <w:uiPriority w:val="39"/>
    <w:semiHidden/>
    <w:unhideWhenUsed/>
    <w:qFormat/>
    <w:rsid w:val="00E1687C"/>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semiHidden/>
    <w:unhideWhenUsed/>
    <w:qFormat/>
    <w:rsid w:val="00E1687C"/>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Web">
    <w:name w:val="Normal (Web)"/>
    <w:basedOn w:val="a"/>
    <w:uiPriority w:val="99"/>
    <w:unhideWhenUsed/>
    <w:rsid w:val="005E589A"/>
    <w:pPr>
      <w:widowControl/>
      <w:adjustRightInd w:val="0"/>
      <w:snapToGrid w:val="0"/>
      <w:spacing w:before="100" w:beforeAutospacing="1" w:after="100" w:afterAutospacing="1" w:line="240" w:lineRule="atLeast"/>
      <w:ind w:leftChars="0" w:left="0" w:firstLineChars="0" w:firstLine="0"/>
      <w:jc w:val="left"/>
    </w:pPr>
    <w:rPr>
      <w:rFonts w:ascii="新細明體" w:hAnsi="新細明體" w:cs="新細明體"/>
      <w:snapToGrid/>
      <w:kern w:val="0"/>
      <w:szCs w:val="24"/>
    </w:rPr>
  </w:style>
  <w:style w:type="character" w:styleId="afe">
    <w:name w:val="page number"/>
    <w:rsid w:val="00E83181"/>
  </w:style>
  <w:style w:type="paragraph" w:customStyle="1" w:styleId="aff">
    <w:name w:val="註腳文字(標準)"/>
    <w:basedOn w:val="af2"/>
    <w:link w:val="aff0"/>
    <w:qFormat/>
    <w:rsid w:val="00E83181"/>
    <w:pPr>
      <w:spacing w:line="280" w:lineRule="exact"/>
      <w:ind w:leftChars="0" w:left="181" w:firstLineChars="0" w:hanging="181"/>
      <w:jc w:val="both"/>
    </w:pPr>
    <w:rPr>
      <w:sz w:val="24"/>
      <w:szCs w:val="24"/>
    </w:rPr>
  </w:style>
  <w:style w:type="character" w:customStyle="1" w:styleId="aff0">
    <w:name w:val="註腳文字(標準) 字元"/>
    <w:link w:val="aff"/>
    <w:rsid w:val="00E83181"/>
    <w:rPr>
      <w:rFonts w:ascii="標楷體" w:eastAsia="標楷體"/>
      <w:snapToGrid w:val="0"/>
      <w:kern w:val="2"/>
      <w:sz w:val="24"/>
      <w:szCs w:val="24"/>
    </w:rPr>
  </w:style>
  <w:style w:type="paragraph" w:customStyle="1" w:styleId="TableParagraph">
    <w:name w:val="Table Paragraph"/>
    <w:basedOn w:val="a"/>
    <w:uiPriority w:val="1"/>
    <w:qFormat/>
    <w:rsid w:val="00E83181"/>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15">
    <w:name w:val="(1)"/>
    <w:basedOn w:val="a"/>
    <w:link w:val="17"/>
    <w:qFormat/>
    <w:rsid w:val="00521CB3"/>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7">
    <w:name w:val="(1) 字元"/>
    <w:link w:val="15"/>
    <w:rsid w:val="00521CB3"/>
    <w:rPr>
      <w:rFonts w:ascii="標楷體" w:eastAsia="標楷體" w:hAnsi="標楷體"/>
      <w:color w:val="000000"/>
      <w:sz w:val="28"/>
      <w:szCs w:val="28"/>
      <w:lang w:val="x-none" w:eastAsia="x-none"/>
    </w:rPr>
  </w:style>
  <w:style w:type="paragraph" w:customStyle="1" w:styleId="aff1">
    <w:name w:val=""/>
    <w:basedOn w:val="15"/>
    <w:link w:val="aff2"/>
    <w:qFormat/>
    <w:rsid w:val="008F2C0A"/>
    <w:pPr>
      <w:ind w:leftChars="635" w:left="1371" w:hangingChars="93" w:hanging="260"/>
    </w:pPr>
  </w:style>
  <w:style w:type="character" w:customStyle="1" w:styleId="aff2">
    <w:name w:val=" 字元"/>
    <w:link w:val="aff1"/>
    <w:rsid w:val="008F2C0A"/>
  </w:style>
  <w:style w:type="character" w:customStyle="1" w:styleId="201">
    <w:name w:val="表格內文(20行高) 字元"/>
    <w:link w:val="200"/>
    <w:rsid w:val="000C6DE5"/>
    <w:rPr>
      <w:rFonts w:ascii="標楷體" w:eastAsia="標楷體"/>
      <w:snapToGrid w:val="0"/>
      <w:kern w:val="2"/>
      <w:sz w:val="24"/>
      <w:szCs w:val="28"/>
    </w:rPr>
  </w:style>
  <w:style w:type="paragraph" w:styleId="aff3">
    <w:name w:val="List Paragraph"/>
    <w:basedOn w:val="a"/>
    <w:uiPriority w:val="34"/>
    <w:qFormat/>
    <w:rsid w:val="000C6DE5"/>
    <w:pPr>
      <w:spacing w:line="240" w:lineRule="auto"/>
      <w:ind w:left="480" w:firstLineChars="0" w:firstLine="0"/>
      <w:jc w:val="left"/>
    </w:pPr>
    <w:rPr>
      <w:rFonts w:ascii="Calibri" w:eastAsia="新細明體" w:hAnsi="Calibri"/>
      <w:snapToGrid/>
      <w:sz w:val="24"/>
      <w:szCs w:val="22"/>
    </w:rPr>
  </w:style>
  <w:style w:type="paragraph" w:customStyle="1" w:styleId="aff4">
    <w:name w:val="第二層"/>
    <w:basedOn w:val="a"/>
    <w:rsid w:val="000C6DE5"/>
    <w:pPr>
      <w:spacing w:line="240" w:lineRule="auto"/>
      <w:ind w:leftChars="0" w:left="0" w:firstLineChars="0" w:firstLine="0"/>
      <w:jc w:val="left"/>
    </w:pPr>
    <w:rPr>
      <w:rFonts w:ascii="Times New Roman" w:eastAsia="新細明體"/>
      <w:snapToGrid/>
      <w:szCs w:val="24"/>
    </w:rPr>
  </w:style>
  <w:style w:type="paragraph" w:customStyle="1" w:styleId="25">
    <w:name w:val=" 字元 字元2 字元 字元 字元"/>
    <w:basedOn w:val="a"/>
    <w:semiHidden/>
    <w:rsid w:val="000C6DE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Title"/>
    <w:basedOn w:val="a"/>
    <w:next w:val="a"/>
    <w:link w:val="aff6"/>
    <w:uiPriority w:val="10"/>
    <w:qFormat/>
    <w:rsid w:val="000C6DE5"/>
    <w:pPr>
      <w:spacing w:before="240" w:after="60"/>
      <w:jc w:val="center"/>
      <w:outlineLvl w:val="0"/>
    </w:pPr>
    <w:rPr>
      <w:rFonts w:ascii="Cambria" w:eastAsia="新細明體" w:hAnsi="Cambria"/>
      <w:b/>
      <w:bCs/>
      <w:sz w:val="32"/>
      <w:szCs w:val="32"/>
    </w:rPr>
  </w:style>
  <w:style w:type="character" w:customStyle="1" w:styleId="aff6">
    <w:name w:val="標題 字元"/>
    <w:link w:val="aff5"/>
    <w:uiPriority w:val="10"/>
    <w:rsid w:val="000C6DE5"/>
    <w:rPr>
      <w:rFonts w:ascii="Cambria" w:hAnsi="Cambria"/>
      <w:b/>
      <w:bCs/>
      <w:snapToGrid w:val="0"/>
      <w:kern w:val="2"/>
      <w:sz w:val="32"/>
      <w:szCs w:val="32"/>
    </w:rPr>
  </w:style>
  <w:style w:type="paragraph" w:customStyle="1" w:styleId="32">
    <w:name w:val="目錄3"/>
    <w:basedOn w:val="a"/>
    <w:link w:val="33"/>
    <w:qFormat/>
    <w:rsid w:val="000C6DE5"/>
    <w:pPr>
      <w:tabs>
        <w:tab w:val="right" w:leader="hyphen" w:pos="8679"/>
      </w:tabs>
      <w:ind w:leftChars="0" w:left="487" w:rightChars="71" w:right="201" w:hangingChars="200" w:hanging="487"/>
    </w:pPr>
    <w:rPr>
      <w:sz w:val="24"/>
    </w:rPr>
  </w:style>
  <w:style w:type="table" w:customStyle="1" w:styleId="TableNormal">
    <w:name w:val="Table Normal"/>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33">
    <w:name w:val="目錄3 字元"/>
    <w:link w:val="32"/>
    <w:rsid w:val="000C6DE5"/>
    <w:rPr>
      <w:rFonts w:ascii="標楷體" w:eastAsia="標楷體"/>
      <w:snapToGrid w:val="0"/>
      <w:kern w:val="2"/>
      <w:sz w:val="24"/>
      <w:szCs w:val="28"/>
    </w:rPr>
  </w:style>
  <w:style w:type="table" w:customStyle="1" w:styleId="TableNormal1">
    <w:name w:val="Table Normal1"/>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b">
    <w:name w:val="姓名及分機 字元"/>
    <w:link w:val="aa"/>
    <w:rsid w:val="00F422AC"/>
    <w:rPr>
      <w:rFonts w:ascii="標楷體" w:eastAsia="標楷體"/>
      <w:snapToGrid w:val="0"/>
      <w:kern w:val="2"/>
      <w:sz w:val="24"/>
      <w:szCs w:val="28"/>
    </w:rPr>
  </w:style>
  <w:style w:type="character" w:styleId="aff7">
    <w:name w:val="annotation reference"/>
    <w:uiPriority w:val="99"/>
    <w:semiHidden/>
    <w:unhideWhenUsed/>
    <w:rsid w:val="003C382A"/>
    <w:rPr>
      <w:sz w:val="18"/>
      <w:szCs w:val="18"/>
    </w:rPr>
  </w:style>
  <w:style w:type="paragraph" w:styleId="aff8">
    <w:name w:val="annotation text"/>
    <w:basedOn w:val="a"/>
    <w:link w:val="aff9"/>
    <w:uiPriority w:val="99"/>
    <w:semiHidden/>
    <w:unhideWhenUsed/>
    <w:rsid w:val="003C382A"/>
    <w:pPr>
      <w:jc w:val="left"/>
    </w:pPr>
  </w:style>
  <w:style w:type="character" w:customStyle="1" w:styleId="aff9">
    <w:name w:val="註解文字 字元"/>
    <w:link w:val="aff8"/>
    <w:uiPriority w:val="99"/>
    <w:semiHidden/>
    <w:rsid w:val="003C382A"/>
    <w:rPr>
      <w:rFonts w:ascii="標楷體" w:eastAsia="標楷體"/>
      <w:snapToGrid w:val="0"/>
      <w:kern w:val="2"/>
      <w:sz w:val="28"/>
      <w:szCs w:val="28"/>
    </w:rPr>
  </w:style>
  <w:style w:type="paragraph" w:styleId="affa">
    <w:name w:val="annotation subject"/>
    <w:basedOn w:val="aff8"/>
    <w:next w:val="aff8"/>
    <w:link w:val="affb"/>
    <w:uiPriority w:val="99"/>
    <w:semiHidden/>
    <w:unhideWhenUsed/>
    <w:rsid w:val="003C382A"/>
    <w:rPr>
      <w:b/>
      <w:bCs/>
    </w:rPr>
  </w:style>
  <w:style w:type="character" w:customStyle="1" w:styleId="affb">
    <w:name w:val="註解主旨 字元"/>
    <w:link w:val="affa"/>
    <w:uiPriority w:val="99"/>
    <w:semiHidden/>
    <w:rsid w:val="003C382A"/>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2933">
      <w:bodyDiv w:val="1"/>
      <w:marLeft w:val="0"/>
      <w:marRight w:val="0"/>
      <w:marTop w:val="0"/>
      <w:marBottom w:val="0"/>
      <w:divBdr>
        <w:top w:val="none" w:sz="0" w:space="0" w:color="auto"/>
        <w:left w:val="none" w:sz="0" w:space="0" w:color="auto"/>
        <w:bottom w:val="none" w:sz="0" w:space="0" w:color="auto"/>
        <w:right w:val="none" w:sz="0" w:space="0" w:color="auto"/>
      </w:divBdr>
    </w:div>
    <w:div w:id="249626800">
      <w:bodyDiv w:val="1"/>
      <w:marLeft w:val="0"/>
      <w:marRight w:val="0"/>
      <w:marTop w:val="0"/>
      <w:marBottom w:val="0"/>
      <w:divBdr>
        <w:top w:val="none" w:sz="0" w:space="0" w:color="auto"/>
        <w:left w:val="none" w:sz="0" w:space="0" w:color="auto"/>
        <w:bottom w:val="none" w:sz="0" w:space="0" w:color="auto"/>
        <w:right w:val="none" w:sz="0" w:space="0" w:color="auto"/>
      </w:divBdr>
    </w:div>
    <w:div w:id="314115542">
      <w:bodyDiv w:val="1"/>
      <w:marLeft w:val="0"/>
      <w:marRight w:val="0"/>
      <w:marTop w:val="0"/>
      <w:marBottom w:val="0"/>
      <w:divBdr>
        <w:top w:val="none" w:sz="0" w:space="0" w:color="auto"/>
        <w:left w:val="none" w:sz="0" w:space="0" w:color="auto"/>
        <w:bottom w:val="none" w:sz="0" w:space="0" w:color="auto"/>
        <w:right w:val="none" w:sz="0" w:space="0" w:color="auto"/>
      </w:divBdr>
    </w:div>
    <w:div w:id="609824690">
      <w:bodyDiv w:val="1"/>
      <w:marLeft w:val="0"/>
      <w:marRight w:val="0"/>
      <w:marTop w:val="0"/>
      <w:marBottom w:val="0"/>
      <w:divBdr>
        <w:top w:val="none" w:sz="0" w:space="0" w:color="auto"/>
        <w:left w:val="none" w:sz="0" w:space="0" w:color="auto"/>
        <w:bottom w:val="none" w:sz="0" w:space="0" w:color="auto"/>
        <w:right w:val="none" w:sz="0" w:space="0" w:color="auto"/>
      </w:divBdr>
    </w:div>
    <w:div w:id="709963022">
      <w:bodyDiv w:val="1"/>
      <w:marLeft w:val="0"/>
      <w:marRight w:val="0"/>
      <w:marTop w:val="0"/>
      <w:marBottom w:val="0"/>
      <w:divBdr>
        <w:top w:val="none" w:sz="0" w:space="0" w:color="auto"/>
        <w:left w:val="none" w:sz="0" w:space="0" w:color="auto"/>
        <w:bottom w:val="none" w:sz="0" w:space="0" w:color="auto"/>
        <w:right w:val="none" w:sz="0" w:space="0" w:color="auto"/>
      </w:divBdr>
    </w:div>
    <w:div w:id="722220559">
      <w:bodyDiv w:val="1"/>
      <w:marLeft w:val="0"/>
      <w:marRight w:val="0"/>
      <w:marTop w:val="0"/>
      <w:marBottom w:val="0"/>
      <w:divBdr>
        <w:top w:val="none" w:sz="0" w:space="0" w:color="auto"/>
        <w:left w:val="none" w:sz="0" w:space="0" w:color="auto"/>
        <w:bottom w:val="none" w:sz="0" w:space="0" w:color="auto"/>
        <w:right w:val="none" w:sz="0" w:space="0" w:color="auto"/>
      </w:divBdr>
    </w:div>
    <w:div w:id="137882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22577;&#21578;&#31684;&#26412;20130827.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727CD-3C5E-4BB0-AB7B-3D90AB425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報告範本20130827</Template>
  <TotalTime>0</TotalTime>
  <Pages>3</Pages>
  <Words>235</Words>
  <Characters>1345</Characters>
  <Application>Microsoft Office Word</Application>
  <DocSecurity>0</DocSecurity>
  <Lines>11</Lines>
  <Paragraphs>3</Paragraphs>
  <ScaleCrop>false</ScaleCrop>
  <Company/>
  <LinksUpToDate>false</LinksUpToDate>
  <CharactersWithSpaces>1577</CharactersWithSpaces>
  <SharedDoc>false</SharedDoc>
  <HLinks>
    <vt:vector size="48" baseType="variant">
      <vt:variant>
        <vt:i4>1638454</vt:i4>
      </vt:variant>
      <vt:variant>
        <vt:i4>44</vt:i4>
      </vt:variant>
      <vt:variant>
        <vt:i4>0</vt:i4>
      </vt:variant>
      <vt:variant>
        <vt:i4>5</vt:i4>
      </vt:variant>
      <vt:variant>
        <vt:lpwstr/>
      </vt:variant>
      <vt:variant>
        <vt:lpwstr>_Toc162862323</vt:lpwstr>
      </vt:variant>
      <vt:variant>
        <vt:i4>1638454</vt:i4>
      </vt:variant>
      <vt:variant>
        <vt:i4>38</vt:i4>
      </vt:variant>
      <vt:variant>
        <vt:i4>0</vt:i4>
      </vt:variant>
      <vt:variant>
        <vt:i4>5</vt:i4>
      </vt:variant>
      <vt:variant>
        <vt:lpwstr/>
      </vt:variant>
      <vt:variant>
        <vt:lpwstr>_Toc162862322</vt:lpwstr>
      </vt:variant>
      <vt:variant>
        <vt:i4>1638454</vt:i4>
      </vt:variant>
      <vt:variant>
        <vt:i4>32</vt:i4>
      </vt:variant>
      <vt:variant>
        <vt:i4>0</vt:i4>
      </vt:variant>
      <vt:variant>
        <vt:i4>5</vt:i4>
      </vt:variant>
      <vt:variant>
        <vt:lpwstr/>
      </vt:variant>
      <vt:variant>
        <vt:lpwstr>_Toc162862321</vt:lpwstr>
      </vt:variant>
      <vt:variant>
        <vt:i4>1638454</vt:i4>
      </vt:variant>
      <vt:variant>
        <vt:i4>26</vt:i4>
      </vt:variant>
      <vt:variant>
        <vt:i4>0</vt:i4>
      </vt:variant>
      <vt:variant>
        <vt:i4>5</vt:i4>
      </vt:variant>
      <vt:variant>
        <vt:lpwstr/>
      </vt:variant>
      <vt:variant>
        <vt:lpwstr>_Toc162862320</vt:lpwstr>
      </vt:variant>
      <vt:variant>
        <vt:i4>1703990</vt:i4>
      </vt:variant>
      <vt:variant>
        <vt:i4>20</vt:i4>
      </vt:variant>
      <vt:variant>
        <vt:i4>0</vt:i4>
      </vt:variant>
      <vt:variant>
        <vt:i4>5</vt:i4>
      </vt:variant>
      <vt:variant>
        <vt:lpwstr/>
      </vt:variant>
      <vt:variant>
        <vt:lpwstr>_Toc162862319</vt:lpwstr>
      </vt:variant>
      <vt:variant>
        <vt:i4>1703990</vt:i4>
      </vt:variant>
      <vt:variant>
        <vt:i4>14</vt:i4>
      </vt:variant>
      <vt:variant>
        <vt:i4>0</vt:i4>
      </vt:variant>
      <vt:variant>
        <vt:i4>5</vt:i4>
      </vt:variant>
      <vt:variant>
        <vt:lpwstr/>
      </vt:variant>
      <vt:variant>
        <vt:lpwstr>_Toc162862318</vt:lpwstr>
      </vt:variant>
      <vt:variant>
        <vt:i4>1703990</vt:i4>
      </vt:variant>
      <vt:variant>
        <vt:i4>8</vt:i4>
      </vt:variant>
      <vt:variant>
        <vt:i4>0</vt:i4>
      </vt:variant>
      <vt:variant>
        <vt:i4>5</vt:i4>
      </vt:variant>
      <vt:variant>
        <vt:lpwstr/>
      </vt:variant>
      <vt:variant>
        <vt:lpwstr>_Toc162862317</vt:lpwstr>
      </vt:variant>
      <vt:variant>
        <vt:i4>1703990</vt:i4>
      </vt:variant>
      <vt:variant>
        <vt:i4>2</vt:i4>
      </vt:variant>
      <vt:variant>
        <vt:i4>0</vt:i4>
      </vt:variant>
      <vt:variant>
        <vt:i4>5</vt:i4>
      </vt:variant>
      <vt:variant>
        <vt:lpwstr/>
      </vt:variant>
      <vt:variant>
        <vt:lpwstr>_Toc162862316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2024-04-03T02:58:00Z</cp:lastPrinted>
  <dcterms:created xsi:type="dcterms:W3CDTF">2024-04-03T06:53:00Z</dcterms:created>
  <dcterms:modified xsi:type="dcterms:W3CDTF">2024-04-03T06:53:00Z</dcterms:modified>
</cp:coreProperties>
</file>