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001DC6" w:rsidRDefault="00001DC6" w:rsidP="00001DC6">
      <w:pPr>
        <w:pStyle w:val="14"/>
        <w:ind w:left="567" w:hanging="567"/>
        <w:rPr>
          <w:color w:val="000000"/>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19"/>
      <w:r>
        <w:rPr>
          <w:rFonts w:hint="eastAsia"/>
          <w:color w:val="000000"/>
        </w:rPr>
        <w:t>四</w:t>
      </w:r>
      <w:r w:rsidRPr="00001DC6">
        <w:rPr>
          <w:rFonts w:hint="eastAsia"/>
          <w:color w:val="000000"/>
        </w:rPr>
        <w:t>、實施平均地權基金之「新北市土城司法園區區段徵收計畫」未能核實估列及進度未如預期，致預算執行率僅約2成，允宜強化進度控管並加強覈實估列</w:t>
      </w:r>
      <w:bookmarkEnd w:id="15"/>
    </w:p>
    <w:p w:rsidR="00001DC6" w:rsidRPr="00001DC6" w:rsidRDefault="00001DC6" w:rsidP="00001DC6">
      <w:pPr>
        <w:ind w:left="566" w:firstLine="566"/>
        <w:rPr>
          <w:rFonts w:hAnsi="標楷體"/>
          <w:snapToGrid/>
          <w:color w:val="000000"/>
        </w:rPr>
      </w:pPr>
      <w:r w:rsidRPr="00001DC6">
        <w:rPr>
          <w:rFonts w:hAnsi="標楷體" w:hint="eastAsia"/>
          <w:snapToGrid/>
          <w:color w:val="000000"/>
          <w:lang w:eastAsia="zh-HK"/>
        </w:rPr>
        <w:t>實施平均地權基金</w:t>
      </w:r>
      <w:r w:rsidRPr="00001DC6">
        <w:rPr>
          <w:rFonts w:hAnsi="標楷體" w:hint="eastAsia"/>
          <w:snapToGrid/>
          <w:color w:val="000000"/>
        </w:rPr>
        <w:t>1</w:t>
      </w:r>
      <w:r w:rsidRPr="00001DC6">
        <w:rPr>
          <w:rFonts w:hAnsi="標楷體"/>
          <w:snapToGrid/>
          <w:color w:val="000000"/>
        </w:rPr>
        <w:t>11</w:t>
      </w:r>
      <w:r w:rsidRPr="00001DC6">
        <w:rPr>
          <w:rFonts w:hAnsi="標楷體" w:hint="eastAsia"/>
          <w:snapToGrid/>
          <w:color w:val="000000"/>
        </w:rPr>
        <w:t>年度「</w:t>
      </w:r>
      <w:r w:rsidRPr="00001DC6">
        <w:rPr>
          <w:rFonts w:hAnsi="標楷體" w:hint="eastAsia"/>
          <w:snapToGrid/>
          <w:color w:val="000000"/>
          <w:lang w:eastAsia="zh-HK"/>
        </w:rPr>
        <w:t>新北市土城司法園區區段徵收計畫</w:t>
      </w:r>
      <w:r w:rsidRPr="00001DC6">
        <w:rPr>
          <w:rFonts w:hAnsi="標楷體" w:hint="eastAsia"/>
          <w:snapToGrid/>
          <w:color w:val="000000"/>
        </w:rPr>
        <w:t>」預算數3</w:t>
      </w:r>
      <w:r w:rsidRPr="00001DC6">
        <w:rPr>
          <w:rFonts w:hAnsi="標楷體"/>
          <w:snapToGrid/>
          <w:color w:val="000000"/>
        </w:rPr>
        <w:t>1</w:t>
      </w:r>
      <w:r w:rsidRPr="00001DC6">
        <w:rPr>
          <w:rFonts w:hAnsi="標楷體" w:hint="eastAsia"/>
          <w:snapToGrid/>
          <w:color w:val="000000"/>
        </w:rPr>
        <w:t>億4</w:t>
      </w:r>
      <w:r w:rsidRPr="00001DC6">
        <w:rPr>
          <w:rFonts w:hAnsi="標楷體"/>
          <w:snapToGrid/>
          <w:color w:val="000000"/>
        </w:rPr>
        <w:t>,879</w:t>
      </w:r>
      <w:r w:rsidRPr="00001DC6">
        <w:rPr>
          <w:rFonts w:hAnsi="標楷體" w:hint="eastAsia"/>
          <w:snapToGrid/>
          <w:color w:val="000000"/>
        </w:rPr>
        <w:t>萬7千元、決算數6億5</w:t>
      </w:r>
      <w:r w:rsidRPr="00001DC6">
        <w:rPr>
          <w:rFonts w:hAnsi="標楷體"/>
          <w:snapToGrid/>
          <w:color w:val="000000"/>
        </w:rPr>
        <w:t>,546</w:t>
      </w:r>
      <w:r w:rsidRPr="00001DC6">
        <w:rPr>
          <w:rFonts w:hAnsi="標楷體" w:hint="eastAsia"/>
          <w:snapToGrid/>
          <w:color w:val="000000"/>
        </w:rPr>
        <w:t>萬</w:t>
      </w:r>
      <w:r w:rsidRPr="00001DC6">
        <w:rPr>
          <w:rFonts w:hAnsi="標楷體"/>
          <w:snapToGrid/>
          <w:color w:val="000000"/>
        </w:rPr>
        <w:t>8</w:t>
      </w:r>
      <w:r w:rsidRPr="00001DC6">
        <w:rPr>
          <w:rFonts w:hAnsi="標楷體" w:hint="eastAsia"/>
          <w:snapToGrid/>
          <w:color w:val="000000"/>
        </w:rPr>
        <w:t>千元、預算執行率2</w:t>
      </w:r>
      <w:r w:rsidRPr="00001DC6">
        <w:rPr>
          <w:rFonts w:hAnsi="標楷體"/>
          <w:snapToGrid/>
          <w:color w:val="000000"/>
        </w:rPr>
        <w:t>0.82%</w:t>
      </w:r>
      <w:r w:rsidRPr="00001DC6">
        <w:rPr>
          <w:rFonts w:hAnsi="標楷體" w:hint="eastAsia"/>
          <w:snapToGrid/>
          <w:color w:val="000000"/>
        </w:rPr>
        <w:t>。經查：</w:t>
      </w:r>
    </w:p>
    <w:p w:rsidR="00001DC6" w:rsidRPr="00001DC6" w:rsidRDefault="00001DC6" w:rsidP="00001DC6">
      <w:pPr>
        <w:ind w:left="849" w:hangingChars="100" w:hanging="283"/>
        <w:rPr>
          <w:rFonts w:hAnsi="標楷體"/>
          <w:b/>
          <w:snapToGrid/>
          <w:color w:val="000000"/>
        </w:rPr>
      </w:pPr>
      <w:r w:rsidRPr="00001DC6">
        <w:rPr>
          <w:rFonts w:hAnsi="標楷體" w:hint="eastAsia"/>
          <w:b/>
          <w:snapToGrid/>
          <w:color w:val="000000"/>
        </w:rPr>
        <w:t>(</w:t>
      </w:r>
      <w:r w:rsidRPr="00001DC6">
        <w:rPr>
          <w:rFonts w:hAnsi="標楷體" w:hint="eastAsia"/>
          <w:b/>
          <w:snapToGrid/>
          <w:color w:val="000000"/>
          <w:lang w:eastAsia="zh-HK"/>
        </w:rPr>
        <w:t>一</w:t>
      </w:r>
      <w:r w:rsidRPr="00001DC6">
        <w:rPr>
          <w:rFonts w:hAnsi="標楷體" w:hint="eastAsia"/>
          <w:b/>
          <w:snapToGrid/>
          <w:color w:val="000000"/>
        </w:rPr>
        <w:t>)「新北市土城司法園區區段徵收計畫」概要</w:t>
      </w:r>
    </w:p>
    <w:p w:rsidR="00001DC6" w:rsidRPr="00001DC6" w:rsidRDefault="00001DC6" w:rsidP="00001DC6">
      <w:pPr>
        <w:pStyle w:val="22"/>
        <w:ind w:left="850" w:firstLine="566"/>
        <w:rPr>
          <w:rFonts w:hAnsi="標楷體" w:cs="標楷體"/>
          <w:snapToGrid/>
          <w:color w:val="000000"/>
          <w:lang w:eastAsia="zh-HK"/>
        </w:rPr>
      </w:pPr>
      <w:r w:rsidRPr="00001DC6">
        <w:rPr>
          <w:rFonts w:hint="eastAsia"/>
          <w:snapToGrid/>
          <w:color w:val="000000"/>
          <w:lang w:eastAsia="zh-HK"/>
        </w:rPr>
        <w:t>為配合司法與矯正機關遷建(包含臺北看守所、臺北女子看守所、臺灣新北地方法院及臺灣新北地方檢察署)</w:t>
      </w:r>
      <w:r w:rsidRPr="00001DC6">
        <w:rPr>
          <w:rFonts w:hint="eastAsia"/>
          <w:snapToGrid/>
          <w:color w:val="000000"/>
        </w:rPr>
        <w:t>、</w:t>
      </w:r>
      <w:r w:rsidRPr="00001DC6">
        <w:rPr>
          <w:rFonts w:hint="eastAsia"/>
          <w:snapToGrid/>
          <w:color w:val="000000"/>
          <w:lang w:eastAsia="zh-HK"/>
        </w:rPr>
        <w:t>紓解國道3號中和及土城交流道交通壅塞問題，以及因應土城地區都市發展等需求，內政部爰擬定</w:t>
      </w:r>
      <w:r w:rsidRPr="00001DC6">
        <w:rPr>
          <w:rFonts w:hint="eastAsia"/>
          <w:snapToGrid/>
          <w:color w:val="000000"/>
        </w:rPr>
        <w:t>「</w:t>
      </w:r>
      <w:r w:rsidRPr="00001DC6">
        <w:rPr>
          <w:rFonts w:hint="eastAsia"/>
          <w:snapToGrid/>
          <w:color w:val="000000"/>
          <w:lang w:eastAsia="zh-HK"/>
        </w:rPr>
        <w:t>新北市土城司法園區區段徵收計畫</w:t>
      </w:r>
      <w:r w:rsidRPr="00001DC6">
        <w:rPr>
          <w:rFonts w:hint="eastAsia"/>
          <w:snapToGrid/>
          <w:color w:val="000000"/>
        </w:rPr>
        <w:t>」</w:t>
      </w:r>
      <w:r w:rsidRPr="00001DC6">
        <w:rPr>
          <w:rFonts w:hint="eastAsia"/>
          <w:snapToGrid/>
          <w:color w:val="000000"/>
          <w:lang w:eastAsia="zh-HK"/>
        </w:rPr>
        <w:t>，就土城彈藥庫原址用地進行區段徵收整體規劃及開發，並經行政院於110年5月間核定</w:t>
      </w:r>
      <w:r w:rsidRPr="00001DC6">
        <w:rPr>
          <w:rFonts w:hint="eastAsia"/>
          <w:snapToGrid/>
          <w:color w:val="000000"/>
        </w:rPr>
        <w:t>。該計畫</w:t>
      </w:r>
      <w:r w:rsidRPr="00001DC6">
        <w:rPr>
          <w:rFonts w:hint="eastAsia"/>
          <w:snapToGrid/>
          <w:color w:val="000000"/>
          <w:lang w:eastAsia="zh-HK"/>
        </w:rPr>
        <w:t>採2期開發方式進行，區分為第1期司法園區區段徵收案、第2期臺北看守所等司法與矯正機關用地原址為範圍之都市更新計畫</w:t>
      </w:r>
      <w:r w:rsidRPr="00001DC6">
        <w:rPr>
          <w:rFonts w:hint="eastAsia"/>
          <w:snapToGrid/>
          <w:color w:val="000000"/>
        </w:rPr>
        <w:t>，</w:t>
      </w:r>
      <w:r w:rsidRPr="00001DC6">
        <w:rPr>
          <w:rFonts w:hAnsi="標楷體" w:cs="標楷體" w:hint="eastAsia"/>
          <w:snapToGrid/>
          <w:color w:val="000000"/>
          <w:lang w:eastAsia="zh-HK"/>
        </w:rPr>
        <w:t>第1期</w:t>
      </w:r>
      <w:r w:rsidRPr="00001DC6">
        <w:rPr>
          <w:rFonts w:hAnsi="標楷體" w:cs="標楷體" w:hint="eastAsia"/>
          <w:snapToGrid/>
          <w:color w:val="000000"/>
        </w:rPr>
        <w:t>「</w:t>
      </w:r>
      <w:r w:rsidRPr="00001DC6">
        <w:rPr>
          <w:rFonts w:hAnsi="標楷體" w:cs="標楷體" w:hint="eastAsia"/>
          <w:snapToGrid/>
          <w:color w:val="000000"/>
          <w:lang w:eastAsia="zh-HK"/>
        </w:rPr>
        <w:t>新北市土城司法園區區段徵收計畫</w:t>
      </w:r>
      <w:r w:rsidRPr="00001DC6">
        <w:rPr>
          <w:rFonts w:hAnsi="標楷體" w:cs="標楷體" w:hint="eastAsia"/>
          <w:snapToGrid/>
          <w:color w:val="000000"/>
        </w:rPr>
        <w:t>」</w:t>
      </w:r>
      <w:r w:rsidRPr="00001DC6">
        <w:rPr>
          <w:rFonts w:hAnsi="標楷體" w:cs="標楷體" w:hint="eastAsia"/>
          <w:snapToGrid/>
          <w:color w:val="000000"/>
          <w:lang w:eastAsia="zh-HK"/>
        </w:rPr>
        <w:t>期程為110</w:t>
      </w:r>
      <w:r w:rsidRPr="00001DC6">
        <w:rPr>
          <w:rFonts w:hAnsi="標楷體" w:cs="標楷體" w:hint="eastAsia"/>
          <w:snapToGrid/>
          <w:color w:val="000000"/>
        </w:rPr>
        <w:t>至</w:t>
      </w:r>
      <w:r w:rsidRPr="00001DC6">
        <w:rPr>
          <w:rFonts w:hAnsi="標楷體" w:cs="標楷體" w:hint="eastAsia"/>
          <w:snapToGrid/>
          <w:color w:val="000000"/>
          <w:lang w:eastAsia="zh-HK"/>
        </w:rPr>
        <w:t>116年，預計開發總成本122億1</w:t>
      </w:r>
      <w:r w:rsidRPr="00001DC6">
        <w:rPr>
          <w:rFonts w:hAnsi="標楷體" w:cs="標楷體"/>
          <w:snapToGrid/>
          <w:color w:val="000000"/>
          <w:lang w:eastAsia="zh-HK"/>
        </w:rPr>
        <w:t>,37</w:t>
      </w:r>
      <w:r w:rsidRPr="00001DC6">
        <w:rPr>
          <w:rFonts w:hAnsi="標楷體" w:cs="標楷體" w:hint="eastAsia"/>
          <w:snapToGrid/>
          <w:color w:val="000000"/>
        </w:rPr>
        <w:t>2</w:t>
      </w:r>
      <w:r w:rsidRPr="00001DC6">
        <w:rPr>
          <w:rFonts w:hAnsi="標楷體" w:cs="標楷體" w:hint="eastAsia"/>
          <w:snapToGrid/>
          <w:color w:val="000000"/>
          <w:lang w:eastAsia="zh-HK"/>
        </w:rPr>
        <w:t>萬元</w:t>
      </w:r>
      <w:r w:rsidRPr="00001DC6">
        <w:rPr>
          <w:rStyle w:val="af4"/>
          <w:rFonts w:hAnsi="標楷體" w:cs="標楷體"/>
          <w:color w:val="000000"/>
          <w:lang w:eastAsia="zh-HK"/>
        </w:rPr>
        <w:footnoteReference w:id="1"/>
      </w:r>
      <w:r w:rsidRPr="00001DC6">
        <w:rPr>
          <w:rFonts w:hAnsi="標楷體" w:cs="標楷體" w:hint="eastAsia"/>
          <w:snapToGrid/>
          <w:color w:val="000000"/>
          <w:lang w:eastAsia="zh-HK"/>
        </w:rPr>
        <w:t>。</w:t>
      </w:r>
    </w:p>
    <w:p w:rsidR="00001DC6" w:rsidRPr="00001DC6" w:rsidRDefault="00001DC6" w:rsidP="00001DC6">
      <w:pPr>
        <w:ind w:left="849" w:hangingChars="100" w:hanging="283"/>
        <w:rPr>
          <w:rFonts w:hAnsi="標楷體"/>
          <w:b/>
          <w:snapToGrid/>
          <w:color w:val="000000"/>
        </w:rPr>
      </w:pPr>
      <w:r w:rsidRPr="00001DC6">
        <w:rPr>
          <w:rFonts w:hAnsi="標楷體" w:hint="eastAsia"/>
          <w:b/>
          <w:snapToGrid/>
          <w:color w:val="000000"/>
        </w:rPr>
        <w:t>(二)因相關遷移及補償費未能核實估列，及管線施作進度未如預期等因素，致預算執行率僅20.82%</w:t>
      </w:r>
    </w:p>
    <w:p w:rsidR="00001DC6" w:rsidRPr="00001DC6" w:rsidRDefault="00001DC6" w:rsidP="00001DC6">
      <w:pPr>
        <w:pStyle w:val="22"/>
        <w:ind w:left="850" w:firstLine="566"/>
        <w:rPr>
          <w:snapToGrid/>
          <w:color w:val="000000"/>
        </w:rPr>
      </w:pPr>
      <w:r w:rsidRPr="00001DC6">
        <w:rPr>
          <w:rFonts w:hint="eastAsia"/>
          <w:snapToGrid/>
          <w:color w:val="000000"/>
        </w:rPr>
        <w:t>該計畫1</w:t>
      </w:r>
      <w:r w:rsidRPr="00001DC6">
        <w:rPr>
          <w:snapToGrid/>
          <w:color w:val="000000"/>
        </w:rPr>
        <w:t>11</w:t>
      </w:r>
      <w:r w:rsidRPr="00001DC6">
        <w:rPr>
          <w:rFonts w:hint="eastAsia"/>
          <w:snapToGrid/>
          <w:color w:val="000000"/>
        </w:rPr>
        <w:t>年度預計進行開發區協議價購、土地徵收市價查估及評定、區段徵收公聽會及徵收公告，並辦理發放土地與改良物徵收補償費及進行公共工程等作業，配合編列預算數31億4,879萬7千元(詳表1</w:t>
      </w:r>
      <w:r w:rsidRPr="00001DC6">
        <w:rPr>
          <w:snapToGrid/>
          <w:color w:val="000000"/>
        </w:rPr>
        <w:t>)</w:t>
      </w:r>
      <w:r w:rsidRPr="00001DC6">
        <w:rPr>
          <w:rFonts w:hint="eastAsia"/>
          <w:snapToGrid/>
          <w:color w:val="000000"/>
        </w:rPr>
        <w:t>，惟因實際查估之地上物補償費及遷移費單價較低、管線工程施作方式尚未確定，因而1</w:t>
      </w:r>
      <w:r w:rsidRPr="00001DC6">
        <w:rPr>
          <w:snapToGrid/>
          <w:color w:val="000000"/>
        </w:rPr>
        <w:t>11</w:t>
      </w:r>
      <w:r w:rsidRPr="00001DC6">
        <w:rPr>
          <w:rFonts w:hint="eastAsia"/>
          <w:snapToGrid/>
          <w:color w:val="000000"/>
        </w:rPr>
        <w:t>年度</w:t>
      </w:r>
      <w:r w:rsidRPr="00001DC6">
        <w:rPr>
          <w:rFonts w:hint="eastAsia"/>
          <w:snapToGrid/>
          <w:color w:val="000000"/>
        </w:rPr>
        <w:lastRenderedPageBreak/>
        <w:t>尚無法施作，經與管線單位協商後，擬順延至112及113年度施作</w:t>
      </w:r>
      <w:r w:rsidRPr="00001DC6">
        <w:rPr>
          <w:rStyle w:val="af4"/>
          <w:color w:val="000000"/>
        </w:rPr>
        <w:footnoteReference w:id="2"/>
      </w:r>
      <w:r w:rsidRPr="00001DC6">
        <w:rPr>
          <w:rFonts w:hint="eastAsia"/>
          <w:snapToGrid/>
          <w:color w:val="000000"/>
        </w:rPr>
        <w:t>，故各項經費支用情形欠佳，爰決算數6億5,546萬8千元，預算執行率僅20.82%(詳表1)，亟待積極趕辦。</w:t>
      </w:r>
    </w:p>
    <w:p w:rsidR="00001DC6" w:rsidRPr="00001DC6" w:rsidRDefault="00001DC6" w:rsidP="00001DC6">
      <w:pPr>
        <w:pStyle w:val="22"/>
        <w:ind w:leftChars="0" w:left="850" w:hangingChars="300" w:hanging="850"/>
        <w:rPr>
          <w:b/>
          <w:color w:val="000000"/>
        </w:rPr>
      </w:pPr>
      <w:r w:rsidRPr="00001DC6">
        <w:rPr>
          <w:rFonts w:hint="eastAsia"/>
          <w:b/>
          <w:color w:val="000000"/>
        </w:rPr>
        <w:t>表1　「新北市土城司法園區區段徵收計畫」各項經費支用情形表</w:t>
      </w:r>
    </w:p>
    <w:p w:rsidR="00001DC6" w:rsidRPr="00001DC6" w:rsidRDefault="00001DC6" w:rsidP="00001DC6">
      <w:pPr>
        <w:pStyle w:val="22"/>
        <w:ind w:leftChars="0" w:left="730" w:hangingChars="300" w:hanging="730"/>
        <w:jc w:val="right"/>
        <w:rPr>
          <w:color w:val="000000"/>
        </w:rPr>
      </w:pPr>
      <w:r w:rsidRPr="00001DC6">
        <w:rPr>
          <w:rFonts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38"/>
        <w:gridCol w:w="1842"/>
        <w:gridCol w:w="1701"/>
        <w:gridCol w:w="1824"/>
      </w:tblGrid>
      <w:tr w:rsidR="00001DC6" w:rsidRPr="00CA4D32" w:rsidTr="00D218D1">
        <w:trPr>
          <w:trHeight w:hRule="exact" w:val="397"/>
          <w:tblHeader/>
        </w:trPr>
        <w:tc>
          <w:tcPr>
            <w:tcW w:w="3138"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rPr>
              <w:t>科目</w:t>
            </w:r>
          </w:p>
        </w:tc>
        <w:tc>
          <w:tcPr>
            <w:tcW w:w="1842"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lang w:eastAsia="zh-HK"/>
              </w:rPr>
              <w:t>預算數</w:t>
            </w:r>
          </w:p>
        </w:tc>
        <w:tc>
          <w:tcPr>
            <w:tcW w:w="1701"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lang w:eastAsia="zh-HK"/>
              </w:rPr>
              <w:t>決算數</w:t>
            </w:r>
          </w:p>
        </w:tc>
        <w:tc>
          <w:tcPr>
            <w:tcW w:w="1824" w:type="dxa"/>
            <w:vAlign w:val="center"/>
          </w:tcPr>
          <w:p w:rsidR="00001DC6" w:rsidRPr="00001DC6" w:rsidRDefault="00001DC6" w:rsidP="000E2743">
            <w:pPr>
              <w:pStyle w:val="142"/>
              <w:jc w:val="center"/>
              <w:rPr>
                <w:b/>
                <w:color w:val="000000"/>
              </w:rPr>
            </w:pPr>
            <w:r w:rsidRPr="00001DC6">
              <w:rPr>
                <w:rFonts w:hint="eastAsia"/>
                <w:b/>
                <w:color w:val="000000"/>
              </w:rPr>
              <w:t>預算執行率</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徵收地價補償費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72,000</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07,514</w:t>
            </w:r>
          </w:p>
        </w:tc>
        <w:tc>
          <w:tcPr>
            <w:tcW w:w="1824" w:type="dxa"/>
            <w:vAlign w:val="center"/>
          </w:tcPr>
          <w:p w:rsidR="00001DC6" w:rsidRPr="00001DC6" w:rsidRDefault="00001DC6" w:rsidP="000E2743">
            <w:pPr>
              <w:pStyle w:val="142"/>
              <w:jc w:val="right"/>
              <w:rPr>
                <w:color w:val="000000"/>
              </w:rPr>
            </w:pPr>
            <w:r w:rsidRPr="00001DC6">
              <w:rPr>
                <w:color w:val="000000"/>
              </w:rPr>
              <w:t>30.88%</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地上物補償費及遷移費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,181,200</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4</w:t>
            </w:r>
            <w:r w:rsidRPr="00001DC6">
              <w:rPr>
                <w:color w:val="000000"/>
              </w:rPr>
              <w:t>12,052</w:t>
            </w:r>
          </w:p>
        </w:tc>
        <w:tc>
          <w:tcPr>
            <w:tcW w:w="1824" w:type="dxa"/>
            <w:vAlign w:val="center"/>
          </w:tcPr>
          <w:p w:rsidR="00001DC6" w:rsidRPr="00001DC6" w:rsidRDefault="00001DC6" w:rsidP="000E2743">
            <w:pPr>
              <w:pStyle w:val="142"/>
              <w:jc w:val="right"/>
              <w:rPr>
                <w:color w:val="000000"/>
              </w:rPr>
            </w:pPr>
            <w:r w:rsidRPr="00001DC6">
              <w:rPr>
                <w:color w:val="000000"/>
              </w:rPr>
              <w:t>18.89%</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工程費用</w:t>
            </w:r>
          </w:p>
        </w:tc>
        <w:tc>
          <w:tcPr>
            <w:tcW w:w="1842" w:type="dxa"/>
            <w:shd w:val="clear" w:color="auto" w:fill="auto"/>
            <w:vAlign w:val="center"/>
          </w:tcPr>
          <w:p w:rsidR="00001DC6" w:rsidRPr="00001DC6" w:rsidRDefault="00001DC6" w:rsidP="000E2743">
            <w:pPr>
              <w:pStyle w:val="142"/>
              <w:jc w:val="right"/>
              <w:rPr>
                <w:color w:val="000000"/>
              </w:rPr>
            </w:pPr>
            <w:r w:rsidRPr="00001DC6">
              <w:rPr>
                <w:color w:val="000000"/>
              </w:rPr>
              <w:t>251,539</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8</w:t>
            </w:r>
            <w:r w:rsidRPr="00001DC6">
              <w:rPr>
                <w:color w:val="000000"/>
              </w:rPr>
              <w:t>,678</w:t>
            </w:r>
          </w:p>
        </w:tc>
        <w:tc>
          <w:tcPr>
            <w:tcW w:w="1824" w:type="dxa"/>
            <w:vAlign w:val="center"/>
          </w:tcPr>
          <w:p w:rsidR="00001DC6" w:rsidRPr="00001DC6" w:rsidRDefault="00001DC6" w:rsidP="000E2743">
            <w:pPr>
              <w:pStyle w:val="142"/>
              <w:jc w:val="right"/>
              <w:rPr>
                <w:color w:val="000000"/>
              </w:rPr>
            </w:pPr>
            <w:r w:rsidRPr="00001DC6">
              <w:rPr>
                <w:color w:val="000000"/>
              </w:rPr>
              <w:t>3.45%</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土地整理費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3</w:t>
            </w:r>
            <w:r w:rsidRPr="00001DC6">
              <w:rPr>
                <w:color w:val="000000"/>
              </w:rPr>
              <w:t>7,251</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5,594</w:t>
            </w:r>
          </w:p>
        </w:tc>
        <w:tc>
          <w:tcPr>
            <w:tcW w:w="1824" w:type="dxa"/>
            <w:vAlign w:val="center"/>
          </w:tcPr>
          <w:p w:rsidR="00001DC6" w:rsidRPr="00001DC6" w:rsidRDefault="00001DC6" w:rsidP="000E2743">
            <w:pPr>
              <w:pStyle w:val="142"/>
              <w:jc w:val="right"/>
              <w:rPr>
                <w:color w:val="000000"/>
              </w:rPr>
            </w:pPr>
            <w:r w:rsidRPr="00001DC6">
              <w:rPr>
                <w:color w:val="000000"/>
              </w:rPr>
              <w:t>68.71%</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貸款利息</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,807</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1</w:t>
            </w:r>
            <w:r w:rsidRPr="00001DC6">
              <w:rPr>
                <w:color w:val="000000"/>
              </w:rPr>
              <w:t>,630</w:t>
            </w:r>
          </w:p>
        </w:tc>
        <w:tc>
          <w:tcPr>
            <w:tcW w:w="1824" w:type="dxa"/>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3.95%</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合計</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3</w:t>
            </w:r>
            <w:r w:rsidRPr="00001DC6">
              <w:rPr>
                <w:color w:val="000000"/>
              </w:rPr>
              <w:t>,148,797</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55,468</w:t>
            </w:r>
          </w:p>
        </w:tc>
        <w:tc>
          <w:tcPr>
            <w:tcW w:w="1824" w:type="dxa"/>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0.82%</w:t>
            </w:r>
          </w:p>
        </w:tc>
      </w:tr>
    </w:tbl>
    <w:p w:rsidR="00001DC6" w:rsidRDefault="00001DC6" w:rsidP="00001DC6">
      <w:pPr>
        <w:pStyle w:val="142"/>
        <w:ind w:left="560" w:hanging="560"/>
        <w:rPr>
          <w:rFonts w:hAnsi="標楷體"/>
          <w:snapToGrid/>
          <w:color w:val="000000"/>
        </w:rPr>
      </w:pPr>
      <w:r>
        <w:rPr>
          <w:rFonts w:hAnsi="標楷體" w:hint="eastAsia"/>
          <w:snapToGrid/>
          <w:color w:val="000000"/>
        </w:rPr>
        <w:t xml:space="preserve">說 </w:t>
      </w:r>
      <w:r>
        <w:rPr>
          <w:rFonts w:hAnsi="標楷體"/>
          <w:snapToGrid/>
          <w:color w:val="000000"/>
        </w:rPr>
        <w:t xml:space="preserve">   </w:t>
      </w:r>
      <w:r>
        <w:rPr>
          <w:rFonts w:hAnsi="標楷體" w:hint="eastAsia"/>
          <w:snapToGrid/>
          <w:color w:val="000000"/>
        </w:rPr>
        <w:t>明：因四捨五入，部分數字有尾差</w:t>
      </w:r>
      <w:r w:rsidRPr="008E5BD1">
        <w:rPr>
          <w:rFonts w:hAnsi="標楷體" w:hint="eastAsia"/>
          <w:snapToGrid/>
          <w:color w:val="000000"/>
        </w:rPr>
        <w:t>。</w:t>
      </w:r>
    </w:p>
    <w:p w:rsidR="00001DC6" w:rsidRPr="00001DC6" w:rsidRDefault="00001DC6" w:rsidP="00001DC6">
      <w:pPr>
        <w:pStyle w:val="142"/>
        <w:rPr>
          <w:color w:val="000000"/>
        </w:rPr>
      </w:pPr>
      <w:r w:rsidRPr="00001DC6">
        <w:rPr>
          <w:rFonts w:hint="eastAsia"/>
          <w:color w:val="000000"/>
        </w:rPr>
        <w:t>資料來源：摘自審計部1</w:t>
      </w:r>
      <w:r w:rsidRPr="00001DC6">
        <w:rPr>
          <w:color w:val="000000"/>
        </w:rPr>
        <w:t>12</w:t>
      </w:r>
      <w:r w:rsidRPr="00001DC6">
        <w:rPr>
          <w:rFonts w:hint="eastAsia"/>
          <w:color w:val="000000"/>
        </w:rPr>
        <w:t>年5月3</w:t>
      </w:r>
      <w:r w:rsidRPr="00001DC6">
        <w:rPr>
          <w:color w:val="000000"/>
        </w:rPr>
        <w:t>1</w:t>
      </w:r>
      <w:r w:rsidRPr="00001DC6">
        <w:rPr>
          <w:rFonts w:hint="eastAsia"/>
          <w:color w:val="000000"/>
        </w:rPr>
        <w:t>日審核通知附表1。</w:t>
      </w:r>
    </w:p>
    <w:p w:rsidR="00001DC6" w:rsidRPr="00001DC6" w:rsidRDefault="00001DC6" w:rsidP="00001DC6">
      <w:pPr>
        <w:ind w:left="566" w:firstLine="566"/>
        <w:rPr>
          <w:rFonts w:hAnsi="標楷體"/>
          <w:snapToGrid/>
          <w:color w:val="000000"/>
          <w:lang w:eastAsia="zh-HK"/>
        </w:rPr>
      </w:pPr>
      <w:r w:rsidRPr="00001DC6">
        <w:rPr>
          <w:rFonts w:hAnsi="標楷體" w:hint="eastAsia"/>
          <w:snapToGrid/>
          <w:color w:val="000000"/>
          <w:lang w:eastAsia="zh-HK"/>
        </w:rPr>
        <w:t>綜上，</w:t>
      </w:r>
      <w:r w:rsidRPr="00001DC6">
        <w:rPr>
          <w:rFonts w:hAnsi="標楷體" w:hint="eastAsia"/>
          <w:snapToGrid/>
          <w:color w:val="000000"/>
        </w:rPr>
        <w:t>內政部1</w:t>
      </w:r>
      <w:r w:rsidRPr="00001DC6">
        <w:rPr>
          <w:rFonts w:hAnsi="標楷體"/>
          <w:snapToGrid/>
          <w:color w:val="000000"/>
        </w:rPr>
        <w:t>11</w:t>
      </w:r>
      <w:r w:rsidRPr="00001DC6">
        <w:rPr>
          <w:rFonts w:hAnsi="標楷體" w:hint="eastAsia"/>
          <w:snapToGrid/>
          <w:color w:val="000000"/>
        </w:rPr>
        <w:t>年度於實施平均基金辦理「</w:t>
      </w:r>
      <w:r w:rsidRPr="00001DC6">
        <w:rPr>
          <w:rFonts w:hAnsi="標楷體" w:hint="eastAsia"/>
          <w:snapToGrid/>
          <w:color w:val="000000"/>
          <w:lang w:eastAsia="zh-HK"/>
        </w:rPr>
        <w:t>新北市土城司法園區區段徵收計畫</w:t>
      </w:r>
      <w:r w:rsidRPr="00001DC6">
        <w:rPr>
          <w:rFonts w:hAnsi="標楷體" w:hint="eastAsia"/>
          <w:snapToGrid/>
          <w:color w:val="000000"/>
        </w:rPr>
        <w:t>」，惟因相關遷移及補償費未能核實估列，及管線施作進度未如預期等因素，致預算執行率僅20.82%，允宜強化進度控管積極趕辦，俾計畫如期進行。</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001DC6" w:rsidRPr="00001DC6"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F85D77" w:rsidRPr="00F85D77">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Pr="00001DC6" w:rsidRDefault="000E2743" w:rsidP="00001DC6">
      <w:pPr>
        <w:pStyle w:val="142"/>
        <w:ind w:left="170" w:hangingChars="70" w:hanging="170"/>
        <w:jc w:val="both"/>
        <w:rPr>
          <w:color w:val="000000"/>
          <w:szCs w:val="24"/>
        </w:rPr>
      </w:pPr>
      <w:r>
        <w:rPr>
          <w:rStyle w:val="af4"/>
        </w:rPr>
        <w:footnoteRef/>
      </w:r>
      <w:r w:rsidRPr="00001DC6">
        <w:rPr>
          <w:rFonts w:hAnsi="標楷體" w:cs="標楷體" w:hint="eastAsia"/>
          <w:snapToGrid/>
          <w:color w:val="000000"/>
          <w:szCs w:val="24"/>
          <w:lang w:eastAsia="zh-HK"/>
        </w:rPr>
        <w:t>開發總成本</w:t>
      </w:r>
      <w:r w:rsidRPr="00001DC6">
        <w:rPr>
          <w:rFonts w:hAnsi="標楷體" w:cs="標楷體" w:hint="eastAsia"/>
          <w:snapToGrid/>
          <w:color w:val="000000"/>
          <w:szCs w:val="24"/>
        </w:rPr>
        <w:t>原預估為</w:t>
      </w:r>
      <w:r w:rsidRPr="00001DC6">
        <w:rPr>
          <w:rFonts w:hAnsi="標楷體" w:cs="標楷體" w:hint="eastAsia"/>
          <w:snapToGrid/>
          <w:color w:val="000000"/>
          <w:szCs w:val="24"/>
          <w:lang w:eastAsia="zh-HK"/>
        </w:rPr>
        <w:t>122億359萬8千元</w:t>
      </w:r>
      <w:r w:rsidRPr="00001DC6">
        <w:rPr>
          <w:rFonts w:hAnsi="標楷體" w:cs="標楷體" w:hint="eastAsia"/>
          <w:snapToGrid/>
          <w:color w:val="000000"/>
          <w:szCs w:val="24"/>
        </w:rPr>
        <w:t>，後於1</w:t>
      </w:r>
      <w:r w:rsidRPr="00001DC6">
        <w:rPr>
          <w:rFonts w:hAnsi="標楷體" w:cs="標楷體"/>
          <w:snapToGrid/>
          <w:color w:val="000000"/>
          <w:szCs w:val="24"/>
        </w:rPr>
        <w:t>11</w:t>
      </w:r>
      <w:r w:rsidRPr="00001DC6">
        <w:rPr>
          <w:rFonts w:hAnsi="標楷體" w:cs="標楷體" w:hint="eastAsia"/>
          <w:snapToGrid/>
          <w:color w:val="000000"/>
          <w:szCs w:val="24"/>
        </w:rPr>
        <w:t>年1</w:t>
      </w:r>
      <w:r w:rsidRPr="00001DC6">
        <w:rPr>
          <w:rFonts w:hAnsi="標楷體" w:cs="標楷體"/>
          <w:snapToGrid/>
          <w:color w:val="000000"/>
          <w:szCs w:val="24"/>
        </w:rPr>
        <w:t>1</w:t>
      </w:r>
      <w:r w:rsidRPr="00001DC6">
        <w:rPr>
          <w:rFonts w:hAnsi="標楷體" w:cs="標楷體" w:hint="eastAsia"/>
          <w:snapToGrid/>
          <w:color w:val="000000"/>
          <w:szCs w:val="24"/>
        </w:rPr>
        <w:t>月間獲行政院核定區段徵收面積微調，故開發總費用</w:t>
      </w:r>
      <w:r w:rsidRPr="00001DC6">
        <w:rPr>
          <w:rFonts w:hint="eastAsia"/>
          <w:color w:val="000000"/>
        </w:rPr>
        <w:t>配合</w:t>
      </w:r>
      <w:r w:rsidRPr="00001DC6">
        <w:rPr>
          <w:rFonts w:hAnsi="標楷體" w:cs="標楷體" w:hint="eastAsia"/>
          <w:snapToGrid/>
          <w:color w:val="000000"/>
          <w:szCs w:val="24"/>
        </w:rPr>
        <w:t>修正為122億1,372萬元。</w:t>
      </w:r>
    </w:p>
  </w:footnote>
  <w:footnote w:id="2">
    <w:p w:rsidR="000E2743" w:rsidRPr="008F1060" w:rsidRDefault="000E2743" w:rsidP="00001DC6">
      <w:pPr>
        <w:pStyle w:val="142"/>
        <w:ind w:left="170" w:hangingChars="70" w:hanging="170"/>
        <w:jc w:val="both"/>
      </w:pPr>
      <w:r w:rsidRPr="00001DC6">
        <w:rPr>
          <w:rStyle w:val="af4"/>
          <w:color w:val="000000"/>
        </w:rPr>
        <w:footnoteRef/>
      </w:r>
      <w:r w:rsidRPr="00001DC6">
        <w:rPr>
          <w:rFonts w:hint="eastAsia"/>
          <w:color w:val="000000"/>
        </w:rPr>
        <w:t>摘自實施平均地權基金1</w:t>
      </w:r>
      <w:r w:rsidRPr="00001DC6">
        <w:rPr>
          <w:color w:val="000000"/>
        </w:rPr>
        <w:t>11</w:t>
      </w:r>
      <w:r w:rsidRPr="00001DC6">
        <w:rPr>
          <w:rFonts w:hint="eastAsia"/>
          <w:color w:val="000000"/>
        </w:rPr>
        <w:t>年度決算書之主要營運項目執行績效摘要表。</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5D77"/>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9CD09F-6CE5-47BE-BA4B-D28734CA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4522F-71C2-4BC4-BFF2-36BBE7751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2</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