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B696B">
        <w:rPr>
          <w:rFonts w:hint="eastAsia"/>
          <w:color w:val="000000"/>
        </w:rPr>
        <w:t>1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135C46">
        <w:rPr>
          <w:rFonts w:hint="eastAsia"/>
          <w:snapToGrid/>
          <w:color w:val="000000"/>
        </w:rPr>
        <w:t>1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61C17" w:rsidRPr="0015471B">
        <w:rPr>
          <w:rFonts w:hint="eastAsia"/>
          <w:snapToGrid/>
          <w:color w:val="000000"/>
        </w:rPr>
        <w:t>營業收入</w:t>
      </w:r>
      <w:r w:rsidR="00C7196E">
        <w:rPr>
          <w:rFonts w:hint="eastAsia"/>
          <w:snapToGrid/>
          <w:color w:val="000000"/>
        </w:rPr>
        <w:t>320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620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3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營業成本</w:t>
      </w:r>
      <w:r w:rsidR="00C7196E">
        <w:rPr>
          <w:rFonts w:hint="eastAsia"/>
          <w:snapToGrid/>
          <w:color w:val="000000"/>
        </w:rPr>
        <w:t>275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199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61C17" w:rsidRPr="0015471B">
        <w:rPr>
          <w:rFonts w:hint="eastAsia"/>
          <w:snapToGrid/>
          <w:color w:val="000000"/>
        </w:rPr>
        <w:t>營業費用</w:t>
      </w:r>
      <w:r w:rsidR="00C7196E">
        <w:rPr>
          <w:rFonts w:hint="eastAsia"/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5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209</w:t>
      </w:r>
      <w:r w:rsidR="007C0973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6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元，營業利益為</w:t>
      </w:r>
      <w:r w:rsidR="00C7196E">
        <w:rPr>
          <w:rFonts w:hint="eastAsia"/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4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210</w:t>
      </w:r>
      <w:r w:rsidR="004620FC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營業外損失</w:t>
      </w:r>
      <w:r w:rsidR="00C7196E">
        <w:rPr>
          <w:rFonts w:hint="eastAsia"/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022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費用8,</w:t>
      </w:r>
      <w:r w:rsidR="00C7196E">
        <w:rPr>
          <w:snapToGrid/>
          <w:color w:val="000000"/>
        </w:rPr>
        <w:t>0</w:t>
      </w:r>
      <w:r w:rsidR="00C7196E">
        <w:rPr>
          <w:rFonts w:hint="eastAsia"/>
          <w:snapToGrid/>
          <w:color w:val="000000"/>
        </w:rPr>
        <w:t>6</w:t>
      </w:r>
      <w:r w:rsidR="00C7196E">
        <w:rPr>
          <w:snapToGrid/>
          <w:color w:val="000000"/>
        </w:rPr>
        <w:t>4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snapToGrid/>
          <w:color w:val="000000"/>
        </w:rPr>
        <w:t>9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元，本期淨</w:t>
      </w:r>
      <w:r w:rsidR="00C7196E">
        <w:rPr>
          <w:rFonts w:hint="eastAsia"/>
          <w:snapToGrid/>
          <w:color w:val="000000"/>
        </w:rPr>
        <w:t>利7</w:t>
      </w:r>
      <w:r w:rsidR="004620FC" w:rsidRPr="0015471B">
        <w:rPr>
          <w:rFonts w:hint="eastAsia"/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123</w:t>
      </w:r>
      <w:r w:rsidR="004620FC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C7196E">
        <w:rPr>
          <w:rFonts w:hint="eastAsia"/>
          <w:snapToGrid/>
          <w:color w:val="000000"/>
        </w:rPr>
        <w:t>1</w:t>
      </w:r>
      <w:r w:rsidR="003E1969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6,277</w:t>
      </w:r>
      <w:r w:rsidR="00E00D02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元，</w:t>
      </w:r>
      <w:r w:rsidR="0040555F">
        <w:rPr>
          <w:rFonts w:hint="eastAsia"/>
          <w:snapToGrid/>
          <w:color w:val="000000"/>
        </w:rPr>
        <w:t>相距</w:t>
      </w:r>
      <w:r w:rsidR="00C7196E">
        <w:rPr>
          <w:rFonts w:hint="eastAsia"/>
          <w:snapToGrid/>
          <w:color w:val="000000"/>
        </w:rPr>
        <w:t>2億3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400萬9千元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5" w:name="_Toc35243257"/>
      <w:bookmarkStart w:id="6" w:name="_Toc162277602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5"/>
      <w:r w:rsidR="00E7314D">
        <w:rPr>
          <w:rFonts w:hint="eastAsia"/>
          <w:color w:val="000000"/>
        </w:rPr>
        <w:t>部分區處經營績效</w:t>
      </w:r>
      <w:r w:rsidR="00867580">
        <w:rPr>
          <w:rFonts w:hint="eastAsia"/>
          <w:color w:val="000000"/>
        </w:rPr>
        <w:t>仍</w:t>
      </w:r>
      <w:r w:rsidR="00E7314D">
        <w:rPr>
          <w:rFonts w:hint="eastAsia"/>
          <w:color w:val="000000"/>
        </w:rPr>
        <w:t>待改善，允宜因地制宜研謀對策精進</w:t>
      </w:r>
      <w:r w:rsidR="00513C54">
        <w:rPr>
          <w:rFonts w:hint="eastAsia"/>
          <w:color w:val="000000"/>
        </w:rPr>
        <w:t>，俾利永續發展及</w:t>
      </w:r>
      <w:r w:rsidR="00C16287">
        <w:rPr>
          <w:rFonts w:hint="eastAsia"/>
          <w:color w:val="000000"/>
        </w:rPr>
        <w:t>有效運用</w:t>
      </w:r>
      <w:r w:rsidR="00513C54">
        <w:rPr>
          <w:rFonts w:hint="eastAsia"/>
          <w:color w:val="000000"/>
        </w:rPr>
        <w:t>水資源</w:t>
      </w:r>
      <w:bookmarkEnd w:id="6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3B2164">
        <w:rPr>
          <w:rFonts w:hint="eastAsia"/>
          <w:color w:val="000000"/>
        </w:rPr>
        <w:t>111年度營業收入</w:t>
      </w:r>
      <w:r w:rsidR="003B2164">
        <w:rPr>
          <w:rFonts w:hAnsi="標楷體" w:hint="eastAsia"/>
          <w:color w:val="000000"/>
        </w:rPr>
        <w:t>、</w:t>
      </w:r>
      <w:r w:rsidR="003B2164">
        <w:rPr>
          <w:rFonts w:hint="eastAsia"/>
          <w:color w:val="000000"/>
        </w:rPr>
        <w:t>營業成本及營業費用</w:t>
      </w:r>
      <w:r w:rsidR="003B2164">
        <w:rPr>
          <w:rFonts w:hAnsi="標楷體" w:hint="eastAsia"/>
          <w:color w:val="000000"/>
        </w:rPr>
        <w:t>決算數分別為</w:t>
      </w:r>
      <w:r w:rsidR="003B2164">
        <w:rPr>
          <w:rFonts w:hAnsi="標楷體"/>
          <w:color w:val="000000"/>
        </w:rPr>
        <w:t>320</w:t>
      </w:r>
      <w:r w:rsidR="003B2164">
        <w:rPr>
          <w:rFonts w:hAnsi="標楷體" w:hint="eastAsia"/>
          <w:color w:val="000000"/>
        </w:rPr>
        <w:t>億</w:t>
      </w:r>
      <w:r w:rsidR="003B2164">
        <w:rPr>
          <w:rFonts w:hAnsi="標楷體"/>
          <w:color w:val="000000"/>
        </w:rPr>
        <w:t>9,620</w:t>
      </w:r>
      <w:r w:rsidR="003B2164">
        <w:rPr>
          <w:rFonts w:hAnsi="標楷體" w:hint="eastAsia"/>
          <w:color w:val="000000"/>
        </w:rPr>
        <w:t>萬3千元、</w:t>
      </w:r>
      <w:r w:rsidR="003B2164">
        <w:rPr>
          <w:rFonts w:hAnsi="標楷體"/>
          <w:color w:val="000000"/>
        </w:rPr>
        <w:t>27</w:t>
      </w:r>
      <w:r w:rsidR="003B2164" w:rsidRPr="003B2164">
        <w:rPr>
          <w:rFonts w:hAnsi="標楷體"/>
          <w:color w:val="000000"/>
        </w:rPr>
        <w:t>5</w:t>
      </w:r>
      <w:r w:rsidR="003B2164">
        <w:rPr>
          <w:rFonts w:hAnsi="標楷體" w:hint="eastAsia"/>
          <w:color w:val="000000"/>
        </w:rPr>
        <w:t>億</w:t>
      </w:r>
      <w:r w:rsidR="003B2164" w:rsidRPr="003B2164">
        <w:rPr>
          <w:rFonts w:hAnsi="標楷體"/>
          <w:color w:val="000000"/>
        </w:rPr>
        <w:t>199</w:t>
      </w:r>
      <w:r w:rsidR="003B2164">
        <w:rPr>
          <w:rFonts w:hAnsi="標楷體" w:hint="eastAsia"/>
          <w:color w:val="000000"/>
        </w:rPr>
        <w:t>萬</w:t>
      </w:r>
      <w:r w:rsidR="008F693A">
        <w:rPr>
          <w:rFonts w:hAnsi="標楷體" w:hint="eastAsia"/>
          <w:color w:val="000000"/>
        </w:rPr>
        <w:t>9</w:t>
      </w:r>
      <w:r w:rsidR="003B2164">
        <w:rPr>
          <w:rFonts w:hAnsi="標楷體" w:hint="eastAsia"/>
          <w:color w:val="000000"/>
        </w:rPr>
        <w:t>千元及</w:t>
      </w:r>
      <w:r w:rsidR="003B2164">
        <w:rPr>
          <w:rFonts w:hAnsi="標楷體"/>
          <w:color w:val="000000"/>
        </w:rPr>
        <w:t>3</w:t>
      </w:r>
      <w:r w:rsidR="003B2164" w:rsidRPr="003B2164">
        <w:rPr>
          <w:rFonts w:hAnsi="標楷體"/>
          <w:color w:val="000000"/>
        </w:rPr>
        <w:t>6</w:t>
      </w:r>
      <w:r w:rsidR="003B2164">
        <w:rPr>
          <w:rFonts w:hAnsi="標楷體" w:hint="eastAsia"/>
          <w:color w:val="000000"/>
        </w:rPr>
        <w:t>億</w:t>
      </w:r>
      <w:r w:rsidR="003B2164" w:rsidRPr="003B2164">
        <w:rPr>
          <w:rFonts w:hAnsi="標楷體"/>
          <w:color w:val="000000"/>
        </w:rPr>
        <w:t>5,209</w:t>
      </w:r>
      <w:r w:rsidR="003B2164">
        <w:rPr>
          <w:rFonts w:hAnsi="標楷體" w:hint="eastAsia"/>
          <w:color w:val="000000"/>
        </w:rPr>
        <w:t>萬</w:t>
      </w:r>
      <w:r w:rsidR="003B2164" w:rsidRPr="003B2164">
        <w:rPr>
          <w:rFonts w:hAnsi="標楷體"/>
          <w:color w:val="000000"/>
        </w:rPr>
        <w:t>5</w:t>
      </w:r>
      <w:r w:rsidR="003B2164">
        <w:rPr>
          <w:rFonts w:hAnsi="標楷體" w:hint="eastAsia"/>
          <w:color w:val="000000"/>
        </w:rPr>
        <w:t>千元，收支相抵後營業利益</w:t>
      </w:r>
      <w:r w:rsidR="003B2164">
        <w:rPr>
          <w:rFonts w:hAnsi="標楷體"/>
          <w:color w:val="000000"/>
        </w:rPr>
        <w:t>9</w:t>
      </w:r>
      <w:r w:rsidR="003B2164">
        <w:rPr>
          <w:rFonts w:hAnsi="標楷體" w:hint="eastAsia"/>
          <w:color w:val="000000"/>
        </w:rPr>
        <w:t>億</w:t>
      </w:r>
      <w:r w:rsidR="003B2164">
        <w:rPr>
          <w:rFonts w:hAnsi="標楷體"/>
          <w:color w:val="000000"/>
        </w:rPr>
        <w:t>4,210</w:t>
      </w:r>
      <w:r w:rsidR="003B2164">
        <w:rPr>
          <w:rFonts w:hAnsi="標楷體" w:hint="eastAsia"/>
          <w:color w:val="000000"/>
        </w:rPr>
        <w:t>萬9千元</w:t>
      </w:r>
      <w:r w:rsidR="0027135E">
        <w:rPr>
          <w:rFonts w:hAnsi="標楷體" w:hint="eastAsia"/>
          <w:color w:val="000000"/>
        </w:rPr>
        <w:t>，較預算數9億7</w:t>
      </w:r>
      <w:r w:rsidR="0027135E">
        <w:rPr>
          <w:rFonts w:hAnsi="標楷體"/>
          <w:color w:val="000000"/>
        </w:rPr>
        <w:t>,</w:t>
      </w:r>
      <w:r w:rsidR="0027135E">
        <w:rPr>
          <w:rFonts w:hAnsi="標楷體" w:hint="eastAsia"/>
          <w:color w:val="000000"/>
        </w:rPr>
        <w:t>761萬5千元，減少3</w:t>
      </w:r>
      <w:r w:rsidR="0027135E">
        <w:rPr>
          <w:rFonts w:hAnsi="標楷體"/>
          <w:color w:val="000000"/>
        </w:rPr>
        <w:t>,</w:t>
      </w:r>
      <w:r w:rsidR="0027135E">
        <w:rPr>
          <w:rFonts w:hAnsi="標楷體" w:hint="eastAsia"/>
          <w:color w:val="000000"/>
        </w:rPr>
        <w:t>550萬6千元(減幅3.63%)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424F2D">
        <w:rPr>
          <w:rFonts w:hint="eastAsia"/>
          <w:b/>
          <w:color w:val="000000"/>
        </w:rPr>
        <w:t>部分區處營業成本費用率</w:t>
      </w:r>
      <w:r w:rsidR="00957B34">
        <w:rPr>
          <w:rFonts w:hint="eastAsia"/>
          <w:b/>
          <w:color w:val="000000"/>
        </w:rPr>
        <w:t>連續3年</w:t>
      </w:r>
      <w:r w:rsidR="00424F2D">
        <w:rPr>
          <w:rFonts w:hint="eastAsia"/>
          <w:b/>
          <w:color w:val="000000"/>
        </w:rPr>
        <w:t>超過100%</w:t>
      </w:r>
      <w:r w:rsidR="00957B34">
        <w:rPr>
          <w:rFonts w:hint="eastAsia"/>
          <w:b/>
          <w:color w:val="000000"/>
        </w:rPr>
        <w:t>且呈增加趨勢</w:t>
      </w:r>
      <w:r w:rsidR="00424F2D">
        <w:rPr>
          <w:rFonts w:hint="eastAsia"/>
          <w:b/>
          <w:color w:val="000000"/>
        </w:rPr>
        <w:t>，允宜</w:t>
      </w:r>
      <w:r w:rsidR="00CE3CE7">
        <w:rPr>
          <w:rFonts w:hint="eastAsia"/>
          <w:b/>
          <w:color w:val="000000"/>
        </w:rPr>
        <w:t>因地制宜改善各區處經營績效</w:t>
      </w:r>
    </w:p>
    <w:p w:rsidR="00292B5A" w:rsidRPr="0015471B" w:rsidRDefault="00B27852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檢視</w:t>
      </w:r>
      <w:r w:rsidR="004112E9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各區處</w:t>
      </w:r>
      <w:r w:rsidR="00973766">
        <w:rPr>
          <w:rFonts w:hAnsi="標楷體" w:hint="eastAsia"/>
          <w:color w:val="000000"/>
        </w:rPr>
        <w:t>109至</w:t>
      </w:r>
      <w:r>
        <w:rPr>
          <w:rFonts w:hAnsi="標楷體" w:hint="eastAsia"/>
          <w:color w:val="000000"/>
        </w:rPr>
        <w:t>111年度營業收</w:t>
      </w:r>
      <w:r w:rsidR="00072B0C">
        <w:rPr>
          <w:rFonts w:hAnsi="標楷體" w:hint="eastAsia"/>
          <w:color w:val="000000"/>
        </w:rPr>
        <w:t>支</w:t>
      </w:r>
      <w:r>
        <w:rPr>
          <w:rFonts w:hAnsi="標楷體" w:hint="eastAsia"/>
          <w:color w:val="000000"/>
        </w:rPr>
        <w:t>執行情形</w:t>
      </w:r>
      <w:r w:rsidR="00072B0C">
        <w:rPr>
          <w:rFonts w:hAnsi="標楷體" w:hint="eastAsia"/>
          <w:color w:val="000000"/>
        </w:rPr>
        <w:t>及售水概況</w:t>
      </w:r>
      <w:r>
        <w:rPr>
          <w:rFonts w:hAnsi="標楷體" w:hint="eastAsia"/>
          <w:color w:val="000000"/>
        </w:rPr>
        <w:t>(詳表1)，說明如下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9E5113">
        <w:rPr>
          <w:rFonts w:hint="eastAsia"/>
          <w:color w:val="000000"/>
        </w:rPr>
        <w:t>全公司</w:t>
      </w:r>
      <w:r w:rsidR="00973766">
        <w:rPr>
          <w:rFonts w:hint="eastAsia"/>
          <w:color w:val="000000"/>
        </w:rPr>
        <w:t>111年度</w:t>
      </w:r>
      <w:r w:rsidR="009E5113">
        <w:rPr>
          <w:rFonts w:hint="eastAsia"/>
          <w:color w:val="000000"/>
        </w:rPr>
        <w:t>營業成本費用率為96.24%，其中第一</w:t>
      </w:r>
      <w:r w:rsidR="009E5113">
        <w:rPr>
          <w:rFonts w:hAnsi="標楷體" w:hint="eastAsia"/>
          <w:color w:val="000000"/>
        </w:rPr>
        <w:t>、</w:t>
      </w:r>
      <w:r w:rsidR="009E5113">
        <w:rPr>
          <w:rFonts w:hint="eastAsia"/>
          <w:color w:val="000000"/>
        </w:rPr>
        <w:t>五</w:t>
      </w:r>
      <w:r w:rsidR="009E5113">
        <w:rPr>
          <w:rFonts w:hAnsi="標楷體" w:hint="eastAsia"/>
          <w:color w:val="000000"/>
        </w:rPr>
        <w:t>、八、九、十及屏東區</w:t>
      </w:r>
      <w:r w:rsidR="009E5113">
        <w:rPr>
          <w:rFonts w:hint="eastAsia"/>
          <w:color w:val="000000"/>
        </w:rPr>
        <w:t>處營業成本費用率超過100%，</w:t>
      </w:r>
      <w:r w:rsidR="00271C1A">
        <w:rPr>
          <w:rFonts w:hint="eastAsia"/>
          <w:color w:val="000000"/>
        </w:rPr>
        <w:t>顯示該地區營業收入尚不敷支應所需營業成本與費用，且</w:t>
      </w:r>
      <w:r w:rsidR="009E5113">
        <w:rPr>
          <w:rFonts w:hint="eastAsia"/>
          <w:color w:val="000000"/>
        </w:rPr>
        <w:t>第十區處甚至高達17</w:t>
      </w:r>
      <w:r w:rsidR="00782990">
        <w:rPr>
          <w:rFonts w:hint="eastAsia"/>
          <w:color w:val="000000"/>
        </w:rPr>
        <w:t>2</w:t>
      </w:r>
      <w:r w:rsidR="009E5113">
        <w:rPr>
          <w:rFonts w:hint="eastAsia"/>
          <w:color w:val="000000"/>
        </w:rPr>
        <w:t>.70%，</w:t>
      </w:r>
      <w:r w:rsidR="009E5113">
        <w:rPr>
          <w:rFonts w:hAnsi="標楷體" w:hint="eastAsia"/>
          <w:color w:val="000000"/>
        </w:rPr>
        <w:t>詢據台水公司說明，各區處營業成本費用率差異甚鉅主要因各區處都市化程度、地形高低落差及水源差異等不同經營條件</w:t>
      </w:r>
      <w:r w:rsidR="00782990">
        <w:rPr>
          <w:rFonts w:hAnsi="標楷體" w:hint="eastAsia"/>
          <w:color w:val="000000"/>
        </w:rPr>
        <w:t>所致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271C1A">
        <w:rPr>
          <w:rFonts w:hAnsi="標楷體" w:hint="eastAsia"/>
          <w:color w:val="000000"/>
        </w:rPr>
        <w:t>111年度</w:t>
      </w:r>
      <w:r w:rsidR="008805E9">
        <w:rPr>
          <w:rFonts w:hAnsi="標楷體" w:hint="eastAsia"/>
          <w:color w:val="000000"/>
        </w:rPr>
        <w:t>部分區處營業成本費用率</w:t>
      </w:r>
      <w:r w:rsidR="00271C1A">
        <w:rPr>
          <w:rFonts w:hAnsi="標楷體" w:hint="eastAsia"/>
          <w:color w:val="000000"/>
        </w:rPr>
        <w:t>較110年度</w:t>
      </w:r>
      <w:r w:rsidR="008805E9">
        <w:rPr>
          <w:rFonts w:hAnsi="標楷體" w:hint="eastAsia"/>
          <w:color w:val="000000"/>
        </w:rPr>
        <w:t>呈增加趨勢，包括第</w:t>
      </w:r>
      <w:r w:rsidR="008805E9">
        <w:rPr>
          <w:rFonts w:hint="eastAsia"/>
          <w:color w:val="000000"/>
        </w:rPr>
        <w:t>一</w:t>
      </w:r>
      <w:r w:rsidR="008805E9">
        <w:rPr>
          <w:rFonts w:hAnsi="標楷體" w:hint="eastAsia"/>
          <w:color w:val="000000"/>
        </w:rPr>
        <w:t>、三、五、九及十一區，其中第一、五及九區連續3年度營業成本費用率均逾100%，允宜加強各區處成本控管機</w:t>
      </w:r>
      <w:r w:rsidR="008805E9">
        <w:rPr>
          <w:rFonts w:hAnsi="標楷體" w:hint="eastAsia"/>
          <w:color w:val="000000"/>
        </w:rPr>
        <w:lastRenderedPageBreak/>
        <w:t>制，並因地制宜研謀改善經營績效</w:t>
      </w:r>
      <w:r w:rsidR="00973766" w:rsidRPr="009727A8">
        <w:rPr>
          <w:rFonts w:hAnsi="標楷體" w:hint="eastAsia"/>
          <w:color w:val="000000"/>
        </w:rPr>
        <w:t>。</w:t>
      </w:r>
    </w:p>
    <w:p w:rsidR="00C54913" w:rsidRPr="00C54913" w:rsidRDefault="00C54913" w:rsidP="00973766">
      <w:pPr>
        <w:pStyle w:val="20"/>
        <w:ind w:left="765" w:hangingChars="270" w:hanging="765"/>
        <w:rPr>
          <w:rFonts w:hint="eastAsia"/>
        </w:rPr>
      </w:pPr>
      <w:r w:rsidRPr="003C1DAC">
        <w:rPr>
          <w:rFonts w:hint="eastAsia"/>
          <w:b/>
          <w:sz w:val="28"/>
        </w:rPr>
        <w:t xml:space="preserve">表1  </w:t>
      </w:r>
      <w:r w:rsidR="003C1DAC">
        <w:rPr>
          <w:rFonts w:hint="eastAsia"/>
          <w:b/>
          <w:sz w:val="28"/>
        </w:rPr>
        <w:t>台水公司各區處</w:t>
      </w:r>
      <w:r w:rsidR="00A82150">
        <w:rPr>
          <w:rFonts w:hint="eastAsia"/>
          <w:b/>
          <w:sz w:val="28"/>
        </w:rPr>
        <w:t>111年度</w:t>
      </w:r>
      <w:r w:rsidR="003C1DAC">
        <w:rPr>
          <w:rFonts w:hint="eastAsia"/>
          <w:b/>
          <w:sz w:val="28"/>
        </w:rPr>
        <w:t>營業收</w:t>
      </w:r>
      <w:r w:rsidR="00A82150">
        <w:rPr>
          <w:rFonts w:hint="eastAsia"/>
          <w:b/>
          <w:sz w:val="28"/>
        </w:rPr>
        <w:t>支</w:t>
      </w:r>
      <w:r w:rsidR="00A82150" w:rsidRPr="003C1DAC">
        <w:rPr>
          <w:rFonts w:hint="eastAsia"/>
          <w:b/>
          <w:sz w:val="28"/>
        </w:rPr>
        <w:t>執行</w:t>
      </w:r>
      <w:r w:rsidR="00A82150">
        <w:rPr>
          <w:rFonts w:hint="eastAsia"/>
          <w:b/>
          <w:sz w:val="28"/>
        </w:rPr>
        <w:t>概況</w:t>
      </w:r>
      <w:r>
        <w:rPr>
          <w:rFonts w:hint="eastAsia"/>
        </w:rPr>
        <w:t xml:space="preserve"> </w:t>
      </w:r>
      <w:r w:rsidR="00973766">
        <w:rPr>
          <w:rFonts w:hint="eastAsia"/>
        </w:rPr>
        <w:t xml:space="preserve"> </w:t>
      </w:r>
      <w:r w:rsidRPr="002B1F66">
        <w:rPr>
          <w:rFonts w:hint="eastAsia"/>
        </w:rPr>
        <w:t>單位：</w:t>
      </w:r>
      <w:r w:rsidR="00973766" w:rsidRPr="002B1F66">
        <w:rPr>
          <w:rFonts w:hint="eastAsia"/>
        </w:rPr>
        <w:t>%</w:t>
      </w:r>
      <w:r w:rsidR="00973766">
        <w:rPr>
          <w:rFonts w:hint="eastAsia"/>
        </w:rPr>
        <w:t>；</w:t>
      </w:r>
      <w:r w:rsidRPr="002B1F66">
        <w:rPr>
          <w:rFonts w:hint="eastAsia"/>
        </w:rPr>
        <w:t>新臺幣千元</w:t>
      </w:r>
    </w:p>
    <w:tbl>
      <w:tblPr>
        <w:tblW w:w="855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205"/>
        <w:gridCol w:w="1205"/>
        <w:gridCol w:w="1276"/>
        <w:gridCol w:w="1276"/>
        <w:gridCol w:w="1181"/>
      </w:tblGrid>
      <w:tr w:rsidR="009B32F6" w:rsidRPr="00131F66" w:rsidTr="00543EBA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區處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供水範圍</w:t>
            </w:r>
          </w:p>
        </w:tc>
        <w:tc>
          <w:tcPr>
            <w:tcW w:w="1205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109年度</w:t>
            </w:r>
            <w:r w:rsidRPr="00072B0C">
              <w:rPr>
                <w:rFonts w:hint="eastAsia"/>
                <w:b/>
              </w:rPr>
              <w:t>營業成本費用率</w:t>
            </w:r>
          </w:p>
        </w:tc>
        <w:tc>
          <w:tcPr>
            <w:tcW w:w="120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110年度</w:t>
            </w:r>
            <w:r w:rsidRPr="00072B0C">
              <w:rPr>
                <w:rFonts w:hint="eastAsia"/>
                <w:b/>
              </w:rPr>
              <w:t>營業成本費用率</w:t>
            </w:r>
          </w:p>
        </w:tc>
        <w:tc>
          <w:tcPr>
            <w:tcW w:w="3733" w:type="dxa"/>
            <w:gridSpan w:val="3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</w:tr>
      <w:tr w:rsidR="009B32F6" w:rsidRPr="00131F66" w:rsidTr="00543EBA">
        <w:trPr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417" w:type="dxa"/>
            <w:vMerge/>
            <w:tcBorders>
              <w:right w:val="double" w:sz="4" w:space="0" w:color="auto"/>
            </w:tcBorders>
            <w:vAlign w:val="center"/>
          </w:tcPr>
          <w:p w:rsidR="009B32F6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營業收入</w:t>
            </w:r>
          </w:p>
        </w:tc>
        <w:tc>
          <w:tcPr>
            <w:tcW w:w="1276" w:type="dxa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營業成本與費用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營業成本費用率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一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新北市北部及基隆市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114.02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115.54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1,339,648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1,571,102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117.28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二</w:t>
            </w: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4A4D4D" w:rsidRPr="00956B40" w:rsidRDefault="004A4D4D" w:rsidP="00B870AE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新北市林口區及桃園市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76.72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77.15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4,474,755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3,451,632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77.14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三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新竹縣、新竹市及苗栗縣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67.00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68.13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3,107,415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2,139,765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68.86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四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臺中市、</w:t>
            </w:r>
          </w:p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南投縣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72.84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74.40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5,166,297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3,805,501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73.66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五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雲林縣、嘉義縣及嘉義市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119.73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123.44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2,074,199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2,594,646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125.09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六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臺南市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86.04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84.05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3,876,964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3,064,262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79.04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七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高雄市、</w:t>
            </w:r>
          </w:p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澎湖縣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93.02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92.48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5,491,764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5,209,369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94.86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八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宜蘭縣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111.38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116.16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685,785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786,073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114.62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九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花蓮縣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124.93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125.32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392,522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513,306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130.77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臺東縣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168.47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174.68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246,278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425,322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172.70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十一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彰化縣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89.13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89.76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1,433,903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1,323,195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92.28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十二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新北市南部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96.53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99.85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2,995,836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2,887,815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96.39 </w:t>
            </w:r>
          </w:p>
        </w:tc>
      </w:tr>
      <w:tr w:rsidR="004A4D4D" w:rsidRPr="00131F66" w:rsidTr="00F727DE"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屏東</w:t>
            </w:r>
          </w:p>
        </w:tc>
        <w:tc>
          <w:tcPr>
            <w:tcW w:w="141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屏東縣</w:t>
            </w:r>
          </w:p>
        </w:tc>
        <w:tc>
          <w:tcPr>
            <w:tcW w:w="120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139.06</w:t>
            </w:r>
          </w:p>
        </w:tc>
        <w:tc>
          <w:tcPr>
            <w:tcW w:w="12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810,488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1,088,607</w:t>
            </w:r>
          </w:p>
        </w:tc>
        <w:tc>
          <w:tcPr>
            <w:tcW w:w="118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b/>
              </w:rPr>
              <w:t>134.32</w:t>
            </w:r>
            <w:r w:rsidRPr="006F5E68">
              <w:t xml:space="preserve"> </w:t>
            </w:r>
          </w:p>
        </w:tc>
      </w:tr>
      <w:tr w:rsidR="00543EBA" w:rsidRPr="00131F66" w:rsidTr="00F727DE">
        <w:tc>
          <w:tcPr>
            <w:tcW w:w="99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43EBA" w:rsidRPr="00072B0C" w:rsidRDefault="00543EBA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全公司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43EBA" w:rsidRPr="00956B40" w:rsidRDefault="00543EBA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>
              <w:rPr>
                <w:rFonts w:hint="eastAsia"/>
                <w:spacing w:val="-16"/>
              </w:rPr>
              <w:t>-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543EBA" w:rsidRPr="006F5E68" w:rsidRDefault="004A4D4D" w:rsidP="00B870AE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6F5E68">
              <w:rPr>
                <w:rFonts w:hint="eastAsia"/>
              </w:rPr>
              <w:t>96.67</w:t>
            </w:r>
          </w:p>
        </w:tc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43EBA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97.86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32,096,20</w:t>
            </w:r>
            <w:r w:rsidRPr="006F5E68">
              <w:rPr>
                <w:rFonts w:hint="eastAsia"/>
                <w:spacing w:val="-20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rFonts w:hint="eastAsia"/>
                <w:spacing w:val="-20"/>
              </w:rPr>
              <w:t>31,</w:t>
            </w:r>
            <w:r w:rsidRPr="006F5E68">
              <w:rPr>
                <w:spacing w:val="-20"/>
              </w:rPr>
              <w:t>154,094</w:t>
            </w:r>
          </w:p>
        </w:tc>
        <w:tc>
          <w:tcPr>
            <w:tcW w:w="1181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9</w:t>
            </w:r>
            <w:r w:rsidRPr="006F5E68">
              <w:t>6.24</w:t>
            </w:r>
          </w:p>
        </w:tc>
      </w:tr>
    </w:tbl>
    <w:p w:rsidR="00C73A58" w:rsidRPr="0015471B" w:rsidRDefault="00C73A58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 w:rsidR="00973766">
        <w:rPr>
          <w:rFonts w:hint="eastAsia"/>
          <w:color w:val="000000"/>
        </w:rPr>
        <w:t>及</w:t>
      </w:r>
      <w:r w:rsidR="00F45D8E">
        <w:rPr>
          <w:rFonts w:hint="eastAsia"/>
          <w:color w:val="000000"/>
        </w:rPr>
        <w:t>台水公司111年度決算書</w:t>
      </w:r>
      <w:r w:rsidRPr="0015471B">
        <w:rPr>
          <w:rFonts w:hAnsi="標楷體" w:hint="eastAsia"/>
          <w:color w:val="000000"/>
        </w:rPr>
        <w:t>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5A45D7">
        <w:rPr>
          <w:rFonts w:hint="eastAsia"/>
          <w:b/>
          <w:color w:val="000000"/>
        </w:rPr>
        <w:t>台水公司111年度實際供水率</w:t>
      </w:r>
      <w:r w:rsidR="005A45D7">
        <w:rPr>
          <w:rFonts w:hAnsi="標楷體" w:hint="eastAsia"/>
          <w:b/>
          <w:color w:val="000000"/>
        </w:rPr>
        <w:t>、</w:t>
      </w:r>
      <w:r w:rsidR="00B870AE">
        <w:rPr>
          <w:rFonts w:hint="eastAsia"/>
          <w:b/>
          <w:color w:val="000000"/>
        </w:rPr>
        <w:t>抄見率及漏水率</w:t>
      </w:r>
      <w:r w:rsidR="00867580">
        <w:rPr>
          <w:rFonts w:hint="eastAsia"/>
          <w:b/>
          <w:color w:val="000000"/>
        </w:rPr>
        <w:t>較</w:t>
      </w:r>
      <w:r w:rsidR="00271C1A">
        <w:rPr>
          <w:rFonts w:hint="eastAsia"/>
          <w:b/>
          <w:color w:val="000000"/>
        </w:rPr>
        <w:t>109及110</w:t>
      </w:r>
      <w:r w:rsidR="00867580">
        <w:rPr>
          <w:rFonts w:hint="eastAsia"/>
          <w:b/>
          <w:color w:val="000000"/>
        </w:rPr>
        <w:t>年度改善，惟部分區處辦理</w:t>
      </w:r>
      <w:r w:rsidR="00045FEE">
        <w:rPr>
          <w:rFonts w:hint="eastAsia"/>
          <w:b/>
          <w:color w:val="000000"/>
        </w:rPr>
        <w:t>實況</w:t>
      </w:r>
      <w:r w:rsidR="005A45D7">
        <w:rPr>
          <w:rFonts w:hint="eastAsia"/>
          <w:b/>
          <w:color w:val="000000"/>
        </w:rPr>
        <w:t>仍待加強，允宜研謀對策精進</w:t>
      </w:r>
    </w:p>
    <w:p w:rsidR="009727A8" w:rsidRDefault="00066B54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彙整各區處</w:t>
      </w:r>
      <w:r w:rsidR="00CE3CE7">
        <w:rPr>
          <w:rFonts w:hAnsi="標楷體" w:hint="eastAsia"/>
          <w:color w:val="000000"/>
        </w:rPr>
        <w:t>109</w:t>
      </w:r>
      <w:r>
        <w:rPr>
          <w:rFonts w:hAnsi="標楷體" w:hint="eastAsia"/>
          <w:color w:val="000000"/>
        </w:rPr>
        <w:t>至111年度</w:t>
      </w:r>
      <w:r w:rsidR="009003A6" w:rsidRPr="009003A6">
        <w:rPr>
          <w:rFonts w:hAnsi="標楷體" w:hint="eastAsia"/>
          <w:color w:val="000000"/>
        </w:rPr>
        <w:t>實際供水率、抄見率及漏水率</w:t>
      </w:r>
      <w:r w:rsidR="009003A6">
        <w:rPr>
          <w:rFonts w:hAnsi="標楷體" w:hint="eastAsia"/>
          <w:color w:val="000000"/>
        </w:rPr>
        <w:t>概況</w:t>
      </w:r>
      <w:r>
        <w:rPr>
          <w:rFonts w:hAnsi="標楷體" w:hint="eastAsia"/>
          <w:color w:val="000000"/>
        </w:rPr>
        <w:t>(詳表2)</w:t>
      </w:r>
      <w:r w:rsidR="00B91454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並</w:t>
      </w:r>
      <w:r w:rsidR="009727A8">
        <w:rPr>
          <w:rFonts w:hAnsi="標楷體" w:hint="eastAsia"/>
          <w:color w:val="000000"/>
        </w:rPr>
        <w:t>說明如下：</w:t>
      </w:r>
    </w:p>
    <w:p w:rsidR="009727A8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ED6F1C">
        <w:rPr>
          <w:rFonts w:hAnsi="標楷體" w:hint="eastAsia"/>
          <w:color w:val="000000"/>
        </w:rPr>
        <w:t>109至111年度</w:t>
      </w:r>
      <w:r w:rsidR="00396645">
        <w:rPr>
          <w:rFonts w:hAnsi="標楷體" w:hint="eastAsia"/>
          <w:color w:val="000000"/>
        </w:rPr>
        <w:t>台水公司</w:t>
      </w:r>
      <w:r w:rsidR="00ED6F1C">
        <w:rPr>
          <w:rFonts w:hAnsi="標楷體" w:hint="eastAsia"/>
          <w:color w:val="000000"/>
        </w:rPr>
        <w:t>實際供水普及率呈逐年增加，111年底已達94.55%</w:t>
      </w:r>
      <w:r w:rsidR="00CF3E7B">
        <w:rPr>
          <w:rFonts w:hAnsi="標楷體" w:hint="eastAsia"/>
          <w:color w:val="000000"/>
        </w:rPr>
        <w:t>，</w:t>
      </w:r>
      <w:r w:rsidR="00271C1A">
        <w:rPr>
          <w:rFonts w:hAnsi="標楷體" w:hint="eastAsia"/>
          <w:color w:val="000000"/>
        </w:rPr>
        <w:t>惟</w:t>
      </w:r>
      <w:r w:rsidR="00CF3E7B">
        <w:rPr>
          <w:rFonts w:hAnsi="標楷體" w:hint="eastAsia"/>
          <w:color w:val="000000"/>
        </w:rPr>
        <w:t>第十及屏東區</w:t>
      </w:r>
      <w:r w:rsidR="00271C1A">
        <w:rPr>
          <w:rFonts w:hAnsi="標楷體" w:hint="eastAsia"/>
          <w:color w:val="000000"/>
        </w:rPr>
        <w:t>處</w:t>
      </w:r>
      <w:r w:rsidR="00CF3E7B">
        <w:rPr>
          <w:rFonts w:hAnsi="標楷體" w:hint="eastAsia"/>
          <w:color w:val="000000"/>
        </w:rPr>
        <w:t>111年度實際供水率</w:t>
      </w:r>
      <w:r w:rsidR="00271C1A">
        <w:rPr>
          <w:rFonts w:hAnsi="標楷體" w:hint="eastAsia"/>
          <w:color w:val="000000"/>
        </w:rPr>
        <w:t>尚</w:t>
      </w:r>
      <w:r w:rsidR="00CF3E7B">
        <w:rPr>
          <w:rFonts w:hAnsi="標楷體" w:hint="eastAsia"/>
          <w:color w:val="000000"/>
        </w:rPr>
        <w:t>未達9</w:t>
      </w:r>
      <w:r w:rsidR="00034C50">
        <w:rPr>
          <w:rFonts w:hAnsi="標楷體" w:hint="eastAsia"/>
          <w:color w:val="000000"/>
        </w:rPr>
        <w:t>成</w:t>
      </w:r>
      <w:r w:rsidR="00ED6F1C">
        <w:rPr>
          <w:rFonts w:hAnsi="標楷體" w:hint="eastAsia"/>
          <w:color w:val="000000"/>
        </w:rPr>
        <w:t>，</w:t>
      </w:r>
      <w:r w:rsidR="009003A6">
        <w:rPr>
          <w:rFonts w:hAnsi="標楷體" w:hint="eastAsia"/>
          <w:color w:val="000000"/>
        </w:rPr>
        <w:t>並</w:t>
      </w:r>
      <w:r w:rsidR="00034C50">
        <w:rPr>
          <w:rFonts w:hAnsi="標楷體" w:hint="eastAsia"/>
          <w:color w:val="000000"/>
        </w:rPr>
        <w:t>以屏東區為最低(111年度僅69.52%)</w:t>
      </w:r>
      <w:r w:rsidR="009003A6">
        <w:rPr>
          <w:rFonts w:hAnsi="標楷體" w:hint="eastAsia"/>
          <w:color w:val="000000"/>
        </w:rPr>
        <w:t>，至</w:t>
      </w:r>
      <w:r w:rsidR="00CF3E7B">
        <w:rPr>
          <w:rFonts w:hAnsi="標楷體" w:hint="eastAsia"/>
          <w:color w:val="000000"/>
        </w:rPr>
        <w:t>第一區近年</w:t>
      </w:r>
      <w:r w:rsidR="00ED6F1C">
        <w:rPr>
          <w:rFonts w:hAnsi="標楷體" w:hint="eastAsia"/>
          <w:color w:val="000000"/>
        </w:rPr>
        <w:t>實際供水普及率有下降趨勢</w:t>
      </w:r>
      <w:r w:rsidR="00034C50">
        <w:rPr>
          <w:rFonts w:hAnsi="標楷體" w:hint="eastAsia"/>
          <w:color w:val="000000"/>
        </w:rPr>
        <w:t>，</w:t>
      </w:r>
      <w:r w:rsidR="00C2163B">
        <w:rPr>
          <w:rFonts w:hAnsi="標楷體" w:hint="eastAsia"/>
          <w:color w:val="000000"/>
        </w:rPr>
        <w:t>允宜持續改善無自來水地區供水狀況，俾維民眾用水權益</w:t>
      </w:r>
      <w:r w:rsidR="00973766" w:rsidRPr="0015471B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396645">
        <w:rPr>
          <w:rFonts w:hAnsi="標楷體" w:hint="eastAsia"/>
          <w:color w:val="000000"/>
        </w:rPr>
        <w:t>台水公司</w:t>
      </w:r>
      <w:r w:rsidR="00C2163B">
        <w:rPr>
          <w:rFonts w:hAnsi="標楷體" w:hint="eastAsia"/>
          <w:color w:val="000000"/>
        </w:rPr>
        <w:t>111年</w:t>
      </w:r>
      <w:r w:rsidR="00271C1A">
        <w:rPr>
          <w:rFonts w:hAnsi="標楷體" w:hint="eastAsia"/>
          <w:color w:val="000000"/>
        </w:rPr>
        <w:t>度</w:t>
      </w:r>
      <w:r w:rsidR="00C2163B">
        <w:rPr>
          <w:rFonts w:hAnsi="標楷體" w:hint="eastAsia"/>
          <w:color w:val="000000"/>
        </w:rPr>
        <w:t>抄見率為78.76%，</w:t>
      </w:r>
      <w:r w:rsidR="00396645">
        <w:rPr>
          <w:rFonts w:hAnsi="標楷體" w:hint="eastAsia"/>
          <w:color w:val="000000"/>
        </w:rPr>
        <w:t>全公司及</w:t>
      </w:r>
      <w:r w:rsidR="00C2163B">
        <w:rPr>
          <w:rFonts w:hAnsi="標楷體" w:hint="eastAsia"/>
          <w:color w:val="000000"/>
        </w:rPr>
        <w:t>各區處111年度抄見率</w:t>
      </w:r>
      <w:r w:rsidR="00396645">
        <w:rPr>
          <w:rFonts w:hAnsi="標楷體" w:hint="eastAsia"/>
          <w:color w:val="000000"/>
        </w:rPr>
        <w:t>均較以往年度提升，</w:t>
      </w:r>
      <w:r w:rsidR="00C2163B">
        <w:rPr>
          <w:rFonts w:hAnsi="標楷體" w:hint="eastAsia"/>
          <w:color w:val="000000"/>
        </w:rPr>
        <w:t>然第一</w:t>
      </w:r>
      <w:r w:rsidR="00C2163B" w:rsidRPr="00641BD4">
        <w:rPr>
          <w:rFonts w:hAnsi="標楷體" w:hint="eastAsia"/>
          <w:color w:val="000000"/>
        </w:rPr>
        <w:t>、</w:t>
      </w:r>
      <w:r w:rsidR="00C2163B">
        <w:rPr>
          <w:rFonts w:hAnsi="標楷體" w:hint="eastAsia"/>
          <w:color w:val="000000"/>
        </w:rPr>
        <w:t>四</w:t>
      </w:r>
      <w:r w:rsidR="00C2163B" w:rsidRPr="00641BD4">
        <w:rPr>
          <w:rFonts w:hAnsi="標楷體" w:hint="eastAsia"/>
          <w:color w:val="000000"/>
        </w:rPr>
        <w:t>、</w:t>
      </w:r>
      <w:r w:rsidR="00C2163B">
        <w:rPr>
          <w:rFonts w:hAnsi="標楷體" w:hint="eastAsia"/>
          <w:color w:val="000000"/>
        </w:rPr>
        <w:t>十及屏東區</w:t>
      </w:r>
      <w:r w:rsidR="00271C1A">
        <w:rPr>
          <w:rFonts w:hAnsi="標楷體" w:hint="eastAsia"/>
          <w:color w:val="000000"/>
        </w:rPr>
        <w:t>處</w:t>
      </w:r>
      <w:r w:rsidR="00C2163B">
        <w:rPr>
          <w:rFonts w:hAnsi="標楷體" w:hint="eastAsia"/>
          <w:color w:val="000000"/>
        </w:rPr>
        <w:t>抄見率仍低於75%，</w:t>
      </w:r>
      <w:r w:rsidR="00271C1A">
        <w:rPr>
          <w:rFonts w:hAnsi="標楷體" w:hint="eastAsia"/>
          <w:color w:val="000000"/>
        </w:rPr>
        <w:t>其中</w:t>
      </w:r>
      <w:r w:rsidR="00C2163B">
        <w:rPr>
          <w:rFonts w:hAnsi="標楷體" w:hint="eastAsia"/>
          <w:color w:val="000000"/>
        </w:rPr>
        <w:t>第一及屏東區</w:t>
      </w:r>
      <w:r w:rsidR="00271C1A">
        <w:rPr>
          <w:rFonts w:hAnsi="標楷體" w:hint="eastAsia"/>
          <w:color w:val="000000"/>
        </w:rPr>
        <w:t>處</w:t>
      </w:r>
      <w:r w:rsidR="00C2163B">
        <w:rPr>
          <w:rFonts w:hAnsi="標楷體" w:hint="eastAsia"/>
          <w:color w:val="000000"/>
        </w:rPr>
        <w:t>抄見率未達7</w:t>
      </w:r>
      <w:r w:rsidR="00C2163B">
        <w:rPr>
          <w:rFonts w:hAnsi="標楷體"/>
          <w:color w:val="000000"/>
        </w:rPr>
        <w:t>0%</w:t>
      </w:r>
      <w:r w:rsidR="00C2163B">
        <w:rPr>
          <w:rFonts w:hAnsi="標楷體" w:hint="eastAsia"/>
          <w:color w:val="000000"/>
        </w:rPr>
        <w:t>明顯偏</w:t>
      </w:r>
      <w:r w:rsidR="00C2163B">
        <w:rPr>
          <w:rFonts w:hAnsi="標楷體" w:hint="eastAsia"/>
          <w:color w:val="000000"/>
        </w:rPr>
        <w:lastRenderedPageBreak/>
        <w:t>低，為避免配(供)</w:t>
      </w:r>
      <w:r w:rsidR="00271C1A">
        <w:rPr>
          <w:rFonts w:hAnsi="標楷體" w:hint="eastAsia"/>
          <w:color w:val="000000"/>
        </w:rPr>
        <w:t>水量因漏水等</w:t>
      </w:r>
      <w:r w:rsidR="00C2163B">
        <w:rPr>
          <w:rFonts w:hAnsi="標楷體" w:hint="eastAsia"/>
          <w:color w:val="000000"/>
        </w:rPr>
        <w:t>流失，允宜審慎分析各區處</w:t>
      </w:r>
      <w:r w:rsidR="00C2163B" w:rsidRPr="00424F2D">
        <w:rPr>
          <w:rFonts w:hAnsi="標楷體" w:hint="eastAsia"/>
          <w:color w:val="000000"/>
        </w:rPr>
        <w:t>配(供)水量及抄見量差異原因，研謀</w:t>
      </w:r>
      <w:r w:rsidR="00C2163B">
        <w:rPr>
          <w:rFonts w:hAnsi="標楷體" w:hint="eastAsia"/>
          <w:color w:val="000000"/>
        </w:rPr>
        <w:t>改進</w:t>
      </w:r>
      <w:r w:rsidRPr="009727A8">
        <w:rPr>
          <w:rFonts w:hAnsi="標楷體" w:hint="eastAsia"/>
          <w:color w:val="000000"/>
        </w:rPr>
        <w:t>。</w:t>
      </w:r>
    </w:p>
    <w:p w:rsidR="00973766" w:rsidRPr="0015471B" w:rsidRDefault="00973766" w:rsidP="009727A8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="00396645">
        <w:rPr>
          <w:rFonts w:hAnsi="標楷體" w:hint="eastAsia"/>
          <w:color w:val="000000"/>
        </w:rPr>
        <w:t>台水公司111年度漏水率降至13.10%</w:t>
      </w:r>
      <w:r w:rsidR="00271C1A">
        <w:rPr>
          <w:rFonts w:hAnsi="標楷體" w:hint="eastAsia"/>
          <w:color w:val="000000"/>
        </w:rPr>
        <w:t>，並</w:t>
      </w:r>
      <w:r w:rsidR="009003A6">
        <w:rPr>
          <w:rFonts w:hAnsi="標楷體" w:hint="eastAsia"/>
          <w:color w:val="000000"/>
        </w:rPr>
        <w:t>低於</w:t>
      </w:r>
      <w:r w:rsidR="00396645">
        <w:rPr>
          <w:rFonts w:hAnsi="標楷體" w:hint="eastAsia"/>
          <w:color w:val="000000"/>
        </w:rPr>
        <w:t>預計值</w:t>
      </w:r>
      <w:r w:rsidR="007331C7">
        <w:rPr>
          <w:rFonts w:hAnsi="標楷體" w:hint="eastAsia"/>
          <w:color w:val="000000"/>
        </w:rPr>
        <w:t>13.20%</w:t>
      </w:r>
      <w:r w:rsidR="00271C1A">
        <w:rPr>
          <w:rFonts w:hAnsi="標楷體" w:hint="eastAsia"/>
          <w:color w:val="000000"/>
        </w:rPr>
        <w:t>，</w:t>
      </w:r>
      <w:r w:rsidR="007331C7">
        <w:rPr>
          <w:rFonts w:hAnsi="標楷體" w:hint="eastAsia"/>
          <w:color w:val="000000"/>
        </w:rPr>
        <w:t>各區處漏水率</w:t>
      </w:r>
      <w:r w:rsidR="00271C1A">
        <w:rPr>
          <w:rFonts w:hAnsi="標楷體" w:hint="eastAsia"/>
          <w:color w:val="000000"/>
        </w:rPr>
        <w:t>雖</w:t>
      </w:r>
      <w:r w:rsidR="00B870AE">
        <w:rPr>
          <w:rFonts w:hAnsi="標楷體" w:hint="eastAsia"/>
          <w:color w:val="000000"/>
        </w:rPr>
        <w:t>較以往年度</w:t>
      </w:r>
      <w:r w:rsidR="007331C7">
        <w:rPr>
          <w:rFonts w:hAnsi="標楷體" w:hint="eastAsia"/>
          <w:color w:val="000000"/>
        </w:rPr>
        <w:t>改善，惟第一及屏東區</w:t>
      </w:r>
      <w:r w:rsidR="00271C1A">
        <w:rPr>
          <w:rFonts w:hAnsi="標楷體" w:hint="eastAsia"/>
          <w:color w:val="000000"/>
        </w:rPr>
        <w:t>處</w:t>
      </w:r>
      <w:r w:rsidR="007331C7">
        <w:rPr>
          <w:rFonts w:hAnsi="標楷體" w:hint="eastAsia"/>
          <w:color w:val="000000"/>
        </w:rPr>
        <w:t>漏水率仍超過20%，允宜</w:t>
      </w:r>
      <w:r w:rsidR="005A45D7">
        <w:rPr>
          <w:rFonts w:hAnsi="標楷體" w:hint="eastAsia"/>
          <w:color w:val="000000"/>
        </w:rPr>
        <w:t>衡酌</w:t>
      </w:r>
      <w:r w:rsidR="007331C7">
        <w:rPr>
          <w:rFonts w:hAnsi="標楷體" w:hint="eastAsia"/>
          <w:color w:val="000000"/>
        </w:rPr>
        <w:t>各區</w:t>
      </w:r>
      <w:r w:rsidR="006316BF">
        <w:rPr>
          <w:rFonts w:hAnsi="標楷體" w:hint="eastAsia"/>
          <w:color w:val="000000"/>
        </w:rPr>
        <w:t>處</w:t>
      </w:r>
      <w:r w:rsidR="007331C7">
        <w:rPr>
          <w:rFonts w:hAnsi="標楷體" w:hint="eastAsia"/>
          <w:color w:val="000000"/>
        </w:rPr>
        <w:t>實際狀況規劃降低漏水率對策，</w:t>
      </w:r>
      <w:r w:rsidR="005A45D7">
        <w:rPr>
          <w:rFonts w:hAnsi="標楷體" w:hint="eastAsia"/>
          <w:color w:val="000000"/>
        </w:rPr>
        <w:t>以有效運用水資源</w:t>
      </w:r>
      <w:r w:rsidRPr="009727A8">
        <w:rPr>
          <w:rFonts w:hAnsi="標楷體" w:hint="eastAsia"/>
          <w:color w:val="000000"/>
        </w:rPr>
        <w:t>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513C54">
        <w:rPr>
          <w:rFonts w:hint="eastAsia"/>
          <w:color w:val="000000"/>
        </w:rPr>
        <w:t>111年度營業成本費用率為96.24%，雖較109及110年度略下降，惟</w:t>
      </w:r>
      <w:r w:rsidR="006316BF">
        <w:rPr>
          <w:rFonts w:hint="eastAsia"/>
          <w:color w:val="000000"/>
        </w:rPr>
        <w:t>全公司13個區處中</w:t>
      </w:r>
      <w:r w:rsidR="00513C54">
        <w:rPr>
          <w:rFonts w:hint="eastAsia"/>
          <w:color w:val="000000"/>
        </w:rPr>
        <w:t>仍有6個區處營業成本費用率高逾100%，允宜</w:t>
      </w:r>
      <w:r w:rsidR="00C16287">
        <w:rPr>
          <w:rFonts w:hint="eastAsia"/>
          <w:color w:val="000000"/>
        </w:rPr>
        <w:t>因地制宜研謀改善</w:t>
      </w:r>
      <w:r w:rsidR="00513C54">
        <w:rPr>
          <w:rFonts w:hint="eastAsia"/>
          <w:color w:val="000000"/>
        </w:rPr>
        <w:t>；另部分區處實際供水普及率</w:t>
      </w:r>
      <w:r w:rsidR="00513C54">
        <w:rPr>
          <w:rFonts w:hAnsi="標楷體" w:hint="eastAsia"/>
          <w:color w:val="000000"/>
        </w:rPr>
        <w:t>、</w:t>
      </w:r>
      <w:r w:rsidR="006316BF">
        <w:rPr>
          <w:rFonts w:hint="eastAsia"/>
          <w:color w:val="000000"/>
        </w:rPr>
        <w:t>抄見率及漏水率明顯低於其餘區處，亦待</w:t>
      </w:r>
      <w:r w:rsidR="00C16287">
        <w:rPr>
          <w:rFonts w:hint="eastAsia"/>
          <w:color w:val="000000"/>
        </w:rPr>
        <w:t>通盤檢討並妥為規劃後續改進對策</w:t>
      </w:r>
      <w:r w:rsidRPr="0015471B">
        <w:rPr>
          <w:rFonts w:hint="eastAsia"/>
          <w:color w:val="000000"/>
        </w:rPr>
        <w:t>。</w:t>
      </w:r>
    </w:p>
    <w:p w:rsidR="00A93AA7" w:rsidRDefault="00A93AA7" w:rsidP="00A93AA7">
      <w:pPr>
        <w:pStyle w:val="20"/>
        <w:ind w:left="765" w:hangingChars="270" w:hanging="765"/>
      </w:pPr>
      <w:r w:rsidRPr="003C1DAC">
        <w:rPr>
          <w:rFonts w:hint="eastAsia"/>
          <w:b/>
          <w:sz w:val="28"/>
        </w:rPr>
        <w:t xml:space="preserve">表1  </w:t>
      </w:r>
      <w:r w:rsidR="00ED6F1C">
        <w:rPr>
          <w:rFonts w:hint="eastAsia"/>
          <w:b/>
          <w:sz w:val="28"/>
        </w:rPr>
        <w:t>台水公司</w:t>
      </w:r>
      <w:r>
        <w:rPr>
          <w:rFonts w:hint="eastAsia"/>
          <w:b/>
          <w:sz w:val="28"/>
        </w:rPr>
        <w:t>各區處</w:t>
      </w:r>
      <w:r w:rsidR="003C7C3B">
        <w:rPr>
          <w:rFonts w:hint="eastAsia"/>
          <w:b/>
          <w:sz w:val="28"/>
        </w:rPr>
        <w:t>近3</w:t>
      </w:r>
      <w:r w:rsidR="00ED6F1C">
        <w:rPr>
          <w:rFonts w:hint="eastAsia"/>
          <w:b/>
          <w:sz w:val="28"/>
        </w:rPr>
        <w:t>年</w:t>
      </w:r>
      <w:r w:rsidR="00B8733C">
        <w:rPr>
          <w:rFonts w:hint="eastAsia"/>
          <w:b/>
          <w:sz w:val="28"/>
        </w:rPr>
        <w:t>實際供水普及率</w:t>
      </w:r>
      <w:r w:rsidR="003C7C3B" w:rsidRPr="003C7C3B">
        <w:rPr>
          <w:rFonts w:hint="eastAsia"/>
          <w:b/>
          <w:sz w:val="28"/>
        </w:rPr>
        <w:t>及</w:t>
      </w:r>
      <w:r w:rsidR="00B8733C">
        <w:rPr>
          <w:rFonts w:hint="eastAsia"/>
          <w:b/>
          <w:sz w:val="28"/>
        </w:rPr>
        <w:t>抄見率暨</w:t>
      </w:r>
      <w:r w:rsidR="003C7C3B" w:rsidRPr="003C7C3B">
        <w:rPr>
          <w:rFonts w:hint="eastAsia"/>
          <w:b/>
          <w:sz w:val="28"/>
        </w:rPr>
        <w:t>漏水率情形</w:t>
      </w:r>
    </w:p>
    <w:p w:rsidR="00A93AA7" w:rsidRPr="00C54913" w:rsidRDefault="00A93AA7" w:rsidP="00A93AA7">
      <w:pPr>
        <w:pStyle w:val="20"/>
        <w:ind w:left="657" w:hangingChars="270" w:hanging="657"/>
        <w:jc w:val="right"/>
        <w:rPr>
          <w:rFonts w:hint="eastAsia"/>
        </w:rPr>
      </w:pPr>
      <w:r>
        <w:rPr>
          <w:rFonts w:hint="eastAsia"/>
        </w:rPr>
        <w:t xml:space="preserve">  </w:t>
      </w:r>
      <w:r w:rsidRPr="002B1F66">
        <w:rPr>
          <w:rFonts w:hint="eastAsia"/>
        </w:rPr>
        <w:t>單位：</w:t>
      </w:r>
      <w:r w:rsidR="00DB18D5" w:rsidRPr="002B1F66">
        <w:rPr>
          <w:rFonts w:hint="eastAsia"/>
        </w:rPr>
        <w:t xml:space="preserve"> </w:t>
      </w:r>
      <w:r w:rsidRPr="002B1F66">
        <w:rPr>
          <w:rFonts w:hint="eastAsia"/>
        </w:rPr>
        <w:t>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543EBA" w:rsidRPr="003C7C3B" w:rsidTr="00543EBA">
        <w:trPr>
          <w:trHeight w:val="20"/>
          <w:tblHeader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區處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109年度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110年度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111年度</w:t>
            </w:r>
          </w:p>
        </w:tc>
      </w:tr>
      <w:tr w:rsidR="00543EBA" w:rsidRPr="003C7C3B" w:rsidTr="00543EBA">
        <w:trPr>
          <w:trHeight w:val="20"/>
          <w:tblHeader/>
        </w:trPr>
        <w:tc>
          <w:tcPr>
            <w:tcW w:w="851" w:type="dxa"/>
            <w:vMerge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 w:rsidRPr="003C7C3B">
              <w:rPr>
                <w:rFonts w:hint="eastAsia"/>
              </w:rPr>
              <w:t>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67.46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24.14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68.69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22.89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3.78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69.59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22.01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78.67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79.41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12.19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81.82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82.01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11.63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73.47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16.83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16.36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3.88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74.83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15.67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77.68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4.90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78.18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12.14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E444C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83.73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7.95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78.64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79.73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80.00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8.34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77.55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14.03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78.78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13.57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九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74.72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17.13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75.34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16.75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69.94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8</w:t>
            </w:r>
            <w:r w:rsidRPr="00F45D8E">
              <w:rPr>
                <w:b/>
              </w:rPr>
              <w:t>5.51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71.74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17.80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77.32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6.18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78.02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12.74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82.38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83.04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7.59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屏東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65.15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25.27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</w:t>
            </w:r>
            <w:r w:rsidRPr="00F45D8E">
              <w:rPr>
                <w:b/>
              </w:rPr>
              <w:t>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67.21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22.45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 w:rsidRPr="003C7C3B">
              <w:rPr>
                <w:rFonts w:hint="eastAsia"/>
              </w:rPr>
              <w:t>全公司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77.97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641BD4" w:rsidRDefault="00543EBA" w:rsidP="00ED6F1C">
            <w:pPr>
              <w:pStyle w:val="142"/>
              <w:jc w:val="right"/>
              <w:rPr>
                <w:rFonts w:hint="eastAsia"/>
                <w:b/>
                <w:spacing w:val="-26"/>
              </w:rPr>
            </w:pPr>
            <w:r>
              <w:rPr>
                <w:rFonts w:hint="eastAsia"/>
              </w:rPr>
              <w:t>94.55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Default="00543EBA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13.10</w:t>
            </w:r>
          </w:p>
        </w:tc>
      </w:tr>
    </w:tbl>
    <w:p w:rsidR="00973766" w:rsidRDefault="00973766" w:rsidP="00AF06D0">
      <w:pPr>
        <w:pStyle w:val="142"/>
        <w:ind w:left="1423" w:hangingChars="585" w:hanging="1423"/>
        <w:jc w:val="both"/>
        <w:rPr>
          <w:color w:val="000000"/>
        </w:rPr>
      </w:pPr>
      <w:r>
        <w:rPr>
          <w:rFonts w:hint="eastAsia"/>
          <w:color w:val="000000"/>
        </w:rPr>
        <w:t>說    明：1.</w:t>
      </w:r>
      <w:r w:rsidR="009003A6" w:rsidRPr="004112E9">
        <w:rPr>
          <w:rFonts w:hint="eastAsia"/>
          <w:color w:val="000000"/>
        </w:rPr>
        <w:t>實際供水普及率=實際供水人口數/行政區域人口數</w:t>
      </w:r>
      <w:r w:rsidR="009003A6" w:rsidRPr="001C59B5">
        <w:rPr>
          <w:rFonts w:hint="eastAsia"/>
          <w:color w:val="000000"/>
        </w:rPr>
        <w:t>。</w:t>
      </w:r>
    </w:p>
    <w:p w:rsidR="00973766" w:rsidRDefault="00973766" w:rsidP="00AF06D0">
      <w:pPr>
        <w:pStyle w:val="142"/>
        <w:ind w:leftChars="420" w:left="1432" w:hangingChars="100" w:hanging="243"/>
        <w:jc w:val="both"/>
        <w:rPr>
          <w:color w:val="000000"/>
        </w:rPr>
      </w:pPr>
      <w:r>
        <w:rPr>
          <w:rFonts w:hint="eastAsia"/>
          <w:color w:val="000000"/>
        </w:rPr>
        <w:t>2.</w:t>
      </w:r>
      <w:r w:rsidR="009003A6" w:rsidRPr="009003A6">
        <w:rPr>
          <w:rFonts w:hint="eastAsia"/>
          <w:color w:val="000000"/>
        </w:rPr>
        <w:t>抄見率=抄見量占配(供)</w:t>
      </w:r>
      <w:r w:rsidR="006316BF">
        <w:rPr>
          <w:rFonts w:hint="eastAsia"/>
          <w:color w:val="000000"/>
        </w:rPr>
        <w:t>水量之百分比；抄見量指由各用戶水表計出實際水量之和；配(</w:t>
      </w:r>
      <w:r w:rsidR="009003A6" w:rsidRPr="009003A6">
        <w:rPr>
          <w:rFonts w:hint="eastAsia"/>
          <w:color w:val="000000"/>
        </w:rPr>
        <w:t>供</w:t>
      </w:r>
      <w:r w:rsidR="006316BF">
        <w:rPr>
          <w:rFonts w:hint="eastAsia"/>
          <w:color w:val="000000"/>
        </w:rPr>
        <w:t>)</w:t>
      </w:r>
      <w:r w:rsidR="009003A6" w:rsidRPr="009003A6">
        <w:rPr>
          <w:rFonts w:hint="eastAsia"/>
          <w:color w:val="000000"/>
        </w:rPr>
        <w:t>水量係指供水系統(淨水場)為滿足轄區用水需要之一定期間內供應水量。</w:t>
      </w:r>
    </w:p>
    <w:p w:rsidR="00973766" w:rsidRPr="0015471B" w:rsidRDefault="00973766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>
        <w:rPr>
          <w:rFonts w:hint="eastAsia"/>
          <w:color w:val="000000"/>
        </w:rPr>
        <w:t>及台水公司111年度</w:t>
      </w:r>
      <w:r w:rsidR="008805E9">
        <w:rPr>
          <w:rFonts w:hint="eastAsia"/>
          <w:color w:val="000000"/>
        </w:rPr>
        <w:t>統計年報</w:t>
      </w:r>
      <w:r w:rsidRPr="0015471B">
        <w:rPr>
          <w:rFonts w:hAnsi="標楷體" w:hint="eastAsia"/>
          <w:color w:val="000000"/>
        </w:rPr>
        <w:t>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97" w:rsidRDefault="00514E9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71516" w:rsidRPr="00B7151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97" w:rsidRDefault="00514E9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31941"/>
    <w:rsid w:val="00034C50"/>
    <w:rsid w:val="00034F8F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60AF"/>
    <w:rsid w:val="00066B54"/>
    <w:rsid w:val="000678EA"/>
    <w:rsid w:val="0007149D"/>
    <w:rsid w:val="00071EE2"/>
    <w:rsid w:val="00072B0C"/>
    <w:rsid w:val="0007383D"/>
    <w:rsid w:val="0007561B"/>
    <w:rsid w:val="000772D8"/>
    <w:rsid w:val="000816AC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C31"/>
    <w:rsid w:val="000B7B4C"/>
    <w:rsid w:val="000C0133"/>
    <w:rsid w:val="000C0B9F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F3D"/>
    <w:rsid w:val="000F2579"/>
    <w:rsid w:val="000F334D"/>
    <w:rsid w:val="000F3924"/>
    <w:rsid w:val="000F468C"/>
    <w:rsid w:val="001011C3"/>
    <w:rsid w:val="00102C90"/>
    <w:rsid w:val="00103948"/>
    <w:rsid w:val="0010483F"/>
    <w:rsid w:val="00105E2F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41AA"/>
    <w:rsid w:val="001442A4"/>
    <w:rsid w:val="0014645B"/>
    <w:rsid w:val="0015471B"/>
    <w:rsid w:val="0015506E"/>
    <w:rsid w:val="0015579C"/>
    <w:rsid w:val="00155A3D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FDC"/>
    <w:rsid w:val="001925D7"/>
    <w:rsid w:val="00192A03"/>
    <w:rsid w:val="001A16E5"/>
    <w:rsid w:val="001A3051"/>
    <w:rsid w:val="001A3F6C"/>
    <w:rsid w:val="001A59D2"/>
    <w:rsid w:val="001B3056"/>
    <w:rsid w:val="001B31FB"/>
    <w:rsid w:val="001B5EB0"/>
    <w:rsid w:val="001B6942"/>
    <w:rsid w:val="001B6BFA"/>
    <w:rsid w:val="001C04E3"/>
    <w:rsid w:val="001C13CE"/>
    <w:rsid w:val="001C4DE8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415A"/>
    <w:rsid w:val="002A5356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E1099"/>
    <w:rsid w:val="002E3428"/>
    <w:rsid w:val="002E4A28"/>
    <w:rsid w:val="002E51CA"/>
    <w:rsid w:val="002E6D99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5F77"/>
    <w:rsid w:val="00346478"/>
    <w:rsid w:val="00346D6D"/>
    <w:rsid w:val="003516C7"/>
    <w:rsid w:val="003518CA"/>
    <w:rsid w:val="00352FB5"/>
    <w:rsid w:val="00355FCA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C0B2F"/>
    <w:rsid w:val="003C0F44"/>
    <w:rsid w:val="003C1CD5"/>
    <w:rsid w:val="003C1DAC"/>
    <w:rsid w:val="003C212D"/>
    <w:rsid w:val="003C226C"/>
    <w:rsid w:val="003C2CFC"/>
    <w:rsid w:val="003C3A8B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CEC"/>
    <w:rsid w:val="003F7F6D"/>
    <w:rsid w:val="00401D27"/>
    <w:rsid w:val="004041BF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80D64"/>
    <w:rsid w:val="004819BE"/>
    <w:rsid w:val="00481E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735"/>
    <w:rsid w:val="004C3C89"/>
    <w:rsid w:val="004C471B"/>
    <w:rsid w:val="004C58E9"/>
    <w:rsid w:val="004C5BC7"/>
    <w:rsid w:val="004D0074"/>
    <w:rsid w:val="004D07F9"/>
    <w:rsid w:val="004D331F"/>
    <w:rsid w:val="004D4032"/>
    <w:rsid w:val="004D41B6"/>
    <w:rsid w:val="004D4AF9"/>
    <w:rsid w:val="004D5A97"/>
    <w:rsid w:val="004D5F2A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D97"/>
    <w:rsid w:val="00513C54"/>
    <w:rsid w:val="00513E4B"/>
    <w:rsid w:val="005143E4"/>
    <w:rsid w:val="005149F6"/>
    <w:rsid w:val="00514DBC"/>
    <w:rsid w:val="00514E97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2F0D"/>
    <w:rsid w:val="00527655"/>
    <w:rsid w:val="005303D6"/>
    <w:rsid w:val="005304CE"/>
    <w:rsid w:val="0053097B"/>
    <w:rsid w:val="00530FB7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DD2"/>
    <w:rsid w:val="0055220D"/>
    <w:rsid w:val="00553472"/>
    <w:rsid w:val="005554E6"/>
    <w:rsid w:val="00555748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14CB"/>
    <w:rsid w:val="00611687"/>
    <w:rsid w:val="00613966"/>
    <w:rsid w:val="0061599C"/>
    <w:rsid w:val="00615D79"/>
    <w:rsid w:val="00616D35"/>
    <w:rsid w:val="00617165"/>
    <w:rsid w:val="0061750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B5E"/>
    <w:rsid w:val="00666CF9"/>
    <w:rsid w:val="00671109"/>
    <w:rsid w:val="0067307B"/>
    <w:rsid w:val="00673F40"/>
    <w:rsid w:val="006746E7"/>
    <w:rsid w:val="00674A52"/>
    <w:rsid w:val="00674B44"/>
    <w:rsid w:val="00675AE5"/>
    <w:rsid w:val="00675EA5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5458"/>
    <w:rsid w:val="006D613E"/>
    <w:rsid w:val="006D7329"/>
    <w:rsid w:val="006E0D1B"/>
    <w:rsid w:val="006E0D70"/>
    <w:rsid w:val="006E2F81"/>
    <w:rsid w:val="006E62A7"/>
    <w:rsid w:val="006E6F34"/>
    <w:rsid w:val="006E78FA"/>
    <w:rsid w:val="006F00EF"/>
    <w:rsid w:val="006F139C"/>
    <w:rsid w:val="006F1CF1"/>
    <w:rsid w:val="006F1D6C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63F0"/>
    <w:rsid w:val="007163FF"/>
    <w:rsid w:val="0071647C"/>
    <w:rsid w:val="007217C5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5451"/>
    <w:rsid w:val="00795593"/>
    <w:rsid w:val="0079674D"/>
    <w:rsid w:val="007A069C"/>
    <w:rsid w:val="007A11D7"/>
    <w:rsid w:val="007A2467"/>
    <w:rsid w:val="007A3452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3562"/>
    <w:rsid w:val="00825356"/>
    <w:rsid w:val="008259D5"/>
    <w:rsid w:val="00831B83"/>
    <w:rsid w:val="00831D3A"/>
    <w:rsid w:val="00832F3A"/>
    <w:rsid w:val="008414FD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685"/>
    <w:rsid w:val="00857BBB"/>
    <w:rsid w:val="00857E77"/>
    <w:rsid w:val="00861B32"/>
    <w:rsid w:val="00863D9F"/>
    <w:rsid w:val="00863F63"/>
    <w:rsid w:val="0086509D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D40"/>
    <w:rsid w:val="00892242"/>
    <w:rsid w:val="00892734"/>
    <w:rsid w:val="00893E40"/>
    <w:rsid w:val="008954F7"/>
    <w:rsid w:val="008970CB"/>
    <w:rsid w:val="008A015C"/>
    <w:rsid w:val="008A0FA6"/>
    <w:rsid w:val="008A5978"/>
    <w:rsid w:val="008A626F"/>
    <w:rsid w:val="008A65FF"/>
    <w:rsid w:val="008A708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B40"/>
    <w:rsid w:val="00957099"/>
    <w:rsid w:val="00957B34"/>
    <w:rsid w:val="009600F7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6C6B"/>
    <w:rsid w:val="00976D27"/>
    <w:rsid w:val="00980889"/>
    <w:rsid w:val="0098160E"/>
    <w:rsid w:val="0098182D"/>
    <w:rsid w:val="00982922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B0102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4F8E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5113"/>
    <w:rsid w:val="009E5426"/>
    <w:rsid w:val="009E547F"/>
    <w:rsid w:val="009E6191"/>
    <w:rsid w:val="009E6B8A"/>
    <w:rsid w:val="009E6FF3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44DC"/>
    <w:rsid w:val="009F69BC"/>
    <w:rsid w:val="009F77F4"/>
    <w:rsid w:val="009F7AB8"/>
    <w:rsid w:val="00A02366"/>
    <w:rsid w:val="00A034D5"/>
    <w:rsid w:val="00A046EC"/>
    <w:rsid w:val="00A07447"/>
    <w:rsid w:val="00A126B2"/>
    <w:rsid w:val="00A134B3"/>
    <w:rsid w:val="00A1396E"/>
    <w:rsid w:val="00A14162"/>
    <w:rsid w:val="00A14665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FC6"/>
    <w:rsid w:val="00A230C9"/>
    <w:rsid w:val="00A24F79"/>
    <w:rsid w:val="00A25C64"/>
    <w:rsid w:val="00A25D25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471"/>
    <w:rsid w:val="00A56648"/>
    <w:rsid w:val="00A57197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7569"/>
    <w:rsid w:val="00A87AB8"/>
    <w:rsid w:val="00A90DA1"/>
    <w:rsid w:val="00A916DA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B53"/>
    <w:rsid w:val="00AB37C6"/>
    <w:rsid w:val="00AB4FCA"/>
    <w:rsid w:val="00AB55F7"/>
    <w:rsid w:val="00AB74EC"/>
    <w:rsid w:val="00AB7882"/>
    <w:rsid w:val="00AC04D7"/>
    <w:rsid w:val="00AC0927"/>
    <w:rsid w:val="00AC1E94"/>
    <w:rsid w:val="00AC2A3E"/>
    <w:rsid w:val="00AC4C75"/>
    <w:rsid w:val="00AC558E"/>
    <w:rsid w:val="00AC595C"/>
    <w:rsid w:val="00AC5C06"/>
    <w:rsid w:val="00AC698A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F2C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1516"/>
    <w:rsid w:val="00B73550"/>
    <w:rsid w:val="00B74323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3FA1"/>
    <w:rsid w:val="00BD441F"/>
    <w:rsid w:val="00BD4855"/>
    <w:rsid w:val="00BD48BB"/>
    <w:rsid w:val="00BD6B60"/>
    <w:rsid w:val="00BD74B2"/>
    <w:rsid w:val="00BE033A"/>
    <w:rsid w:val="00BE0599"/>
    <w:rsid w:val="00BE1FD5"/>
    <w:rsid w:val="00BE2985"/>
    <w:rsid w:val="00BE3D92"/>
    <w:rsid w:val="00BE4EC3"/>
    <w:rsid w:val="00BE5682"/>
    <w:rsid w:val="00BE5DDE"/>
    <w:rsid w:val="00BE6253"/>
    <w:rsid w:val="00BE6EE4"/>
    <w:rsid w:val="00BE71DB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4204"/>
    <w:rsid w:val="00C34A0D"/>
    <w:rsid w:val="00C34CAD"/>
    <w:rsid w:val="00C35C84"/>
    <w:rsid w:val="00C40514"/>
    <w:rsid w:val="00C40B49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81C"/>
    <w:rsid w:val="00C538B6"/>
    <w:rsid w:val="00C54725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245E"/>
    <w:rsid w:val="00C824F2"/>
    <w:rsid w:val="00C87D2E"/>
    <w:rsid w:val="00C901B2"/>
    <w:rsid w:val="00C90220"/>
    <w:rsid w:val="00C9023D"/>
    <w:rsid w:val="00C921E1"/>
    <w:rsid w:val="00C949E4"/>
    <w:rsid w:val="00C94A76"/>
    <w:rsid w:val="00C96BCD"/>
    <w:rsid w:val="00C9746D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7E2F"/>
    <w:rsid w:val="00CE1685"/>
    <w:rsid w:val="00CE3746"/>
    <w:rsid w:val="00CE387E"/>
    <w:rsid w:val="00CE3CE7"/>
    <w:rsid w:val="00CE5A9E"/>
    <w:rsid w:val="00CE5D2F"/>
    <w:rsid w:val="00CE5E8C"/>
    <w:rsid w:val="00CF0E9C"/>
    <w:rsid w:val="00CF3D56"/>
    <w:rsid w:val="00CF3E7B"/>
    <w:rsid w:val="00CF50F7"/>
    <w:rsid w:val="00CF5B84"/>
    <w:rsid w:val="00CF6217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2158"/>
    <w:rsid w:val="00D427D4"/>
    <w:rsid w:val="00D42A29"/>
    <w:rsid w:val="00D43367"/>
    <w:rsid w:val="00D43E17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54FE"/>
    <w:rsid w:val="00D76901"/>
    <w:rsid w:val="00D76C18"/>
    <w:rsid w:val="00D77415"/>
    <w:rsid w:val="00D8132D"/>
    <w:rsid w:val="00D81493"/>
    <w:rsid w:val="00D819D7"/>
    <w:rsid w:val="00D837FE"/>
    <w:rsid w:val="00D8719D"/>
    <w:rsid w:val="00D90464"/>
    <w:rsid w:val="00D91769"/>
    <w:rsid w:val="00D91C54"/>
    <w:rsid w:val="00D93F9E"/>
    <w:rsid w:val="00D964C6"/>
    <w:rsid w:val="00D96592"/>
    <w:rsid w:val="00DA2294"/>
    <w:rsid w:val="00DA328C"/>
    <w:rsid w:val="00DA48B2"/>
    <w:rsid w:val="00DA4A6B"/>
    <w:rsid w:val="00DA6FE0"/>
    <w:rsid w:val="00DA72C4"/>
    <w:rsid w:val="00DA75A1"/>
    <w:rsid w:val="00DA7B56"/>
    <w:rsid w:val="00DB020E"/>
    <w:rsid w:val="00DB09AB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125C"/>
    <w:rsid w:val="00DD2E2D"/>
    <w:rsid w:val="00DD38F1"/>
    <w:rsid w:val="00DD3AB5"/>
    <w:rsid w:val="00DD4FFC"/>
    <w:rsid w:val="00DD628B"/>
    <w:rsid w:val="00DD74DC"/>
    <w:rsid w:val="00DE01BA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AB9"/>
    <w:rsid w:val="00DF157F"/>
    <w:rsid w:val="00DF2C89"/>
    <w:rsid w:val="00DF3E1E"/>
    <w:rsid w:val="00DF4996"/>
    <w:rsid w:val="00DF763C"/>
    <w:rsid w:val="00E0023F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FB8"/>
    <w:rsid w:val="00E3583A"/>
    <w:rsid w:val="00E37472"/>
    <w:rsid w:val="00E37568"/>
    <w:rsid w:val="00E4008F"/>
    <w:rsid w:val="00E40646"/>
    <w:rsid w:val="00E407CD"/>
    <w:rsid w:val="00E40805"/>
    <w:rsid w:val="00E4290A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43D6"/>
    <w:rsid w:val="00E55382"/>
    <w:rsid w:val="00E606C5"/>
    <w:rsid w:val="00E610C6"/>
    <w:rsid w:val="00E610F0"/>
    <w:rsid w:val="00E63F94"/>
    <w:rsid w:val="00E64866"/>
    <w:rsid w:val="00E65167"/>
    <w:rsid w:val="00E668E1"/>
    <w:rsid w:val="00E67CDF"/>
    <w:rsid w:val="00E72515"/>
    <w:rsid w:val="00E7314D"/>
    <w:rsid w:val="00E751FF"/>
    <w:rsid w:val="00E752DE"/>
    <w:rsid w:val="00E76A69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83B"/>
    <w:rsid w:val="00EB2888"/>
    <w:rsid w:val="00EB2B44"/>
    <w:rsid w:val="00EB2CCA"/>
    <w:rsid w:val="00EB5CB6"/>
    <w:rsid w:val="00EB5E43"/>
    <w:rsid w:val="00EB7621"/>
    <w:rsid w:val="00EB782D"/>
    <w:rsid w:val="00EC2635"/>
    <w:rsid w:val="00EC3F4F"/>
    <w:rsid w:val="00EC4570"/>
    <w:rsid w:val="00ED0527"/>
    <w:rsid w:val="00ED0BDC"/>
    <w:rsid w:val="00ED0D72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C84"/>
    <w:rsid w:val="00EF2428"/>
    <w:rsid w:val="00EF3175"/>
    <w:rsid w:val="00EF320D"/>
    <w:rsid w:val="00EF4FDC"/>
    <w:rsid w:val="00EF6BD5"/>
    <w:rsid w:val="00F026C3"/>
    <w:rsid w:val="00F028FC"/>
    <w:rsid w:val="00F02BC1"/>
    <w:rsid w:val="00F031C0"/>
    <w:rsid w:val="00F04B7F"/>
    <w:rsid w:val="00F060B8"/>
    <w:rsid w:val="00F06FFA"/>
    <w:rsid w:val="00F073BE"/>
    <w:rsid w:val="00F10CF8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54C"/>
    <w:rsid w:val="00F40E15"/>
    <w:rsid w:val="00F4122B"/>
    <w:rsid w:val="00F4170A"/>
    <w:rsid w:val="00F418C7"/>
    <w:rsid w:val="00F425A5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420"/>
    <w:rsid w:val="00F53E07"/>
    <w:rsid w:val="00F54CD6"/>
    <w:rsid w:val="00F552D2"/>
    <w:rsid w:val="00F57184"/>
    <w:rsid w:val="00F60BB6"/>
    <w:rsid w:val="00F6256E"/>
    <w:rsid w:val="00F63414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7BA4"/>
    <w:rsid w:val="00FB026D"/>
    <w:rsid w:val="00FB0F5B"/>
    <w:rsid w:val="00FB10D0"/>
    <w:rsid w:val="00FB1EA3"/>
    <w:rsid w:val="00FB1FBA"/>
    <w:rsid w:val="00FB34C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8D4C6D-8117-4EE2-8CFD-4AD0EF89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AA931-4D0D-45B4-AB18-CB43ECBBE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Links>
    <vt:vector size="18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_Toc162277602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_Toc162277601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_Toc162277600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2021-03-03T00:59:00Z</cp:lastPrinted>
  <dcterms:created xsi:type="dcterms:W3CDTF">2024-04-09T00:37:00Z</dcterms:created>
  <dcterms:modified xsi:type="dcterms:W3CDTF">2024-04-09T00:37:00Z</dcterms:modified>
</cp:coreProperties>
</file>