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5E78FF" w:rsidRDefault="005E78FF" w:rsidP="005E78FF">
      <w:pPr>
        <w:pStyle w:val="14"/>
        <w:ind w:left="567" w:hanging="567"/>
      </w:pPr>
      <w:bookmarkStart w:id="15" w:name="_Toc147998397"/>
      <w:bookmarkStart w:id="16" w:name="_Toc161322219"/>
      <w:bookmarkStart w:id="17" w:name="_Toc162621021"/>
      <w:bookmarkEnd w:id="9"/>
      <w:bookmarkEnd w:id="10"/>
      <w:bookmarkEnd w:id="11"/>
      <w:bookmarkEnd w:id="12"/>
      <w:bookmarkEnd w:id="13"/>
      <w:bookmarkEnd w:id="14"/>
      <w:bookmarkEnd w:id="1"/>
      <w:bookmarkEnd w:id="2"/>
      <w:bookmarkEnd w:id="3"/>
      <w:bookmarkEnd w:id="4"/>
      <w:bookmarkEnd w:id="5"/>
      <w:bookmarkEnd w:id="6"/>
      <w:bookmarkEnd w:id="7"/>
      <w:bookmarkEnd w:id="8"/>
      <w:r>
        <w:rPr>
          <w:rFonts w:hint="eastAsia"/>
        </w:rPr>
        <w:t>八、再生能源發展基金辦理「原住民地區參與再生能源設置示範獎勵計畫」，因未達撥款條件及未有新申請補助案件，致預算執行未如預期，允宜加強計畫宣導，以增進計畫推動成效</w:t>
      </w:r>
      <w:bookmarkEnd w:id="15"/>
      <w:bookmarkEnd w:id="16"/>
      <w:bookmarkEnd w:id="17"/>
    </w:p>
    <w:p w:rsidR="005E78FF" w:rsidRDefault="005E78FF" w:rsidP="005E78FF">
      <w:pPr>
        <w:spacing w:line="520" w:lineRule="exact"/>
        <w:ind w:left="567" w:firstLine="567"/>
      </w:pPr>
      <w:r>
        <w:rPr>
          <w:rFonts w:hint="eastAsia"/>
        </w:rPr>
        <w:t>再生能源發展基金111年度於「再生能源推廣計畫-捐助、補助與獎助」科目編列「原住民地區參與再生能源設置示範獎勵」6,360萬元，執行結果，審定決算數60萬元，預算執行率1%。經查：</w:t>
      </w:r>
    </w:p>
    <w:p w:rsidR="00111E6C" w:rsidRDefault="00111E6C" w:rsidP="005E78FF">
      <w:pPr>
        <w:spacing w:line="520" w:lineRule="exact"/>
        <w:ind w:left="567" w:firstLine="567"/>
        <w:rPr>
          <w:rFonts w:hint="eastAsia"/>
        </w:rPr>
      </w:pPr>
    </w:p>
    <w:p w:rsidR="005E78FF" w:rsidRPr="00D73414" w:rsidRDefault="005E78FF" w:rsidP="005E78FF">
      <w:pPr>
        <w:pStyle w:val="a4"/>
        <w:spacing w:line="520" w:lineRule="exact"/>
        <w:ind w:left="851" w:hanging="284"/>
        <w:rPr>
          <w:b/>
        </w:rPr>
      </w:pPr>
      <w:r w:rsidRPr="00D73414">
        <w:rPr>
          <w:rFonts w:hint="eastAsia"/>
          <w:b/>
        </w:rPr>
        <w:t>(一)計畫概述</w:t>
      </w:r>
    </w:p>
    <w:p w:rsidR="005E78FF" w:rsidRDefault="005E78FF" w:rsidP="005E78FF">
      <w:pPr>
        <w:pStyle w:val="23"/>
        <w:spacing w:line="520" w:lineRule="exact"/>
        <w:ind w:left="850" w:firstLine="567"/>
      </w:pPr>
      <w:r>
        <w:rPr>
          <w:rFonts w:hint="eastAsia"/>
        </w:rPr>
        <w:t>經濟部依再生能源發展條例第11條第2項及第3項規定，於108年10月30日發布並施行「原住民地區參與再生能源設置示範獎勵辦法」，期藉由獎勵資源挹注，以提升原住民地區之鄉、鎮、市、區公所共同參與再生能源推動之意願，並同時增加原住民地區居民對再生能源之認知及參與意願。該獎勵辦法</w:t>
      </w:r>
      <w:r>
        <w:rPr>
          <w:rFonts w:hint="eastAsia"/>
        </w:rPr>
        <w:lastRenderedPageBreak/>
        <w:t>規定重點如下：</w:t>
      </w:r>
    </w:p>
    <w:p w:rsidR="005E78FF" w:rsidRDefault="005E78FF" w:rsidP="005E78FF">
      <w:pPr>
        <w:pStyle w:val="123"/>
        <w:spacing w:line="520" w:lineRule="exact"/>
        <w:ind w:left="1134" w:hanging="284"/>
      </w:pPr>
      <w:r w:rsidRPr="00114785">
        <w:rPr>
          <w:rFonts w:hint="eastAsia"/>
          <w:b/>
        </w:rPr>
        <w:t>1.獎勵對象</w:t>
      </w:r>
      <w:r>
        <w:rPr>
          <w:rFonts w:hint="eastAsia"/>
        </w:rPr>
        <w:t>：原住民地區之鄉、鎮、市、區公所。</w:t>
      </w:r>
    </w:p>
    <w:p w:rsidR="005E78FF" w:rsidRDefault="005E78FF" w:rsidP="005E78FF">
      <w:pPr>
        <w:pStyle w:val="123"/>
        <w:spacing w:line="520" w:lineRule="exact"/>
        <w:ind w:left="1134" w:hanging="284"/>
      </w:pPr>
      <w:r w:rsidRPr="00114785">
        <w:rPr>
          <w:rFonts w:hint="eastAsia"/>
          <w:b/>
        </w:rPr>
        <w:t>2.獎勵</w:t>
      </w:r>
      <w:r>
        <w:rPr>
          <w:rFonts w:hint="eastAsia"/>
          <w:b/>
        </w:rPr>
        <w:t>內容</w:t>
      </w:r>
      <w:r>
        <w:rPr>
          <w:rFonts w:hint="eastAsia"/>
        </w:rPr>
        <w:t>：</w:t>
      </w:r>
    </w:p>
    <w:p w:rsidR="005E78FF" w:rsidRDefault="005E78FF" w:rsidP="006719E8">
      <w:pPr>
        <w:pStyle w:val="1231"/>
        <w:ind w:left="1418" w:hanging="284"/>
      </w:pPr>
      <w:r w:rsidRPr="009F4F91">
        <w:rPr>
          <w:rFonts w:hint="eastAsia"/>
          <w:b/>
        </w:rPr>
        <w:t>(1</w:t>
      </w:r>
      <w:r w:rsidRPr="009F4F91">
        <w:rPr>
          <w:b/>
        </w:rPr>
        <w:t>)</w:t>
      </w:r>
      <w:r w:rsidRPr="009F4F91">
        <w:rPr>
          <w:rFonts w:hint="eastAsia"/>
          <w:b/>
        </w:rPr>
        <w:t>規劃評估階段</w:t>
      </w:r>
      <w:r>
        <w:rPr>
          <w:rFonts w:hint="eastAsia"/>
        </w:rPr>
        <w:t>：每案獎勵上限為200萬元。</w:t>
      </w:r>
    </w:p>
    <w:p w:rsidR="005E78FF" w:rsidRDefault="005E78FF" w:rsidP="006719E8">
      <w:pPr>
        <w:pStyle w:val="1231"/>
        <w:ind w:left="1418" w:hanging="284"/>
      </w:pPr>
      <w:r w:rsidRPr="009F4F91">
        <w:rPr>
          <w:rFonts w:hint="eastAsia"/>
          <w:b/>
        </w:rPr>
        <w:t>(2</w:t>
      </w:r>
      <w:r w:rsidRPr="009F4F91">
        <w:rPr>
          <w:b/>
        </w:rPr>
        <w:t>)</w:t>
      </w:r>
      <w:r w:rsidRPr="009F4F91">
        <w:rPr>
          <w:rFonts w:hint="eastAsia"/>
          <w:b/>
        </w:rPr>
        <w:t>執行設置階段</w:t>
      </w:r>
      <w:r>
        <w:rPr>
          <w:rFonts w:hint="eastAsia"/>
        </w:rPr>
        <w:t>：每案獎勵上限為1,000萬元，並增加儲能設備獎勵額度每</w:t>
      </w:r>
      <w:r w:rsidRPr="00C73901">
        <w:rPr>
          <w:rFonts w:hint="eastAsia"/>
        </w:rPr>
        <w:t>瓩</w:t>
      </w:r>
      <w:r>
        <w:rPr>
          <w:rFonts w:hint="eastAsia"/>
        </w:rPr>
        <w:t>時1.2萬元為上限，且不得逾儲能設備總設置金額之40%。</w:t>
      </w:r>
    </w:p>
    <w:p w:rsidR="005E78FF" w:rsidRPr="00E85080" w:rsidRDefault="005E78FF" w:rsidP="005E78FF">
      <w:pPr>
        <w:pStyle w:val="123"/>
        <w:spacing w:line="520" w:lineRule="exact"/>
        <w:ind w:left="1134" w:hanging="284"/>
        <w:rPr>
          <w:b/>
        </w:rPr>
      </w:pPr>
      <w:r w:rsidRPr="00E85080">
        <w:rPr>
          <w:b/>
        </w:rPr>
        <w:t>3.</w:t>
      </w:r>
      <w:r w:rsidRPr="00E85080">
        <w:rPr>
          <w:rFonts w:hint="eastAsia"/>
          <w:b/>
        </w:rPr>
        <w:t>工作項目：</w:t>
      </w:r>
    </w:p>
    <w:p w:rsidR="005E78FF" w:rsidRDefault="005E78FF" w:rsidP="005E78FF">
      <w:pPr>
        <w:pStyle w:val="1231"/>
        <w:spacing w:line="520" w:lineRule="exact"/>
        <w:ind w:left="1418" w:hanging="284"/>
      </w:pPr>
      <w:r>
        <w:rPr>
          <w:b/>
        </w:rPr>
        <w:t>(</w:t>
      </w:r>
      <w:r w:rsidRPr="00CA5038">
        <w:rPr>
          <w:rFonts w:hint="eastAsia"/>
          <w:b/>
        </w:rPr>
        <w:t>1</w:t>
      </w:r>
      <w:r>
        <w:rPr>
          <w:b/>
        </w:rPr>
        <w:t>)</w:t>
      </w:r>
      <w:r w:rsidRPr="00CA5038">
        <w:rPr>
          <w:rFonts w:hint="eastAsia"/>
          <w:b/>
        </w:rPr>
        <w:t>規劃評估階段：</w:t>
      </w:r>
      <w:r>
        <w:rPr>
          <w:rFonts w:hint="eastAsia"/>
        </w:rPr>
        <w:t>完成規劃「原住民地區設置再生能源發電設備示範計畫」及辦理相關推廣宣導活動。</w:t>
      </w:r>
    </w:p>
    <w:p w:rsidR="005E78FF" w:rsidRDefault="005E78FF" w:rsidP="005E78FF">
      <w:pPr>
        <w:pStyle w:val="1231"/>
        <w:spacing w:line="520" w:lineRule="exact"/>
        <w:ind w:left="1418" w:hanging="284"/>
      </w:pPr>
      <w:r>
        <w:rPr>
          <w:b/>
        </w:rPr>
        <w:t>(</w:t>
      </w:r>
      <w:r w:rsidRPr="00CA5038">
        <w:rPr>
          <w:rFonts w:hint="eastAsia"/>
          <w:b/>
        </w:rPr>
        <w:t>2</w:t>
      </w:r>
      <w:r>
        <w:rPr>
          <w:b/>
        </w:rPr>
        <w:t>)</w:t>
      </w:r>
      <w:r w:rsidRPr="00CA5038">
        <w:rPr>
          <w:rFonts w:hint="eastAsia"/>
          <w:b/>
        </w:rPr>
        <w:t>執行設置階段：</w:t>
      </w:r>
      <w:r>
        <w:rPr>
          <w:rFonts w:hint="eastAsia"/>
        </w:rPr>
        <w:t>依據規劃評估階段之示範計畫，於原住民地區設置再生能源發電設備(或儲能設備)。</w:t>
      </w:r>
    </w:p>
    <w:p w:rsidR="005E78FF" w:rsidRPr="00111E6C" w:rsidRDefault="005E78FF" w:rsidP="005E78FF">
      <w:pPr>
        <w:pStyle w:val="a4"/>
        <w:spacing w:line="520" w:lineRule="exact"/>
        <w:ind w:left="851" w:hanging="284"/>
        <w:rPr>
          <w:rFonts w:hint="eastAsia"/>
          <w:b/>
          <w:spacing w:val="-2"/>
        </w:rPr>
      </w:pPr>
      <w:r w:rsidRPr="00C73901">
        <w:rPr>
          <w:rFonts w:hint="eastAsia"/>
          <w:b/>
        </w:rPr>
        <w:t>(二)</w:t>
      </w:r>
      <w:r w:rsidRPr="00111E6C">
        <w:rPr>
          <w:rFonts w:hint="eastAsia"/>
          <w:b/>
          <w:spacing w:val="-2"/>
        </w:rPr>
        <w:t>本計畫採跨年度執行，因「規劃評估階段」之補助案件尚未達第2期撥款條件，以及未有新申請補助案，致預算執行未及1%</w:t>
      </w:r>
    </w:p>
    <w:p w:rsidR="005E78FF" w:rsidRDefault="005E78FF" w:rsidP="005E78FF">
      <w:pPr>
        <w:pStyle w:val="23"/>
        <w:spacing w:line="520" w:lineRule="exact"/>
        <w:ind w:left="850" w:firstLine="567"/>
      </w:pPr>
      <w:r>
        <w:rPr>
          <w:rFonts w:hint="eastAsia"/>
        </w:rPr>
        <w:t>據能源署提供資料，本計畫111年度撥付獎勵金60萬元，占年度預算數6</w:t>
      </w:r>
      <w:r>
        <w:t>,360</w:t>
      </w:r>
      <w:r>
        <w:rPr>
          <w:rFonts w:hint="eastAsia"/>
        </w:rPr>
        <w:t>萬元之比率僅0.94%(詳表1)。據該署說明，本計畫案件之執行期間皆為跨年度，因110年度核定之「規劃評估階段」補助案件，須待111年度結案後始撥付第2期補助款，以及111年度尚無新申請案件等因素，致年度預算執行率落後，已延長獎勵辦法之申請時程，並將持續加強宣導、鼓勵原鄉地區公所積極參與。允宜加強計畫宣導及協助原鄉地區公所瞭解獎勵規範，以增進其參與意願，並提升計畫推動成效。</w:t>
      </w:r>
    </w:p>
    <w:p w:rsidR="005E78FF" w:rsidRDefault="005E78FF" w:rsidP="005E78FF">
      <w:pPr>
        <w:spacing w:line="520" w:lineRule="exact"/>
        <w:ind w:left="567" w:firstLine="567"/>
        <w:rPr>
          <w:rFonts w:hint="eastAsia"/>
        </w:rPr>
      </w:pPr>
      <w:r>
        <w:rPr>
          <w:rFonts w:hint="eastAsia"/>
        </w:rPr>
        <w:t>綜上，再生能源發展基金111年度辦理</w:t>
      </w:r>
      <w:r w:rsidRPr="003D67FD">
        <w:rPr>
          <w:rFonts w:hint="eastAsia"/>
        </w:rPr>
        <w:t>原住民地區參與</w:t>
      </w:r>
      <w:r>
        <w:rPr>
          <w:rFonts w:hint="eastAsia"/>
        </w:rPr>
        <w:t>再生</w:t>
      </w:r>
      <w:r w:rsidRPr="003D67FD">
        <w:rPr>
          <w:rFonts w:hint="eastAsia"/>
        </w:rPr>
        <w:t>能源設置示範獎勵計畫</w:t>
      </w:r>
      <w:r>
        <w:rPr>
          <w:rFonts w:hint="eastAsia"/>
        </w:rPr>
        <w:t>因以前年度核定之獎勵案件尚未達撥款條件，又111年度未有受理新申請獎補助案件，致預算執行未如預</w:t>
      </w:r>
      <w:r>
        <w:rPr>
          <w:rFonts w:hint="eastAsia"/>
        </w:rPr>
        <w:lastRenderedPageBreak/>
        <w:t>期，允宜持續加強計畫宣導，並協助原鄉地區公所瞭解獎補助規範，以增進計畫推動成效。</w:t>
      </w:r>
    </w:p>
    <w:p w:rsidR="005E78FF" w:rsidRPr="003D67FD" w:rsidRDefault="005E78FF" w:rsidP="005E78FF">
      <w:pPr>
        <w:pStyle w:val="123"/>
        <w:spacing w:beforeLines="20" w:before="103" w:line="360" w:lineRule="exact"/>
        <w:ind w:leftChars="0" w:left="616" w:hangingChars="217" w:hanging="616"/>
        <w:rPr>
          <w:b/>
        </w:rPr>
      </w:pPr>
      <w:r w:rsidRPr="003D67FD">
        <w:rPr>
          <w:rFonts w:hint="eastAsia"/>
          <w:b/>
        </w:rPr>
        <w:t>表1 再生能源發展基金110及111年度辦理「原住民地區參與</w:t>
      </w:r>
      <w:r>
        <w:rPr>
          <w:rFonts w:hint="eastAsia"/>
          <w:b/>
        </w:rPr>
        <w:t>再生</w:t>
      </w:r>
      <w:r w:rsidRPr="003D67FD">
        <w:rPr>
          <w:rFonts w:hint="eastAsia"/>
          <w:b/>
        </w:rPr>
        <w:t xml:space="preserve">能源設置示範獎勵計畫」預算編列及執行情形統計表 </w:t>
      </w:r>
      <w:r w:rsidRPr="003D67FD">
        <w:rPr>
          <w:b/>
        </w:rPr>
        <w:t xml:space="preserve"> </w:t>
      </w:r>
    </w:p>
    <w:p w:rsidR="005E78FF" w:rsidRPr="003D67FD" w:rsidRDefault="005E78FF" w:rsidP="005E78FF">
      <w:pPr>
        <w:pStyle w:val="123"/>
        <w:spacing w:line="300" w:lineRule="exact"/>
        <w:ind w:leftChars="0" w:left="528" w:hangingChars="217" w:hanging="528"/>
        <w:jc w:val="right"/>
        <w:rPr>
          <w:sz w:val="24"/>
          <w:szCs w:val="24"/>
        </w:rPr>
      </w:pPr>
      <w:r w:rsidRPr="003D67FD">
        <w:rPr>
          <w:rFonts w:hint="eastAsia"/>
          <w:sz w:val="24"/>
          <w:szCs w:val="24"/>
        </w:rPr>
        <w:t>單位：新臺幣千元；件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97"/>
        <w:gridCol w:w="993"/>
        <w:gridCol w:w="1004"/>
        <w:gridCol w:w="986"/>
        <w:gridCol w:w="986"/>
        <w:gridCol w:w="987"/>
        <w:gridCol w:w="986"/>
        <w:gridCol w:w="986"/>
        <w:gridCol w:w="987"/>
      </w:tblGrid>
      <w:tr w:rsidR="005E78FF" w:rsidTr="002D1CBA">
        <w:tc>
          <w:tcPr>
            <w:tcW w:w="697" w:type="dxa"/>
            <w:vMerge w:val="restart"/>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年度</w:t>
            </w:r>
          </w:p>
        </w:tc>
        <w:tc>
          <w:tcPr>
            <w:tcW w:w="993" w:type="dxa"/>
            <w:vMerge w:val="restart"/>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預算數</w:t>
            </w:r>
          </w:p>
        </w:tc>
        <w:tc>
          <w:tcPr>
            <w:tcW w:w="1004" w:type="dxa"/>
            <w:vMerge w:val="restart"/>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決算數</w:t>
            </w:r>
          </w:p>
        </w:tc>
        <w:tc>
          <w:tcPr>
            <w:tcW w:w="1972" w:type="dxa"/>
            <w:gridSpan w:val="2"/>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受理申請獎補助</w:t>
            </w:r>
          </w:p>
        </w:tc>
        <w:tc>
          <w:tcPr>
            <w:tcW w:w="1973" w:type="dxa"/>
            <w:gridSpan w:val="2"/>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核定獎補助</w:t>
            </w:r>
          </w:p>
        </w:tc>
        <w:tc>
          <w:tcPr>
            <w:tcW w:w="1973" w:type="dxa"/>
            <w:gridSpan w:val="2"/>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已撥付獎補助款</w:t>
            </w:r>
          </w:p>
        </w:tc>
      </w:tr>
      <w:tr w:rsidR="005E78FF" w:rsidTr="002D1CBA">
        <w:tc>
          <w:tcPr>
            <w:tcW w:w="697" w:type="dxa"/>
            <w:vMerge/>
            <w:shd w:val="clear" w:color="auto" w:fill="auto"/>
            <w:vAlign w:val="center"/>
          </w:tcPr>
          <w:p w:rsidR="005E78FF" w:rsidRPr="00E04B5C" w:rsidRDefault="005E78FF" w:rsidP="0002079E">
            <w:pPr>
              <w:pStyle w:val="142"/>
              <w:spacing w:line="320" w:lineRule="exact"/>
              <w:jc w:val="center"/>
              <w:rPr>
                <w:rFonts w:hint="eastAsia"/>
                <w:b/>
              </w:rPr>
            </w:pPr>
          </w:p>
        </w:tc>
        <w:tc>
          <w:tcPr>
            <w:tcW w:w="993" w:type="dxa"/>
            <w:vMerge/>
            <w:shd w:val="clear" w:color="auto" w:fill="auto"/>
          </w:tcPr>
          <w:p w:rsidR="005E78FF" w:rsidRPr="00E04B5C" w:rsidRDefault="005E78FF" w:rsidP="0002079E">
            <w:pPr>
              <w:pStyle w:val="142"/>
              <w:spacing w:line="320" w:lineRule="exact"/>
              <w:jc w:val="center"/>
              <w:rPr>
                <w:rFonts w:hint="eastAsia"/>
                <w:b/>
              </w:rPr>
            </w:pPr>
          </w:p>
        </w:tc>
        <w:tc>
          <w:tcPr>
            <w:tcW w:w="1004" w:type="dxa"/>
            <w:vMerge/>
            <w:shd w:val="clear" w:color="auto" w:fill="auto"/>
          </w:tcPr>
          <w:p w:rsidR="005E78FF" w:rsidRPr="00E04B5C" w:rsidRDefault="005E78FF" w:rsidP="0002079E">
            <w:pPr>
              <w:pStyle w:val="142"/>
              <w:spacing w:line="320" w:lineRule="exact"/>
              <w:jc w:val="center"/>
              <w:rPr>
                <w:rFonts w:hint="eastAsia"/>
                <w:b/>
              </w:rPr>
            </w:pPr>
          </w:p>
        </w:tc>
        <w:tc>
          <w:tcPr>
            <w:tcW w:w="986"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件數</w:t>
            </w:r>
          </w:p>
        </w:tc>
        <w:tc>
          <w:tcPr>
            <w:tcW w:w="986"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金額</w:t>
            </w:r>
          </w:p>
        </w:tc>
        <w:tc>
          <w:tcPr>
            <w:tcW w:w="987"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件數</w:t>
            </w:r>
          </w:p>
        </w:tc>
        <w:tc>
          <w:tcPr>
            <w:tcW w:w="986"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金額</w:t>
            </w:r>
          </w:p>
        </w:tc>
        <w:tc>
          <w:tcPr>
            <w:tcW w:w="986"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件數</w:t>
            </w:r>
          </w:p>
        </w:tc>
        <w:tc>
          <w:tcPr>
            <w:tcW w:w="987"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金額</w:t>
            </w:r>
          </w:p>
        </w:tc>
      </w:tr>
      <w:tr w:rsidR="005E78FF" w:rsidTr="002D1CBA">
        <w:tc>
          <w:tcPr>
            <w:tcW w:w="697" w:type="dxa"/>
            <w:shd w:val="clear" w:color="auto" w:fill="auto"/>
          </w:tcPr>
          <w:p w:rsidR="005E78FF" w:rsidRDefault="005E78FF" w:rsidP="0002079E">
            <w:pPr>
              <w:pStyle w:val="142"/>
              <w:spacing w:line="320" w:lineRule="exact"/>
              <w:rPr>
                <w:rFonts w:hint="eastAsia"/>
              </w:rPr>
            </w:pPr>
            <w:r>
              <w:rPr>
                <w:rFonts w:hint="eastAsia"/>
              </w:rPr>
              <w:t>110</w:t>
            </w:r>
          </w:p>
        </w:tc>
        <w:tc>
          <w:tcPr>
            <w:tcW w:w="993" w:type="dxa"/>
            <w:shd w:val="clear" w:color="auto" w:fill="auto"/>
          </w:tcPr>
          <w:p w:rsidR="005E78FF" w:rsidRDefault="005E78FF" w:rsidP="0002079E">
            <w:pPr>
              <w:pStyle w:val="142"/>
              <w:spacing w:line="320" w:lineRule="exact"/>
              <w:jc w:val="right"/>
              <w:rPr>
                <w:rFonts w:hint="eastAsia"/>
              </w:rPr>
            </w:pPr>
            <w:r>
              <w:rPr>
                <w:rFonts w:hint="eastAsia"/>
              </w:rPr>
              <w:t>60</w:t>
            </w:r>
            <w:r>
              <w:t>,000</w:t>
            </w:r>
          </w:p>
        </w:tc>
        <w:tc>
          <w:tcPr>
            <w:tcW w:w="1004" w:type="dxa"/>
            <w:shd w:val="clear" w:color="auto" w:fill="auto"/>
          </w:tcPr>
          <w:p w:rsidR="005E78FF" w:rsidRDefault="005E78FF" w:rsidP="0002079E">
            <w:pPr>
              <w:pStyle w:val="142"/>
              <w:spacing w:line="320" w:lineRule="exact"/>
              <w:jc w:val="right"/>
              <w:rPr>
                <w:rFonts w:hint="eastAsia"/>
              </w:rPr>
            </w:pPr>
            <w:r>
              <w:rPr>
                <w:rFonts w:hint="eastAsia"/>
              </w:rPr>
              <w:t>5</w:t>
            </w:r>
            <w:r>
              <w:t>,788</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2</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4,</w:t>
            </w:r>
            <w:r>
              <w:t>000</w:t>
            </w:r>
          </w:p>
        </w:tc>
        <w:tc>
          <w:tcPr>
            <w:tcW w:w="987" w:type="dxa"/>
            <w:shd w:val="clear" w:color="auto" w:fill="auto"/>
            <w:vAlign w:val="center"/>
          </w:tcPr>
          <w:p w:rsidR="005E78FF" w:rsidRDefault="005E78FF" w:rsidP="0002079E">
            <w:pPr>
              <w:pStyle w:val="142"/>
              <w:spacing w:line="320" w:lineRule="exact"/>
              <w:jc w:val="right"/>
              <w:rPr>
                <w:rFonts w:hint="eastAsia"/>
              </w:rPr>
            </w:pPr>
            <w:r>
              <w:rPr>
                <w:rFonts w:hint="eastAsia"/>
              </w:rPr>
              <w:t>2</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3</w:t>
            </w:r>
            <w:r>
              <w:t>,000</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9</w:t>
            </w:r>
          </w:p>
        </w:tc>
        <w:tc>
          <w:tcPr>
            <w:tcW w:w="987" w:type="dxa"/>
            <w:shd w:val="clear" w:color="auto" w:fill="auto"/>
            <w:vAlign w:val="center"/>
          </w:tcPr>
          <w:p w:rsidR="005E78FF" w:rsidRDefault="005E78FF" w:rsidP="0002079E">
            <w:pPr>
              <w:pStyle w:val="142"/>
              <w:spacing w:line="320" w:lineRule="exact"/>
              <w:jc w:val="right"/>
              <w:rPr>
                <w:rFonts w:hint="eastAsia"/>
              </w:rPr>
            </w:pPr>
            <w:r>
              <w:rPr>
                <w:rFonts w:hint="eastAsia"/>
              </w:rPr>
              <w:t>5</w:t>
            </w:r>
            <w:r>
              <w:t>,788</w:t>
            </w:r>
          </w:p>
        </w:tc>
      </w:tr>
      <w:tr w:rsidR="005E78FF" w:rsidTr="002D1CBA">
        <w:tc>
          <w:tcPr>
            <w:tcW w:w="697" w:type="dxa"/>
            <w:shd w:val="clear" w:color="auto" w:fill="auto"/>
          </w:tcPr>
          <w:p w:rsidR="005E78FF" w:rsidRDefault="005E78FF" w:rsidP="0002079E">
            <w:pPr>
              <w:pStyle w:val="142"/>
              <w:spacing w:line="320" w:lineRule="exact"/>
              <w:rPr>
                <w:rFonts w:hint="eastAsia"/>
              </w:rPr>
            </w:pPr>
            <w:r>
              <w:rPr>
                <w:rFonts w:hint="eastAsia"/>
              </w:rPr>
              <w:t>111</w:t>
            </w:r>
          </w:p>
        </w:tc>
        <w:tc>
          <w:tcPr>
            <w:tcW w:w="993" w:type="dxa"/>
            <w:shd w:val="clear" w:color="auto" w:fill="auto"/>
          </w:tcPr>
          <w:p w:rsidR="005E78FF" w:rsidRDefault="005E78FF" w:rsidP="0002079E">
            <w:pPr>
              <w:pStyle w:val="142"/>
              <w:spacing w:line="320" w:lineRule="exact"/>
              <w:jc w:val="right"/>
              <w:rPr>
                <w:rFonts w:hint="eastAsia"/>
              </w:rPr>
            </w:pPr>
            <w:r>
              <w:rPr>
                <w:rFonts w:hint="eastAsia"/>
              </w:rPr>
              <w:t>6</w:t>
            </w:r>
            <w:r>
              <w:t>3,600</w:t>
            </w:r>
          </w:p>
        </w:tc>
        <w:tc>
          <w:tcPr>
            <w:tcW w:w="1004" w:type="dxa"/>
            <w:shd w:val="clear" w:color="auto" w:fill="auto"/>
          </w:tcPr>
          <w:p w:rsidR="005E78FF" w:rsidRDefault="005E78FF" w:rsidP="0002079E">
            <w:pPr>
              <w:pStyle w:val="142"/>
              <w:spacing w:line="320" w:lineRule="exact"/>
              <w:jc w:val="right"/>
              <w:rPr>
                <w:rFonts w:hint="eastAsia"/>
              </w:rPr>
            </w:pPr>
            <w:r>
              <w:rPr>
                <w:rFonts w:hint="eastAsia"/>
              </w:rPr>
              <w:t>6</w:t>
            </w:r>
            <w:r>
              <w:t>00</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w:t>
            </w:r>
          </w:p>
        </w:tc>
        <w:tc>
          <w:tcPr>
            <w:tcW w:w="987" w:type="dxa"/>
            <w:shd w:val="clear" w:color="auto" w:fill="auto"/>
            <w:vAlign w:val="center"/>
          </w:tcPr>
          <w:p w:rsidR="005E78FF" w:rsidRDefault="005E78FF" w:rsidP="0002079E">
            <w:pPr>
              <w:pStyle w:val="142"/>
              <w:spacing w:line="320" w:lineRule="exact"/>
              <w:jc w:val="right"/>
              <w:rPr>
                <w:rFonts w:hint="eastAsia"/>
              </w:rPr>
            </w:pPr>
            <w:r>
              <w:rPr>
                <w:rFonts w:hint="eastAsia"/>
              </w:rPr>
              <w:t>-</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1</w:t>
            </w:r>
          </w:p>
        </w:tc>
        <w:tc>
          <w:tcPr>
            <w:tcW w:w="987" w:type="dxa"/>
            <w:shd w:val="clear" w:color="auto" w:fill="auto"/>
            <w:vAlign w:val="center"/>
          </w:tcPr>
          <w:p w:rsidR="005E78FF" w:rsidRDefault="005E78FF" w:rsidP="0002079E">
            <w:pPr>
              <w:pStyle w:val="142"/>
              <w:spacing w:line="320" w:lineRule="exact"/>
              <w:jc w:val="right"/>
              <w:rPr>
                <w:rFonts w:hint="eastAsia"/>
              </w:rPr>
            </w:pPr>
            <w:r>
              <w:rPr>
                <w:rFonts w:hint="eastAsia"/>
              </w:rPr>
              <w:t>6</w:t>
            </w:r>
            <w:r>
              <w:t>00</w:t>
            </w:r>
          </w:p>
        </w:tc>
      </w:tr>
    </w:tbl>
    <w:p w:rsidR="005E78FF" w:rsidRPr="00750415" w:rsidRDefault="005E78FF" w:rsidP="005E78FF">
      <w:pPr>
        <w:pStyle w:val="148"/>
        <w:rPr>
          <w:rFonts w:hint="eastAsia"/>
        </w:rPr>
      </w:pPr>
      <w:r>
        <w:rPr>
          <w:rFonts w:hint="eastAsia"/>
        </w:rPr>
        <w:t>資料來源：能源署提供。</w:t>
      </w:r>
    </w:p>
    <w:sectPr w:rsidR="005E78FF" w:rsidRPr="00750415"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5D4F2A" w:rsidRPr="005D4F2A">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4F2A"/>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AF2283E-2AE2-493F-BE7E-A4C2505F0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C4C93-40B5-4D63-B151-FB33E36C1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248</Words>
  <Characters>1417</Characters>
  <Application>Microsoft Office Word</Application>
  <DocSecurity>0</DocSecurity>
  <Lines>11</Lines>
  <Paragraphs>3</Paragraphs>
  <ScaleCrop>false</ScaleCrop>
  <Company/>
  <LinksUpToDate>false</LinksUpToDate>
  <CharactersWithSpaces>1662</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