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166061" w:rsidRPr="009A0A80" w:rsidRDefault="00166061" w:rsidP="00166061">
      <w:pPr>
        <w:pStyle w:val="14"/>
        <w:ind w:left="567" w:hanging="567"/>
        <w:rPr>
          <w:lang w:eastAsia="zh-HK"/>
        </w:rPr>
      </w:pPr>
      <w:bookmarkStart w:id="49" w:name="_Toc244077098"/>
      <w:bookmarkStart w:id="50" w:name="_Toc277320885"/>
      <w:bookmarkStart w:id="51" w:name="_Toc307401487"/>
      <w:bookmarkStart w:id="52" w:name="_Toc59936198"/>
      <w:bookmarkStart w:id="53" w:name="_Toc95221489"/>
      <w:bookmarkStart w:id="54" w:name="_Toc95226355"/>
      <w:bookmarkStart w:id="55" w:name="_Toc123102824"/>
      <w:bookmarkStart w:id="56" w:name="_Toc194832949"/>
      <w:bookmarkStart w:id="57" w:name="_Toc307401489"/>
      <w:bookmarkStart w:id="58" w:name="_Toc276483812"/>
      <w:bookmarkStart w:id="59" w:name="_Toc336245131"/>
      <w:bookmarkStart w:id="60" w:name="_Toc399610184"/>
      <w:bookmarkStart w:id="61" w:name="_Toc434496936"/>
      <w:bookmarkStart w:id="62" w:name="_Toc130020512"/>
      <w:bookmarkStart w:id="63" w:name="_Toc462403231"/>
      <w:bookmarkStart w:id="64" w:name="_Toc463284592"/>
      <w:bookmarkStart w:id="65" w:name="_Toc464724367"/>
      <w:bookmarkStart w:id="66" w:name="_Toc89958117"/>
      <w:bookmarkStart w:id="67" w:name="_Toc27824680"/>
      <w:bookmarkStart w:id="68" w:name="_Toc59874623"/>
      <w:bookmarkStart w:id="69" w:name="_Toc60113741"/>
      <w:bookmarkStart w:id="70" w:name="_Toc214354529"/>
      <w:bookmarkStart w:id="71" w:name="_Toc59446650"/>
      <w:bookmarkStart w:id="72" w:name="_Toc92169211"/>
      <w:bookmarkStart w:id="73" w:name="_Toc97027631"/>
      <w:bookmarkStart w:id="74" w:name="_Toc97027956"/>
      <w:bookmarkStart w:id="75" w:name="_Toc215381049"/>
      <w:bookmarkStart w:id="76" w:name="_Toc59446649"/>
      <w:bookmarkStart w:id="77" w:name="_Toc163570523"/>
      <w:r w:rsidRPr="00D83C60">
        <w:rPr>
          <w:rFonts w:hAnsi="標楷體" w:hint="eastAsia"/>
          <w:kern w:val="0"/>
        </w:rPr>
        <w:t>一、</w:t>
      </w:r>
      <w:bookmarkEnd w:id="66"/>
      <w:r w:rsidR="00E417D7" w:rsidRPr="00E417D7">
        <w:rPr>
          <w:rFonts w:hint="eastAsia"/>
          <w:lang w:eastAsia="zh-HK"/>
        </w:rPr>
        <w:t>111年度</w:t>
      </w:r>
      <w:r w:rsidR="001258F6">
        <w:rPr>
          <w:rFonts w:hint="eastAsia"/>
        </w:rPr>
        <w:t>部</w:t>
      </w:r>
      <w:r w:rsidR="005F768A">
        <w:rPr>
          <w:rFonts w:hint="eastAsia"/>
        </w:rPr>
        <w:t>立</w:t>
      </w:r>
      <w:r w:rsidR="001258F6">
        <w:rPr>
          <w:rFonts w:hint="eastAsia"/>
        </w:rPr>
        <w:t>醫院</w:t>
      </w:r>
      <w:r w:rsidR="00E417D7" w:rsidRPr="00E417D7">
        <w:rPr>
          <w:rFonts w:hint="eastAsia"/>
          <w:lang w:eastAsia="zh-HK"/>
        </w:rPr>
        <w:t>固定資產建設改良擴充計畫預算執行率低於6成，且部分預算已保留數年，允宜督促妥擬善策，加強計畫執行控管，以提升預算執行成效</w:t>
      </w:r>
      <w:bookmarkEnd w:id="77"/>
    </w:p>
    <w:p w:rsidR="00166061" w:rsidRPr="00A5330D" w:rsidRDefault="00333D44" w:rsidP="00166061">
      <w:pPr>
        <w:ind w:left="566" w:firstLine="558"/>
        <w:rPr>
          <w:spacing w:val="-2"/>
        </w:rPr>
      </w:pPr>
      <w:r w:rsidRPr="00333D44">
        <w:rPr>
          <w:rFonts w:hint="eastAsia"/>
          <w:spacing w:val="-2"/>
        </w:rPr>
        <w:t>醫</w:t>
      </w:r>
      <w:r w:rsidR="00C73032" w:rsidRPr="00C73032">
        <w:rPr>
          <w:rFonts w:hint="eastAsia"/>
          <w:spacing w:val="-2"/>
        </w:rPr>
        <w:t>療藥品基金111年度固定資產建設改良擴充計畫預算數15億3,153萬2千元，加計以前年度保留數10億1,260萬1千元，可用預算數為25億4,413萬3千元，執行結果，決算數15億1,398萬元，僅占可用預算數之59.51%。經查</w:t>
      </w:r>
      <w:r w:rsidR="00166061" w:rsidRPr="00A5330D">
        <w:rPr>
          <w:rFonts w:hint="eastAsia"/>
          <w:spacing w:val="-2"/>
        </w:rPr>
        <w:t>：</w:t>
      </w:r>
    </w:p>
    <w:p w:rsidR="00B45ED6" w:rsidRPr="00C51F45" w:rsidRDefault="00B45ED6" w:rsidP="00C51F45">
      <w:pPr>
        <w:pStyle w:val="a5"/>
        <w:ind w:left="849" w:hanging="283"/>
        <w:rPr>
          <w:b/>
        </w:rPr>
      </w:pPr>
      <w:r w:rsidRPr="00C51F45">
        <w:rPr>
          <w:rFonts w:hint="eastAsia"/>
          <w:b/>
        </w:rPr>
        <w:t>(一)26家部立醫院111年度固定資產建設改良擴充計畫預算執行率低於6成，其中樂生療養院等15家部立醫院預算執行率最低僅21.36%</w:t>
      </w:r>
    </w:p>
    <w:p w:rsidR="00B45ED6" w:rsidRPr="00B45ED6" w:rsidRDefault="00B45ED6" w:rsidP="00C51F45">
      <w:pPr>
        <w:pStyle w:val="21"/>
        <w:ind w:left="850" w:firstLine="566"/>
      </w:pPr>
      <w:r w:rsidRPr="00B45ED6">
        <w:rPr>
          <w:rFonts w:hint="eastAsia"/>
        </w:rPr>
        <w:t>衛生福利部所屬26家醫療機構(下稱部立醫院)為擴充醫療量能及改善醫療儀器設備，111年度賡續辦理固定資產建設改良擴充計畫，惟111年度固定資產建設改良擴充計畫決算數15億1,398萬元，僅占可用預算數25億4,413萬3千元之59.51%，整體預算執行率低於6成。</w:t>
      </w:r>
    </w:p>
    <w:p w:rsidR="00B45ED6" w:rsidRPr="00B45ED6" w:rsidRDefault="00B45ED6" w:rsidP="00C51F45">
      <w:pPr>
        <w:pStyle w:val="21"/>
        <w:ind w:left="850" w:firstLine="566"/>
      </w:pPr>
      <w:r w:rsidRPr="00B45ED6">
        <w:rPr>
          <w:rFonts w:hint="eastAsia"/>
        </w:rPr>
        <w:t>另審計部於衛生福利部醫療藥品基金111年度財務收支及決算審核通知指出，該基金111年度辦理固定資產建設改良擴充計畫，其中樂生療養院等15家醫院預算執行率僅介於21.36%至75.07%間(詳表1)，並以樂生療養院預算執行率21.36%最低。此外，樂生療養院、旗山醫院及苗栗醫院之預算執行率最高僅40.47%，且預算保留率皆逾5成，顯示該3家醫院預算執行情形欠佳。</w:t>
      </w:r>
    </w:p>
    <w:p w:rsidR="00B45ED6" w:rsidRPr="00B45ED6" w:rsidRDefault="00B45ED6" w:rsidP="00C51F45">
      <w:pPr>
        <w:pStyle w:val="21"/>
        <w:ind w:left="850" w:firstLine="566"/>
      </w:pPr>
      <w:r w:rsidRPr="00B45ED6">
        <w:rPr>
          <w:rFonts w:hint="eastAsia"/>
        </w:rPr>
        <w:t>至於上述3家醫療機構111年度固定資產預算執行率偏低之主要原因，依該基金111年度決算書，其中樂生療養院辦理</w:t>
      </w:r>
      <w:r w:rsidRPr="00B45ED6">
        <w:rPr>
          <w:rFonts w:hint="eastAsia"/>
        </w:rPr>
        <w:lastRenderedPageBreak/>
        <w:t>「樂生園區整體發展計畫」整體景觀工程及廣場平台工程因社運團體對環評提出行政訴訟，致基礎設施規劃案進度延遲，執行率因而落後；旗山醫院則因單房間職務宿舍擴建工程多次流標，經檢討調增預算後，111年12月27日辦理公告仍流標，爰辦理預算保留，故執行率落後；另苗栗醫院之放射腫瘤治療中心擴建計畫與急重症醫療大樓擴建計畫則因工程案均尚未決標，爰辦理預算保留而影響執行率。</w:t>
      </w:r>
    </w:p>
    <w:p w:rsidR="00B45ED6" w:rsidRPr="00B45ED6" w:rsidRDefault="00B45ED6" w:rsidP="00B45ED6">
      <w:pPr>
        <w:snapToGrid w:val="0"/>
        <w:ind w:leftChars="0" w:left="964" w:hangingChars="340" w:hanging="964"/>
        <w:rPr>
          <w:rFonts w:ascii="Times New Roman"/>
          <w:sz w:val="24"/>
          <w:szCs w:val="24"/>
        </w:rPr>
      </w:pPr>
      <w:r w:rsidRPr="00B45ED6">
        <w:rPr>
          <w:rFonts w:hAnsi="標楷體" w:hint="eastAsia"/>
          <w:b/>
        </w:rPr>
        <w:t xml:space="preserve"> 表1  111年度衛福部部立醫院固定資產改良擴充計畫預算執行率未達8成及預算保留情形簡表            </w:t>
      </w:r>
      <w:r w:rsidRPr="00B45ED6">
        <w:rPr>
          <w:rFonts w:ascii="Times New Roman" w:hint="eastAsia"/>
          <w:sz w:val="24"/>
          <w:szCs w:val="24"/>
        </w:rPr>
        <w:t>單位：新臺幣千元</w:t>
      </w:r>
      <w:r w:rsidRPr="00B45ED6">
        <w:rPr>
          <w:rFonts w:hAnsi="標楷體" w:hint="eastAsia"/>
          <w:sz w:val="24"/>
          <w:szCs w:val="24"/>
        </w:rPr>
        <w:t>；%</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25"/>
        <w:gridCol w:w="1337"/>
        <w:gridCol w:w="1362"/>
        <w:gridCol w:w="1270"/>
        <w:gridCol w:w="1276"/>
        <w:gridCol w:w="1339"/>
        <w:gridCol w:w="1337"/>
      </w:tblGrid>
      <w:tr w:rsidR="00B45ED6" w:rsidRPr="00B45ED6" w:rsidTr="00B34878">
        <w:trPr>
          <w:trHeight w:val="591"/>
          <w:tblHeader/>
        </w:trPr>
        <w:tc>
          <w:tcPr>
            <w:tcW w:w="425" w:type="dxa"/>
            <w:shd w:val="clear" w:color="auto" w:fill="auto"/>
            <w:noWrap/>
            <w:vAlign w:val="center"/>
          </w:tcPr>
          <w:p w:rsidR="00B45ED6" w:rsidRPr="00B45ED6" w:rsidRDefault="00B45ED6" w:rsidP="00B45ED6">
            <w:pPr>
              <w:spacing w:line="280" w:lineRule="exact"/>
              <w:ind w:leftChars="0" w:left="0" w:firstLineChars="0" w:firstLine="0"/>
              <w:jc w:val="center"/>
              <w:rPr>
                <w:b/>
                <w:sz w:val="24"/>
              </w:rPr>
            </w:pPr>
            <w:r w:rsidRPr="00B45ED6">
              <w:rPr>
                <w:rFonts w:hint="eastAsia"/>
                <w:b/>
                <w:sz w:val="24"/>
              </w:rPr>
              <w:t>序號</w:t>
            </w:r>
          </w:p>
        </w:tc>
        <w:tc>
          <w:tcPr>
            <w:tcW w:w="1337" w:type="dxa"/>
            <w:shd w:val="clear" w:color="auto" w:fill="auto"/>
            <w:vAlign w:val="center"/>
          </w:tcPr>
          <w:p w:rsidR="00B45ED6" w:rsidRPr="00B45ED6" w:rsidRDefault="00B45ED6" w:rsidP="00B45ED6">
            <w:pPr>
              <w:spacing w:line="280" w:lineRule="exact"/>
              <w:ind w:leftChars="0" w:left="0" w:firstLineChars="0" w:firstLine="0"/>
              <w:jc w:val="center"/>
              <w:rPr>
                <w:b/>
                <w:sz w:val="24"/>
              </w:rPr>
            </w:pPr>
            <w:r w:rsidRPr="00B45ED6">
              <w:rPr>
                <w:rFonts w:hint="eastAsia"/>
                <w:b/>
                <w:sz w:val="24"/>
              </w:rPr>
              <w:t>醫院名稱</w:t>
            </w:r>
          </w:p>
        </w:tc>
        <w:tc>
          <w:tcPr>
            <w:tcW w:w="1362" w:type="dxa"/>
            <w:shd w:val="clear" w:color="auto" w:fill="auto"/>
            <w:noWrap/>
            <w:vAlign w:val="center"/>
          </w:tcPr>
          <w:p w:rsidR="00B45ED6" w:rsidRPr="00B45ED6" w:rsidRDefault="00B45ED6" w:rsidP="00B45ED6">
            <w:pPr>
              <w:spacing w:line="280" w:lineRule="exact"/>
              <w:ind w:leftChars="0" w:left="0" w:firstLineChars="0" w:firstLine="0"/>
              <w:jc w:val="center"/>
              <w:rPr>
                <w:b/>
                <w:sz w:val="24"/>
              </w:rPr>
            </w:pPr>
            <w:r w:rsidRPr="00B45ED6">
              <w:rPr>
                <w:rFonts w:hint="eastAsia"/>
                <w:b/>
                <w:sz w:val="24"/>
              </w:rPr>
              <w:t>可用預算數</w:t>
            </w:r>
          </w:p>
          <w:p w:rsidR="00B45ED6" w:rsidRPr="00B45ED6" w:rsidRDefault="00B45ED6" w:rsidP="00B45ED6">
            <w:pPr>
              <w:spacing w:line="280" w:lineRule="exact"/>
              <w:ind w:leftChars="0" w:left="0" w:firstLineChars="0" w:firstLine="0"/>
              <w:jc w:val="center"/>
              <w:rPr>
                <w:rFonts w:hint="eastAsia"/>
                <w:b/>
                <w:sz w:val="24"/>
              </w:rPr>
            </w:pPr>
            <w:r w:rsidRPr="00B45ED6">
              <w:rPr>
                <w:rFonts w:hint="eastAsia"/>
                <w:b/>
                <w:sz w:val="24"/>
              </w:rPr>
              <w:t>(A)</w:t>
            </w:r>
          </w:p>
        </w:tc>
        <w:tc>
          <w:tcPr>
            <w:tcW w:w="1270" w:type="dxa"/>
            <w:shd w:val="clear" w:color="auto" w:fill="auto"/>
            <w:vAlign w:val="center"/>
          </w:tcPr>
          <w:p w:rsidR="00B45ED6" w:rsidRPr="00B45ED6" w:rsidRDefault="00B45ED6" w:rsidP="00B45ED6">
            <w:pPr>
              <w:spacing w:line="280" w:lineRule="exact"/>
              <w:ind w:leftChars="0" w:left="0" w:firstLineChars="0" w:firstLine="0"/>
              <w:jc w:val="center"/>
              <w:rPr>
                <w:b/>
                <w:sz w:val="24"/>
              </w:rPr>
            </w:pPr>
            <w:r w:rsidRPr="00B45ED6">
              <w:rPr>
                <w:rFonts w:hint="eastAsia"/>
                <w:b/>
                <w:sz w:val="24"/>
              </w:rPr>
              <w:t>決算數</w:t>
            </w:r>
          </w:p>
          <w:p w:rsidR="00B45ED6" w:rsidRPr="00B45ED6" w:rsidRDefault="00B45ED6" w:rsidP="00B45ED6">
            <w:pPr>
              <w:spacing w:line="280" w:lineRule="exact"/>
              <w:ind w:leftChars="0" w:left="0" w:firstLineChars="0" w:firstLine="0"/>
              <w:jc w:val="center"/>
              <w:rPr>
                <w:rFonts w:hint="eastAsia"/>
                <w:b/>
                <w:sz w:val="24"/>
              </w:rPr>
            </w:pPr>
            <w:r w:rsidRPr="00B45ED6">
              <w:rPr>
                <w:rFonts w:hint="eastAsia"/>
                <w:b/>
                <w:sz w:val="24"/>
              </w:rPr>
              <w:t>(B)</w:t>
            </w:r>
          </w:p>
        </w:tc>
        <w:tc>
          <w:tcPr>
            <w:tcW w:w="1276" w:type="dxa"/>
            <w:shd w:val="clear" w:color="auto" w:fill="auto"/>
            <w:vAlign w:val="center"/>
          </w:tcPr>
          <w:p w:rsidR="00B45ED6" w:rsidRPr="00B45ED6" w:rsidRDefault="00B45ED6" w:rsidP="00B45ED6">
            <w:pPr>
              <w:spacing w:line="280" w:lineRule="exact"/>
              <w:ind w:leftChars="0" w:left="0" w:firstLineChars="0" w:firstLine="0"/>
              <w:rPr>
                <w:b/>
                <w:sz w:val="24"/>
              </w:rPr>
            </w:pPr>
            <w:r w:rsidRPr="00B45ED6">
              <w:rPr>
                <w:rFonts w:hint="eastAsia"/>
                <w:b/>
                <w:sz w:val="24"/>
              </w:rPr>
              <w:t>預算執行率(B</w:t>
            </w:r>
            <w:r w:rsidRPr="00B45ED6">
              <w:rPr>
                <w:b/>
                <w:sz w:val="24"/>
              </w:rPr>
              <w:t>/</w:t>
            </w:r>
            <w:r w:rsidRPr="00B45ED6">
              <w:rPr>
                <w:rFonts w:hint="eastAsia"/>
                <w:b/>
                <w:sz w:val="24"/>
              </w:rPr>
              <w:t>A)</w:t>
            </w:r>
            <w:r w:rsidRPr="00B45ED6">
              <w:rPr>
                <w:b/>
                <w:sz w:val="24"/>
              </w:rPr>
              <w:t>*100</w:t>
            </w:r>
          </w:p>
        </w:tc>
        <w:tc>
          <w:tcPr>
            <w:tcW w:w="1339" w:type="dxa"/>
            <w:shd w:val="clear" w:color="auto" w:fill="auto"/>
            <w:noWrap/>
            <w:vAlign w:val="center"/>
          </w:tcPr>
          <w:p w:rsidR="00B45ED6" w:rsidRPr="00B45ED6" w:rsidRDefault="00B45ED6" w:rsidP="00B45ED6">
            <w:pPr>
              <w:spacing w:line="280" w:lineRule="exact"/>
              <w:ind w:leftChars="0" w:left="0" w:firstLineChars="0" w:firstLine="0"/>
              <w:jc w:val="center"/>
              <w:rPr>
                <w:b/>
                <w:sz w:val="24"/>
              </w:rPr>
            </w:pPr>
            <w:r w:rsidRPr="00B45ED6">
              <w:rPr>
                <w:rFonts w:hint="eastAsia"/>
                <w:b/>
                <w:sz w:val="24"/>
              </w:rPr>
              <w:t>保留數</w:t>
            </w:r>
          </w:p>
          <w:p w:rsidR="00B45ED6" w:rsidRPr="00B45ED6" w:rsidRDefault="00B45ED6" w:rsidP="00B45ED6">
            <w:pPr>
              <w:spacing w:line="280" w:lineRule="exact"/>
              <w:ind w:leftChars="0" w:left="0" w:firstLineChars="0" w:firstLine="0"/>
              <w:jc w:val="center"/>
              <w:rPr>
                <w:rFonts w:hint="eastAsia"/>
                <w:b/>
                <w:sz w:val="24"/>
              </w:rPr>
            </w:pPr>
            <w:r w:rsidRPr="00B45ED6">
              <w:rPr>
                <w:rFonts w:hint="eastAsia"/>
                <w:b/>
                <w:sz w:val="24"/>
              </w:rPr>
              <w:t>(C)</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center"/>
              <w:rPr>
                <w:b/>
                <w:sz w:val="24"/>
              </w:rPr>
            </w:pPr>
            <w:r w:rsidRPr="00B45ED6">
              <w:rPr>
                <w:rFonts w:hint="eastAsia"/>
                <w:b/>
                <w:sz w:val="24"/>
              </w:rPr>
              <w:t>保留率(C</w:t>
            </w:r>
            <w:r w:rsidRPr="00B45ED6">
              <w:rPr>
                <w:b/>
                <w:sz w:val="24"/>
              </w:rPr>
              <w:t>/</w:t>
            </w:r>
            <w:r w:rsidRPr="00B45ED6">
              <w:rPr>
                <w:rFonts w:hint="eastAsia"/>
                <w:b/>
                <w:sz w:val="24"/>
              </w:rPr>
              <w:t>A)</w:t>
            </w:r>
            <w:r w:rsidRPr="00B45ED6">
              <w:rPr>
                <w:b/>
                <w:sz w:val="24"/>
              </w:rPr>
              <w:t>*100</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sz w:val="24"/>
              </w:rPr>
            </w:pPr>
            <w:r w:rsidRPr="00B45ED6">
              <w:rPr>
                <w:rFonts w:hint="eastAsia"/>
                <w:sz w:val="24"/>
              </w:rPr>
              <w:t>1</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sz w:val="24"/>
              </w:rPr>
            </w:pPr>
            <w:r w:rsidRPr="00B45ED6">
              <w:rPr>
                <w:rFonts w:hint="eastAsia"/>
                <w:sz w:val="24"/>
              </w:rPr>
              <w:t>樂生療養院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445,171</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95,099</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21.36</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350,067</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78.64</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sz w:val="24"/>
              </w:rPr>
            </w:pPr>
            <w:r w:rsidRPr="00B45ED6">
              <w:rPr>
                <w:rFonts w:hint="eastAsia"/>
                <w:sz w:val="24"/>
              </w:rPr>
              <w:t>2</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sz w:val="24"/>
              </w:rPr>
            </w:pPr>
            <w:r w:rsidRPr="00B45ED6">
              <w:rPr>
                <w:rFonts w:hint="eastAsia"/>
                <w:sz w:val="24"/>
              </w:rPr>
              <w:t>旗山醫院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88,630</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33,235</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37.50</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55,395</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62.50</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sz w:val="24"/>
              </w:rPr>
            </w:pPr>
            <w:r w:rsidRPr="00B45ED6">
              <w:rPr>
                <w:rFonts w:hint="eastAsia"/>
                <w:sz w:val="24"/>
              </w:rPr>
              <w:t>3</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sz w:val="24"/>
              </w:rPr>
            </w:pPr>
            <w:r w:rsidRPr="00B45ED6">
              <w:rPr>
                <w:rFonts w:hint="eastAsia"/>
                <w:sz w:val="24"/>
              </w:rPr>
              <w:t>澎湖醫院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53,932</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20,677</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38.34</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829</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1.54</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sz w:val="24"/>
              </w:rPr>
            </w:pPr>
            <w:r w:rsidRPr="00B45ED6">
              <w:rPr>
                <w:rFonts w:hint="eastAsia"/>
                <w:sz w:val="24"/>
              </w:rPr>
              <w:t>4</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sz w:val="24"/>
              </w:rPr>
            </w:pPr>
            <w:r w:rsidRPr="00B45ED6">
              <w:rPr>
                <w:rFonts w:hint="eastAsia"/>
                <w:sz w:val="24"/>
              </w:rPr>
              <w:t>苗栗醫院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123,971</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50,166</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40.47</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72,908</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58.</w:t>
            </w:r>
            <w:r w:rsidRPr="00B45ED6">
              <w:rPr>
                <w:rFonts w:hint="eastAsia"/>
                <w:sz w:val="24"/>
              </w:rPr>
              <w:t>8</w:t>
            </w:r>
            <w:r w:rsidRPr="00B45ED6">
              <w:rPr>
                <w:sz w:val="24"/>
              </w:rPr>
              <w:t>1</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sz w:val="24"/>
              </w:rPr>
            </w:pPr>
            <w:r w:rsidRPr="00B45ED6">
              <w:rPr>
                <w:rFonts w:hint="eastAsia"/>
                <w:sz w:val="24"/>
              </w:rPr>
              <w:t>5</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sz w:val="24"/>
              </w:rPr>
            </w:pPr>
            <w:r w:rsidRPr="00B45ED6">
              <w:rPr>
                <w:rFonts w:hint="eastAsia"/>
                <w:sz w:val="24"/>
              </w:rPr>
              <w:t>南投醫院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111,886</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49,486</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44.23</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59,312</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53.01</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6</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臺東醫院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68,561</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31,197</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45.50</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31,754</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46.3</w:t>
            </w:r>
            <w:r w:rsidRPr="00B45ED6">
              <w:rPr>
                <w:rFonts w:hint="eastAsia"/>
                <w:sz w:val="24"/>
              </w:rPr>
              <w:t>1</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7</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臺南醫院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98,184</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46,451</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47.31</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40,327</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41.07</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8</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屏東醫院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64,570</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30,723</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47.58</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33,830</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52.39</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9</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桃園醫院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433,608</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246,371</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56.82</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158,876</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36.64</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1</w:t>
            </w:r>
            <w:r w:rsidRPr="00B45ED6">
              <w:rPr>
                <w:sz w:val="24"/>
              </w:rPr>
              <w:t>0</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彰化醫院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125,025</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74,487</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59.58</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49,841</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39.8</w:t>
            </w:r>
            <w:r w:rsidRPr="00B45ED6">
              <w:rPr>
                <w:rFonts w:hint="eastAsia"/>
                <w:sz w:val="24"/>
              </w:rPr>
              <w:t>6</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1</w:t>
            </w:r>
            <w:r w:rsidRPr="00B45ED6">
              <w:rPr>
                <w:sz w:val="24"/>
              </w:rPr>
              <w:t>1</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玉里醫院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12,164</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7,388</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60.74</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1,070</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8.80</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1</w:t>
            </w:r>
            <w:r w:rsidRPr="00B45ED6">
              <w:rPr>
                <w:sz w:val="24"/>
              </w:rPr>
              <w:t>2</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豐原醫院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73,618</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45,673</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62.04</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26,979</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36.65</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1</w:t>
            </w:r>
            <w:r w:rsidRPr="00B45ED6">
              <w:rPr>
                <w:sz w:val="24"/>
              </w:rPr>
              <w:t>3</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胸腔病院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13,667</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8,738</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63.94</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4,723</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34.56</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1</w:t>
            </w:r>
            <w:r w:rsidRPr="00B45ED6">
              <w:rPr>
                <w:sz w:val="24"/>
              </w:rPr>
              <w:t>4</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嘉義醫院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29,181</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20,827</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71.37</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6,101</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20.91</w:t>
            </w:r>
          </w:p>
        </w:tc>
      </w:tr>
      <w:tr w:rsidR="00B45ED6" w:rsidRPr="00B45ED6" w:rsidTr="00B34878">
        <w:trPr>
          <w:trHeight w:val="340"/>
        </w:trPr>
        <w:tc>
          <w:tcPr>
            <w:tcW w:w="425" w:type="dxa"/>
            <w:shd w:val="clear" w:color="auto" w:fill="auto"/>
            <w:vAlign w:val="center"/>
          </w:tcPr>
          <w:p w:rsidR="00B45ED6" w:rsidRPr="00B45ED6" w:rsidRDefault="00B45ED6" w:rsidP="00B45ED6">
            <w:pPr>
              <w:spacing w:line="280" w:lineRule="exact"/>
              <w:ind w:leftChars="0" w:left="0" w:firstLineChars="0" w:firstLine="0"/>
              <w:jc w:val="center"/>
              <w:rPr>
                <w:rFonts w:hint="eastAsia"/>
                <w:sz w:val="24"/>
              </w:rPr>
            </w:pPr>
            <w:r w:rsidRPr="00B45ED6">
              <w:rPr>
                <w:rFonts w:hint="eastAsia"/>
                <w:sz w:val="24"/>
              </w:rPr>
              <w:t>1</w:t>
            </w:r>
            <w:r w:rsidRPr="00B45ED6">
              <w:rPr>
                <w:sz w:val="24"/>
              </w:rPr>
              <w:t>5</w:t>
            </w:r>
          </w:p>
        </w:tc>
        <w:tc>
          <w:tcPr>
            <w:tcW w:w="1337" w:type="dxa"/>
            <w:shd w:val="clear" w:color="auto" w:fill="auto"/>
            <w:vAlign w:val="center"/>
          </w:tcPr>
          <w:p w:rsidR="00B45ED6" w:rsidRPr="00B45ED6" w:rsidRDefault="00B45ED6" w:rsidP="00B45ED6">
            <w:pPr>
              <w:spacing w:line="280" w:lineRule="exact"/>
              <w:ind w:leftChars="0" w:left="0" w:firstLineChars="0" w:firstLine="0"/>
              <w:jc w:val="left"/>
              <w:rPr>
                <w:rFonts w:hint="eastAsia"/>
                <w:sz w:val="24"/>
              </w:rPr>
            </w:pPr>
            <w:r w:rsidRPr="00B45ED6">
              <w:rPr>
                <w:rFonts w:hint="eastAsia"/>
                <w:sz w:val="24"/>
              </w:rPr>
              <w:t>基隆醫院</w:t>
            </w:r>
          </w:p>
        </w:tc>
        <w:tc>
          <w:tcPr>
            <w:tcW w:w="1362"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84,234</w:t>
            </w:r>
          </w:p>
        </w:tc>
        <w:tc>
          <w:tcPr>
            <w:tcW w:w="1270"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63,238</w:t>
            </w:r>
          </w:p>
        </w:tc>
        <w:tc>
          <w:tcPr>
            <w:tcW w:w="1276"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75.07</w:t>
            </w:r>
          </w:p>
        </w:tc>
        <w:tc>
          <w:tcPr>
            <w:tcW w:w="1339" w:type="dxa"/>
            <w:shd w:val="clear" w:color="auto" w:fill="auto"/>
            <w:vAlign w:val="center"/>
          </w:tcPr>
          <w:p w:rsidR="00B45ED6" w:rsidRPr="00B45ED6" w:rsidRDefault="00B45ED6" w:rsidP="00B45ED6">
            <w:pPr>
              <w:spacing w:line="280" w:lineRule="exact"/>
              <w:ind w:leftChars="0" w:left="0" w:firstLineChars="0" w:firstLine="0"/>
              <w:jc w:val="right"/>
              <w:rPr>
                <w:sz w:val="24"/>
              </w:rPr>
            </w:pPr>
            <w:r w:rsidRPr="00B45ED6">
              <w:rPr>
                <w:sz w:val="24"/>
              </w:rPr>
              <w:t>19,762</w:t>
            </w:r>
          </w:p>
        </w:tc>
        <w:tc>
          <w:tcPr>
            <w:tcW w:w="1337" w:type="dxa"/>
            <w:shd w:val="clear" w:color="auto" w:fill="auto"/>
            <w:noWrap/>
            <w:vAlign w:val="center"/>
          </w:tcPr>
          <w:p w:rsidR="00B45ED6" w:rsidRPr="00B45ED6" w:rsidRDefault="00B45ED6" w:rsidP="00B45ED6">
            <w:pPr>
              <w:spacing w:line="280" w:lineRule="exact"/>
              <w:ind w:leftChars="0" w:left="0" w:firstLineChars="0" w:firstLine="0"/>
              <w:jc w:val="right"/>
              <w:rPr>
                <w:sz w:val="24"/>
              </w:rPr>
            </w:pPr>
            <w:r w:rsidRPr="00B45ED6">
              <w:rPr>
                <w:sz w:val="24"/>
              </w:rPr>
              <w:t>23.46</w:t>
            </w:r>
          </w:p>
        </w:tc>
      </w:tr>
    </w:tbl>
    <w:p w:rsidR="00B45ED6" w:rsidRPr="00B45ED6" w:rsidRDefault="00B45ED6" w:rsidP="00B45ED6">
      <w:pPr>
        <w:spacing w:line="280" w:lineRule="exact"/>
        <w:ind w:leftChars="0" w:left="1338" w:hangingChars="550" w:hanging="1338"/>
        <w:jc w:val="left"/>
      </w:pPr>
      <w:r w:rsidRPr="00B45ED6">
        <w:rPr>
          <w:rFonts w:hAnsi="標楷體" w:cs="標楷體" w:hint="eastAsia"/>
          <w:snapToGrid/>
          <w:sz w:val="24"/>
          <w:szCs w:val="24"/>
        </w:rPr>
        <w:t xml:space="preserve"> 資料來源：審計部查核衛生福利部醫療藥品基金111年度財務收支及決算之審核通知事項。</w:t>
      </w:r>
    </w:p>
    <w:p w:rsidR="00B45ED6" w:rsidRPr="00C51F45" w:rsidRDefault="00B45ED6" w:rsidP="00C51F45">
      <w:pPr>
        <w:pStyle w:val="a5"/>
        <w:ind w:left="849" w:hanging="283"/>
        <w:rPr>
          <w:b/>
        </w:rPr>
      </w:pPr>
      <w:r w:rsidRPr="00C51F45">
        <w:rPr>
          <w:rFonts w:hint="eastAsia"/>
          <w:b/>
        </w:rPr>
        <w:t>(二)樂生療養院等4家醫院部分項目預算連年保留，截至111年</w:t>
      </w:r>
      <w:r w:rsidR="006B3C20">
        <w:rPr>
          <w:rFonts w:hint="eastAsia"/>
          <w:b/>
        </w:rPr>
        <w:t>底止</w:t>
      </w:r>
      <w:r w:rsidRPr="00C51F45">
        <w:rPr>
          <w:rFonts w:hint="eastAsia"/>
          <w:b/>
        </w:rPr>
        <w:t>保留時間達4年至5年</w:t>
      </w:r>
    </w:p>
    <w:p w:rsidR="00B45ED6" w:rsidRPr="00B45ED6" w:rsidRDefault="00B45ED6" w:rsidP="00D73087">
      <w:pPr>
        <w:pStyle w:val="21"/>
        <w:ind w:left="850" w:firstLine="566"/>
        <w:rPr>
          <w:rFonts w:hint="eastAsia"/>
        </w:rPr>
      </w:pPr>
      <w:r w:rsidRPr="00B45ED6">
        <w:rPr>
          <w:rFonts w:hint="eastAsia"/>
        </w:rPr>
        <w:t>醫療藥品基金111年度固定資產建設改良擴充計畫預算執</w:t>
      </w:r>
      <w:r w:rsidRPr="00B45ED6">
        <w:rPr>
          <w:rFonts w:hint="eastAsia"/>
        </w:rPr>
        <w:lastRenderedPageBreak/>
        <w:t>行率59.51%，雖優於110年度之56.29%</w:t>
      </w:r>
      <w:r w:rsidRPr="00B45ED6">
        <w:rPr>
          <w:vertAlign w:val="superscript"/>
        </w:rPr>
        <w:footnoteReference w:id="1"/>
      </w:r>
      <w:r w:rsidRPr="00B45ED6">
        <w:rPr>
          <w:rFonts w:hint="eastAsia"/>
        </w:rPr>
        <w:t>，然截至111年</w:t>
      </w:r>
      <w:r w:rsidR="00A26234">
        <w:rPr>
          <w:rFonts w:hint="eastAsia"/>
        </w:rPr>
        <w:t>底止</w:t>
      </w:r>
      <w:r w:rsidRPr="00B45ED6">
        <w:rPr>
          <w:rFonts w:hint="eastAsia"/>
        </w:rPr>
        <w:t>仍有4家醫院預算保留時間達4年至5年(詳表2)，包括樂生療養院</w:t>
      </w:r>
      <w:r w:rsidR="00A26234">
        <w:rPr>
          <w:rFonts w:hint="eastAsia"/>
        </w:rPr>
        <w:t>(</w:t>
      </w:r>
      <w:r w:rsidRPr="00B45ED6">
        <w:rPr>
          <w:rFonts w:hint="eastAsia"/>
        </w:rPr>
        <w:t>107至109年度</w:t>
      </w:r>
      <w:r w:rsidR="00A26234">
        <w:rPr>
          <w:rFonts w:hint="eastAsia"/>
        </w:rPr>
        <w:t>)</w:t>
      </w:r>
      <w:r w:rsidRPr="00B45ED6">
        <w:rPr>
          <w:rFonts w:hint="eastAsia"/>
        </w:rPr>
        <w:t>、南投醫院</w:t>
      </w:r>
      <w:r w:rsidR="00A26234">
        <w:rPr>
          <w:rFonts w:hint="eastAsia"/>
        </w:rPr>
        <w:t>(</w:t>
      </w:r>
      <w:r w:rsidRPr="00B45ED6">
        <w:rPr>
          <w:rFonts w:hint="eastAsia"/>
        </w:rPr>
        <w:t>107及108年度</w:t>
      </w:r>
      <w:r w:rsidR="00A26234">
        <w:rPr>
          <w:rFonts w:hint="eastAsia"/>
        </w:rPr>
        <w:t>)</w:t>
      </w:r>
      <w:r w:rsidRPr="00B45ED6">
        <w:rPr>
          <w:rFonts w:hint="eastAsia"/>
        </w:rPr>
        <w:t>、以及旗山醫院及桃園醫院</w:t>
      </w:r>
      <w:r w:rsidR="00A26234">
        <w:rPr>
          <w:rFonts w:hint="eastAsia"/>
        </w:rPr>
        <w:t>(</w:t>
      </w:r>
      <w:r w:rsidRPr="00B45ED6">
        <w:rPr>
          <w:rFonts w:hint="eastAsia"/>
        </w:rPr>
        <w:t>108至110年度</w:t>
      </w:r>
      <w:r w:rsidR="00A26234">
        <w:rPr>
          <w:rFonts w:hint="eastAsia"/>
        </w:rPr>
        <w:t>)</w:t>
      </w:r>
      <w:r w:rsidRPr="00B45ED6">
        <w:rPr>
          <w:rFonts w:hint="eastAsia"/>
        </w:rPr>
        <w:t>編列之預算，截至111年度仍予保留，顯示該基金固定資產建設改良擴充計畫之預算執行仍有檢討空間，允宜積極改善，俾提升資本計畫預算執行成效。</w:t>
      </w:r>
    </w:p>
    <w:p w:rsidR="00B45ED6" w:rsidRPr="00B45ED6" w:rsidRDefault="00B45ED6" w:rsidP="00B45ED6">
      <w:pPr>
        <w:adjustRightInd w:val="0"/>
        <w:spacing w:beforeLines="20" w:before="100" w:line="400" w:lineRule="exact"/>
        <w:ind w:leftChars="193" w:left="1284" w:hangingChars="260" w:hanging="737"/>
        <w:jc w:val="left"/>
        <w:rPr>
          <w:sz w:val="24"/>
        </w:rPr>
      </w:pPr>
      <w:r w:rsidRPr="00B45ED6">
        <w:rPr>
          <w:rFonts w:hint="eastAsia"/>
          <w:b/>
        </w:rPr>
        <w:t xml:space="preserve">表2  衛福部部立醫院固定資產建設改良擴充計畫107至110年度編列預算截至111年度仍保留預算情形表 </w:t>
      </w:r>
      <w:r w:rsidRPr="00B45ED6">
        <w:rPr>
          <w:b/>
        </w:rPr>
        <w:t xml:space="preserve"> </w:t>
      </w:r>
      <w:r w:rsidRPr="00B45ED6">
        <w:rPr>
          <w:rFonts w:hint="eastAsia"/>
          <w:sz w:val="24"/>
        </w:rPr>
        <w:t>單位：新臺幣千元</w:t>
      </w:r>
      <w:r w:rsidRPr="00B45ED6">
        <w:rPr>
          <w:b/>
        </w:rPr>
        <w:t xml:space="preserve">                   </w:t>
      </w:r>
    </w:p>
    <w:tbl>
      <w:tblPr>
        <w:tblW w:w="7980"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01"/>
        <w:gridCol w:w="1569"/>
        <w:gridCol w:w="1570"/>
        <w:gridCol w:w="1570"/>
        <w:gridCol w:w="1570"/>
      </w:tblGrid>
      <w:tr w:rsidR="00B45ED6" w:rsidRPr="00B45ED6" w:rsidTr="00B34878">
        <w:trPr>
          <w:trHeight w:val="340"/>
          <w:tblHeader/>
        </w:trPr>
        <w:tc>
          <w:tcPr>
            <w:tcW w:w="1701" w:type="dxa"/>
            <w:shd w:val="clear" w:color="auto" w:fill="auto"/>
            <w:noWrap/>
            <w:vAlign w:val="center"/>
          </w:tcPr>
          <w:p w:rsidR="00B45ED6" w:rsidRPr="00B45ED6" w:rsidRDefault="00B45ED6" w:rsidP="00B45ED6">
            <w:pPr>
              <w:spacing w:line="280" w:lineRule="exact"/>
              <w:ind w:leftChars="0" w:left="0" w:firstLineChars="0" w:firstLine="0"/>
              <w:jc w:val="center"/>
              <w:rPr>
                <w:b/>
                <w:snapToGrid/>
                <w:sz w:val="24"/>
              </w:rPr>
            </w:pPr>
            <w:r w:rsidRPr="00B45ED6">
              <w:rPr>
                <w:rFonts w:hint="eastAsia"/>
                <w:b/>
                <w:snapToGrid/>
                <w:sz w:val="24"/>
              </w:rPr>
              <w:t>預算編列年度</w:t>
            </w:r>
          </w:p>
        </w:tc>
        <w:tc>
          <w:tcPr>
            <w:tcW w:w="1569" w:type="dxa"/>
            <w:shd w:val="clear" w:color="auto" w:fill="auto"/>
            <w:noWrap/>
            <w:vAlign w:val="center"/>
          </w:tcPr>
          <w:p w:rsidR="00B45ED6" w:rsidRPr="00B45ED6" w:rsidRDefault="00B45ED6" w:rsidP="00B45ED6">
            <w:pPr>
              <w:spacing w:line="280" w:lineRule="exact"/>
              <w:ind w:leftChars="0" w:left="0" w:firstLineChars="0" w:firstLine="0"/>
              <w:jc w:val="center"/>
              <w:rPr>
                <w:b/>
                <w:snapToGrid/>
                <w:sz w:val="24"/>
              </w:rPr>
            </w:pPr>
            <w:r w:rsidRPr="00B45ED6">
              <w:rPr>
                <w:rFonts w:hint="eastAsia"/>
                <w:b/>
                <w:snapToGrid/>
                <w:sz w:val="24"/>
              </w:rPr>
              <w:t>107</w:t>
            </w:r>
          </w:p>
        </w:tc>
        <w:tc>
          <w:tcPr>
            <w:tcW w:w="1570" w:type="dxa"/>
            <w:shd w:val="clear" w:color="auto" w:fill="auto"/>
            <w:vAlign w:val="center"/>
          </w:tcPr>
          <w:p w:rsidR="00B45ED6" w:rsidRPr="00B45ED6" w:rsidRDefault="00B45ED6" w:rsidP="00B45ED6">
            <w:pPr>
              <w:spacing w:line="280" w:lineRule="exact"/>
              <w:ind w:leftChars="0" w:left="0" w:firstLineChars="0" w:firstLine="0"/>
              <w:jc w:val="center"/>
              <w:rPr>
                <w:b/>
                <w:snapToGrid/>
                <w:sz w:val="24"/>
              </w:rPr>
            </w:pPr>
            <w:r w:rsidRPr="00B45ED6">
              <w:rPr>
                <w:rFonts w:hint="eastAsia"/>
                <w:b/>
                <w:snapToGrid/>
                <w:sz w:val="24"/>
              </w:rPr>
              <w:t>108</w:t>
            </w:r>
          </w:p>
        </w:tc>
        <w:tc>
          <w:tcPr>
            <w:tcW w:w="1570" w:type="dxa"/>
            <w:shd w:val="clear" w:color="auto" w:fill="auto"/>
            <w:vAlign w:val="center"/>
          </w:tcPr>
          <w:p w:rsidR="00B45ED6" w:rsidRPr="00B45ED6" w:rsidRDefault="00B45ED6" w:rsidP="00B45ED6">
            <w:pPr>
              <w:spacing w:line="280" w:lineRule="exact"/>
              <w:ind w:leftChars="0" w:left="0" w:firstLineChars="0" w:firstLine="0"/>
              <w:jc w:val="center"/>
              <w:rPr>
                <w:b/>
                <w:snapToGrid/>
                <w:sz w:val="24"/>
              </w:rPr>
            </w:pPr>
            <w:r w:rsidRPr="00B45ED6">
              <w:rPr>
                <w:rFonts w:hint="eastAsia"/>
                <w:b/>
                <w:snapToGrid/>
                <w:sz w:val="24"/>
              </w:rPr>
              <w:t>109</w:t>
            </w:r>
          </w:p>
        </w:tc>
        <w:tc>
          <w:tcPr>
            <w:tcW w:w="1570" w:type="dxa"/>
            <w:shd w:val="clear" w:color="auto" w:fill="auto"/>
            <w:vAlign w:val="center"/>
          </w:tcPr>
          <w:p w:rsidR="00B45ED6" w:rsidRPr="00B45ED6" w:rsidRDefault="00B45ED6" w:rsidP="00B45ED6">
            <w:pPr>
              <w:spacing w:line="280" w:lineRule="exact"/>
              <w:ind w:leftChars="0" w:left="0" w:firstLineChars="0" w:firstLine="0"/>
              <w:jc w:val="center"/>
              <w:rPr>
                <w:b/>
                <w:snapToGrid/>
                <w:sz w:val="24"/>
              </w:rPr>
            </w:pPr>
            <w:r w:rsidRPr="00B45ED6">
              <w:rPr>
                <w:rFonts w:hint="eastAsia"/>
                <w:b/>
                <w:snapToGrid/>
                <w:sz w:val="24"/>
              </w:rPr>
              <w:t>110</w:t>
            </w:r>
          </w:p>
        </w:tc>
      </w:tr>
      <w:tr w:rsidR="00B45ED6" w:rsidRPr="00B45ED6" w:rsidTr="00B34878">
        <w:trPr>
          <w:trHeight w:val="340"/>
        </w:trPr>
        <w:tc>
          <w:tcPr>
            <w:tcW w:w="1701" w:type="dxa"/>
            <w:shd w:val="clear" w:color="auto" w:fill="auto"/>
            <w:noWrap/>
            <w:vAlign w:val="center"/>
          </w:tcPr>
          <w:p w:rsidR="00B45ED6" w:rsidRPr="00B45ED6" w:rsidRDefault="00B45ED6" w:rsidP="00B45ED6">
            <w:pPr>
              <w:spacing w:line="280" w:lineRule="exact"/>
              <w:ind w:leftChars="0" w:left="0" w:firstLineChars="0" w:firstLine="0"/>
              <w:jc w:val="left"/>
              <w:rPr>
                <w:snapToGrid/>
                <w:sz w:val="24"/>
              </w:rPr>
            </w:pPr>
            <w:r w:rsidRPr="00B45ED6">
              <w:rPr>
                <w:rFonts w:hint="eastAsia"/>
                <w:snapToGrid/>
                <w:sz w:val="24"/>
              </w:rPr>
              <w:t>樂生療養院</w:t>
            </w:r>
          </w:p>
        </w:tc>
        <w:tc>
          <w:tcPr>
            <w:tcW w:w="1569" w:type="dxa"/>
            <w:shd w:val="clear" w:color="auto" w:fill="auto"/>
            <w:noWrap/>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8,000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11</w:t>
            </w:r>
            <w:r w:rsidRPr="00B45ED6">
              <w:rPr>
                <w:snapToGrid/>
                <w:sz w:val="24"/>
              </w:rPr>
              <w:t>,</w:t>
            </w:r>
            <w:r w:rsidRPr="00B45ED6">
              <w:rPr>
                <w:rFonts w:hint="eastAsia"/>
                <w:snapToGrid/>
                <w:sz w:val="24"/>
              </w:rPr>
              <w:t xml:space="preserve">372 </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3</w:t>
            </w:r>
            <w:r w:rsidRPr="00B45ED6">
              <w:rPr>
                <w:snapToGrid/>
                <w:sz w:val="24"/>
              </w:rPr>
              <w:t>3</w:t>
            </w:r>
            <w:r w:rsidRPr="00B45ED6">
              <w:rPr>
                <w:rFonts w:hint="eastAsia"/>
                <w:snapToGrid/>
                <w:sz w:val="24"/>
              </w:rPr>
              <w:t>0,</w:t>
            </w:r>
            <w:r w:rsidRPr="00B45ED6">
              <w:rPr>
                <w:snapToGrid/>
                <w:sz w:val="24"/>
              </w:rPr>
              <w:t>000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w:t>
            </w:r>
          </w:p>
        </w:tc>
      </w:tr>
      <w:tr w:rsidR="00B45ED6" w:rsidRPr="00B45ED6" w:rsidTr="00B34878">
        <w:trPr>
          <w:trHeight w:val="340"/>
        </w:trPr>
        <w:tc>
          <w:tcPr>
            <w:tcW w:w="1701" w:type="dxa"/>
            <w:shd w:val="clear" w:color="auto" w:fill="auto"/>
            <w:noWrap/>
            <w:vAlign w:val="center"/>
          </w:tcPr>
          <w:p w:rsidR="00B45ED6" w:rsidRPr="00B45ED6" w:rsidRDefault="00B45ED6" w:rsidP="00B45ED6">
            <w:pPr>
              <w:spacing w:line="280" w:lineRule="exact"/>
              <w:ind w:leftChars="0" w:left="0" w:firstLineChars="0" w:firstLine="0"/>
              <w:jc w:val="left"/>
              <w:rPr>
                <w:snapToGrid/>
                <w:sz w:val="24"/>
              </w:rPr>
            </w:pPr>
            <w:r w:rsidRPr="00B45ED6">
              <w:rPr>
                <w:rFonts w:hint="eastAsia"/>
                <w:snapToGrid/>
                <w:sz w:val="24"/>
              </w:rPr>
              <w:t>旗山醫院</w:t>
            </w:r>
          </w:p>
        </w:tc>
        <w:tc>
          <w:tcPr>
            <w:tcW w:w="1569" w:type="dxa"/>
            <w:shd w:val="clear" w:color="auto" w:fill="auto"/>
            <w:noWrap/>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9</w:t>
            </w:r>
            <w:r w:rsidRPr="00B45ED6">
              <w:rPr>
                <w:rFonts w:hint="eastAsia"/>
                <w:snapToGrid/>
                <w:sz w:val="24"/>
              </w:rPr>
              <w:t>,</w:t>
            </w:r>
            <w:r w:rsidRPr="00B45ED6">
              <w:rPr>
                <w:snapToGrid/>
                <w:sz w:val="24"/>
              </w:rPr>
              <w:t>592</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27</w:t>
            </w:r>
            <w:r w:rsidRPr="00B45ED6">
              <w:rPr>
                <w:rFonts w:hint="eastAsia"/>
                <w:snapToGrid/>
                <w:sz w:val="24"/>
              </w:rPr>
              <w:t>,</w:t>
            </w:r>
            <w:r w:rsidRPr="00B45ED6">
              <w:rPr>
                <w:snapToGrid/>
                <w:sz w:val="24"/>
              </w:rPr>
              <w:t>680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14</w:t>
            </w:r>
            <w:r w:rsidRPr="00B45ED6">
              <w:rPr>
                <w:rFonts w:hint="eastAsia"/>
                <w:snapToGrid/>
                <w:sz w:val="24"/>
              </w:rPr>
              <w:t>,</w:t>
            </w:r>
            <w:r w:rsidRPr="00B45ED6">
              <w:rPr>
                <w:snapToGrid/>
                <w:sz w:val="24"/>
              </w:rPr>
              <w:t>400</w:t>
            </w:r>
          </w:p>
        </w:tc>
      </w:tr>
      <w:tr w:rsidR="00B45ED6" w:rsidRPr="00B45ED6" w:rsidTr="00B34878">
        <w:trPr>
          <w:trHeight w:val="340"/>
        </w:trPr>
        <w:tc>
          <w:tcPr>
            <w:tcW w:w="1701" w:type="dxa"/>
            <w:shd w:val="clear" w:color="auto" w:fill="auto"/>
            <w:noWrap/>
            <w:vAlign w:val="center"/>
          </w:tcPr>
          <w:p w:rsidR="00B45ED6" w:rsidRPr="00B45ED6" w:rsidRDefault="00B45ED6" w:rsidP="00B45ED6">
            <w:pPr>
              <w:spacing w:line="280" w:lineRule="exact"/>
              <w:ind w:leftChars="0" w:left="0" w:firstLineChars="0" w:firstLine="0"/>
              <w:jc w:val="left"/>
              <w:rPr>
                <w:snapToGrid/>
                <w:sz w:val="24"/>
              </w:rPr>
            </w:pPr>
            <w:r w:rsidRPr="00B45ED6">
              <w:rPr>
                <w:rFonts w:hint="eastAsia"/>
                <w:snapToGrid/>
                <w:sz w:val="24"/>
              </w:rPr>
              <w:t>南投醫院</w:t>
            </w:r>
          </w:p>
        </w:tc>
        <w:tc>
          <w:tcPr>
            <w:tcW w:w="1569" w:type="dxa"/>
            <w:shd w:val="clear" w:color="auto" w:fill="auto"/>
            <w:noWrap/>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18,658</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10,000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w:t>
            </w:r>
          </w:p>
        </w:tc>
      </w:tr>
      <w:tr w:rsidR="00B45ED6" w:rsidRPr="00B45ED6" w:rsidTr="00B34878">
        <w:trPr>
          <w:trHeight w:val="340"/>
        </w:trPr>
        <w:tc>
          <w:tcPr>
            <w:tcW w:w="1701" w:type="dxa"/>
            <w:shd w:val="clear" w:color="auto" w:fill="auto"/>
            <w:noWrap/>
            <w:vAlign w:val="center"/>
          </w:tcPr>
          <w:p w:rsidR="00B45ED6" w:rsidRPr="00B45ED6" w:rsidRDefault="00B45ED6" w:rsidP="00B45ED6">
            <w:pPr>
              <w:spacing w:line="280" w:lineRule="exact"/>
              <w:ind w:leftChars="0" w:left="1120" w:firstLineChars="0" w:hanging="1120"/>
              <w:jc w:val="left"/>
              <w:rPr>
                <w:snapToGrid/>
                <w:sz w:val="24"/>
              </w:rPr>
            </w:pPr>
            <w:r w:rsidRPr="00B45ED6">
              <w:rPr>
                <w:rFonts w:hint="eastAsia"/>
                <w:snapToGrid/>
                <w:sz w:val="24"/>
              </w:rPr>
              <w:t>桃園醫院</w:t>
            </w:r>
          </w:p>
        </w:tc>
        <w:tc>
          <w:tcPr>
            <w:tcW w:w="1569" w:type="dxa"/>
            <w:shd w:val="clear" w:color="auto" w:fill="auto"/>
            <w:noWrap/>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146</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5</w:t>
            </w:r>
            <w:r w:rsidRPr="00B45ED6">
              <w:rPr>
                <w:rFonts w:hint="eastAsia"/>
                <w:snapToGrid/>
                <w:sz w:val="24"/>
              </w:rPr>
              <w:t>,1</w:t>
            </w:r>
            <w:r w:rsidRPr="00B45ED6">
              <w:rPr>
                <w:snapToGrid/>
                <w:sz w:val="24"/>
              </w:rPr>
              <w:t>00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68</w:t>
            </w:r>
            <w:r w:rsidRPr="00B45ED6">
              <w:rPr>
                <w:rFonts w:hint="eastAsia"/>
                <w:snapToGrid/>
                <w:sz w:val="24"/>
              </w:rPr>
              <w:t>,</w:t>
            </w:r>
            <w:r w:rsidRPr="00B45ED6">
              <w:rPr>
                <w:snapToGrid/>
                <w:sz w:val="24"/>
              </w:rPr>
              <w:t>333</w:t>
            </w:r>
          </w:p>
        </w:tc>
      </w:tr>
      <w:tr w:rsidR="00B45ED6" w:rsidRPr="00B45ED6" w:rsidTr="00B34878">
        <w:trPr>
          <w:trHeight w:val="340"/>
        </w:trPr>
        <w:tc>
          <w:tcPr>
            <w:tcW w:w="1701" w:type="dxa"/>
            <w:shd w:val="clear" w:color="auto" w:fill="auto"/>
            <w:noWrap/>
            <w:vAlign w:val="center"/>
          </w:tcPr>
          <w:p w:rsidR="00B45ED6" w:rsidRPr="00B45ED6" w:rsidRDefault="00B45ED6" w:rsidP="00B45ED6">
            <w:pPr>
              <w:spacing w:line="280" w:lineRule="exact"/>
              <w:ind w:leftChars="0" w:left="1120" w:firstLineChars="0" w:hanging="1120"/>
              <w:jc w:val="left"/>
              <w:rPr>
                <w:snapToGrid/>
                <w:sz w:val="24"/>
              </w:rPr>
            </w:pPr>
            <w:r w:rsidRPr="00B45ED6">
              <w:rPr>
                <w:rFonts w:hint="eastAsia"/>
                <w:snapToGrid/>
                <w:sz w:val="24"/>
              </w:rPr>
              <w:t>合計</w:t>
            </w:r>
          </w:p>
        </w:tc>
        <w:tc>
          <w:tcPr>
            <w:tcW w:w="1569" w:type="dxa"/>
            <w:shd w:val="clear" w:color="auto" w:fill="auto"/>
            <w:noWrap/>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26</w:t>
            </w:r>
            <w:r w:rsidRPr="00B45ED6">
              <w:rPr>
                <w:rFonts w:hint="eastAsia"/>
                <w:snapToGrid/>
                <w:sz w:val="24"/>
              </w:rPr>
              <w:t>,</w:t>
            </w:r>
            <w:r w:rsidRPr="00B45ED6">
              <w:rPr>
                <w:snapToGrid/>
                <w:sz w:val="24"/>
              </w:rPr>
              <w:t>658</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31</w:t>
            </w:r>
            <w:r w:rsidRPr="00B45ED6">
              <w:rPr>
                <w:rFonts w:hint="eastAsia"/>
                <w:snapToGrid/>
                <w:sz w:val="24"/>
              </w:rPr>
              <w:t>,</w:t>
            </w:r>
            <w:r w:rsidRPr="00B45ED6">
              <w:rPr>
                <w:snapToGrid/>
                <w:sz w:val="24"/>
              </w:rPr>
              <w:t>110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rFonts w:hint="eastAsia"/>
                <w:snapToGrid/>
                <w:sz w:val="24"/>
              </w:rPr>
              <w:t>3</w:t>
            </w:r>
            <w:r w:rsidRPr="00B45ED6">
              <w:rPr>
                <w:snapToGrid/>
                <w:sz w:val="24"/>
              </w:rPr>
              <w:t>62</w:t>
            </w:r>
            <w:r w:rsidRPr="00B45ED6">
              <w:rPr>
                <w:rFonts w:hint="eastAsia"/>
                <w:snapToGrid/>
                <w:sz w:val="24"/>
              </w:rPr>
              <w:t>,</w:t>
            </w:r>
            <w:r w:rsidRPr="00B45ED6">
              <w:rPr>
                <w:snapToGrid/>
                <w:sz w:val="24"/>
              </w:rPr>
              <w:t>780</w:t>
            </w:r>
          </w:p>
        </w:tc>
        <w:tc>
          <w:tcPr>
            <w:tcW w:w="1570" w:type="dxa"/>
            <w:shd w:val="clear" w:color="auto" w:fill="auto"/>
            <w:vAlign w:val="center"/>
          </w:tcPr>
          <w:p w:rsidR="00B45ED6" w:rsidRPr="00B45ED6" w:rsidRDefault="00B45ED6" w:rsidP="00B45ED6">
            <w:pPr>
              <w:spacing w:line="280" w:lineRule="exact"/>
              <w:ind w:leftChars="0" w:left="0" w:firstLineChars="0" w:firstLine="0"/>
              <w:jc w:val="right"/>
              <w:rPr>
                <w:snapToGrid/>
                <w:sz w:val="24"/>
              </w:rPr>
            </w:pPr>
            <w:r w:rsidRPr="00B45ED6">
              <w:rPr>
                <w:snapToGrid/>
                <w:sz w:val="24"/>
              </w:rPr>
              <w:t>82</w:t>
            </w:r>
            <w:r w:rsidRPr="00B45ED6">
              <w:rPr>
                <w:rFonts w:hint="eastAsia"/>
                <w:snapToGrid/>
                <w:sz w:val="24"/>
              </w:rPr>
              <w:t>,</w:t>
            </w:r>
            <w:r w:rsidRPr="00B45ED6">
              <w:rPr>
                <w:snapToGrid/>
                <w:sz w:val="24"/>
              </w:rPr>
              <w:t>733</w:t>
            </w:r>
          </w:p>
        </w:tc>
      </w:tr>
    </w:tbl>
    <w:p w:rsidR="00B45ED6" w:rsidRPr="00B45ED6" w:rsidRDefault="00B45ED6" w:rsidP="00B45ED6">
      <w:pPr>
        <w:spacing w:line="280" w:lineRule="exact"/>
        <w:ind w:leftChars="201" w:left="1785" w:hangingChars="500" w:hanging="1216"/>
        <w:jc w:val="left"/>
        <w:rPr>
          <w:sz w:val="24"/>
        </w:rPr>
      </w:pPr>
      <w:r w:rsidRPr="00B45ED6">
        <w:rPr>
          <w:rFonts w:hAnsi="標楷體" w:hint="eastAsia"/>
          <w:sz w:val="24"/>
        </w:rPr>
        <w:t>資料來源：審計部查核衛生福利部醫療藥品基金111年度財務收支及決算之審核通知事項。</w:t>
      </w:r>
    </w:p>
    <w:p w:rsidR="00333D44" w:rsidRPr="00333D44" w:rsidRDefault="00B45ED6" w:rsidP="00D73087">
      <w:pPr>
        <w:ind w:left="566" w:firstLine="566"/>
        <w:rPr>
          <w:lang w:eastAsia="zh-HK"/>
        </w:rPr>
      </w:pPr>
      <w:r w:rsidRPr="00B45ED6">
        <w:rPr>
          <w:rFonts w:hAnsi="標楷體" w:hint="eastAsia"/>
          <w:color w:val="000000"/>
        </w:rPr>
        <w:t>綜上，111年度醫療藥品基金固定資產改良擴充計畫預算執行率僅為59</w:t>
      </w:r>
      <w:r w:rsidRPr="00B45ED6">
        <w:rPr>
          <w:rFonts w:hAnsi="標楷體"/>
          <w:color w:val="000000"/>
        </w:rPr>
        <w:t>.</w:t>
      </w:r>
      <w:r w:rsidRPr="00B45ED6">
        <w:rPr>
          <w:rFonts w:hAnsi="標楷體" w:hint="eastAsia"/>
          <w:color w:val="000000"/>
        </w:rPr>
        <w:t>51</w:t>
      </w:r>
      <w:r w:rsidRPr="00B45ED6">
        <w:rPr>
          <w:rFonts w:hAnsi="標楷體"/>
          <w:color w:val="000000"/>
        </w:rPr>
        <w:t>%</w:t>
      </w:r>
      <w:r w:rsidRPr="00B45ED6">
        <w:rPr>
          <w:rFonts w:hAnsi="標楷體" w:hint="eastAsia"/>
          <w:color w:val="000000"/>
        </w:rPr>
        <w:t>，執行率偏低，恐影響原規劃固定資產可提供醫療量能之期程及效益，允宜積極檢討改善，俾提升預算執行成效。</w:t>
      </w:r>
    </w:p>
    <w:bookmarkEnd w:id="67"/>
    <w:bookmarkEnd w:id="68"/>
    <w:bookmarkEnd w:id="69"/>
    <w:bookmarkEnd w:id="70"/>
    <w:bookmarkEnd w:id="71"/>
    <w:bookmarkEnd w:id="72"/>
    <w:bookmarkEnd w:id="73"/>
    <w:bookmarkEnd w:id="74"/>
    <w:bookmarkEnd w:id="75"/>
    <w:bookmarkEnd w:id="76"/>
    <w:p w:rsidR="00166061" w:rsidRDefault="00166061" w:rsidP="00166061">
      <w:pPr>
        <w:pStyle w:val="ad"/>
        <w:ind w:left="566" w:firstLine="566"/>
      </w:pPr>
      <w:r w:rsidRPr="00A128BE">
        <w:rPr>
          <w:rFonts w:hint="eastAsia"/>
        </w:rPr>
        <w:t>（分機：19</w:t>
      </w:r>
      <w:r w:rsidR="00D73087">
        <w:rPr>
          <w:rFonts w:hint="eastAsia"/>
        </w:rPr>
        <w:t>2</w:t>
      </w:r>
      <w:r w:rsidR="00E70171">
        <w:t>5</w:t>
      </w:r>
      <w:r w:rsidRPr="00A128BE">
        <w:rPr>
          <w:rFonts w:hint="eastAsia"/>
        </w:rPr>
        <w:t xml:space="preserve"> </w:t>
      </w:r>
      <w:r w:rsidR="00D73087" w:rsidRPr="00D73087">
        <w:rPr>
          <w:rFonts w:hint="eastAsia"/>
        </w:rPr>
        <w:t>賴欣憶</w:t>
      </w:r>
      <w:r w:rsidRPr="00A128BE">
        <w:rPr>
          <w:rFonts w:hint="eastAsia"/>
        </w:rPr>
        <w:t>）</w:t>
      </w: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166061"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E734D8" w:rsidRPr="00E734D8">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 w:id="1">
    <w:p w:rsidR="00B45ED6" w:rsidRDefault="00B45ED6" w:rsidP="00B45ED6">
      <w:pPr>
        <w:pStyle w:val="142"/>
        <w:ind w:left="224" w:hangingChars="92" w:hanging="224"/>
      </w:pPr>
      <w:r>
        <w:rPr>
          <w:rStyle w:val="affb"/>
        </w:rPr>
        <w:footnoteRef/>
      </w:r>
      <w:r>
        <w:rPr>
          <w:rFonts w:hint="eastAsia"/>
        </w:rPr>
        <w:t xml:space="preserve"> 110年度決算數13</w:t>
      </w:r>
      <w:r w:rsidRPr="00A876D9">
        <w:rPr>
          <w:rFonts w:hint="eastAsia"/>
        </w:rPr>
        <w:t>億</w:t>
      </w:r>
      <w:r>
        <w:rPr>
          <w:rFonts w:hint="eastAsia"/>
        </w:rPr>
        <w:t>8</w:t>
      </w:r>
      <w:r w:rsidRPr="00A876D9">
        <w:rPr>
          <w:rFonts w:hint="eastAsia"/>
        </w:rPr>
        <w:t>,</w:t>
      </w:r>
      <w:r>
        <w:rPr>
          <w:rFonts w:hint="eastAsia"/>
        </w:rPr>
        <w:t>188</w:t>
      </w:r>
      <w:r w:rsidRPr="00A876D9">
        <w:rPr>
          <w:rFonts w:hint="eastAsia"/>
        </w:rPr>
        <w:t>萬</w:t>
      </w:r>
      <w:r>
        <w:rPr>
          <w:rFonts w:hint="eastAsia"/>
        </w:rPr>
        <w:t>4</w:t>
      </w:r>
      <w:r w:rsidRPr="00A876D9">
        <w:rPr>
          <w:rFonts w:hint="eastAsia"/>
        </w:rPr>
        <w:t>千元</w:t>
      </w:r>
      <w:r>
        <w:rPr>
          <w:rFonts w:hint="eastAsia"/>
        </w:rPr>
        <w:t>，占可用預算數24</w:t>
      </w:r>
      <w:r w:rsidRPr="00A876D9">
        <w:rPr>
          <w:rFonts w:hint="eastAsia"/>
        </w:rPr>
        <w:t>億</w:t>
      </w:r>
      <w:r>
        <w:rPr>
          <w:rFonts w:hint="eastAsia"/>
        </w:rPr>
        <w:t>5</w:t>
      </w:r>
      <w:r w:rsidRPr="00A876D9">
        <w:rPr>
          <w:rFonts w:hint="eastAsia"/>
        </w:rPr>
        <w:t>,</w:t>
      </w:r>
      <w:r>
        <w:rPr>
          <w:rFonts w:hint="eastAsia"/>
        </w:rPr>
        <w:t>482</w:t>
      </w:r>
      <w:r w:rsidRPr="00A876D9">
        <w:rPr>
          <w:rFonts w:hint="eastAsia"/>
        </w:rPr>
        <w:t>萬</w:t>
      </w:r>
      <w:r>
        <w:rPr>
          <w:rFonts w:hint="eastAsia"/>
        </w:rPr>
        <w:t>4</w:t>
      </w:r>
      <w:r w:rsidRPr="00A876D9">
        <w:rPr>
          <w:rFonts w:hint="eastAsia"/>
        </w:rPr>
        <w:t>千元</w:t>
      </w:r>
      <w:r>
        <w:rPr>
          <w:rFonts w:hint="eastAsia"/>
        </w:rPr>
        <w:t>之56.29%。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4EAD"/>
    <w:rsid w:val="00DF5A06"/>
    <w:rsid w:val="00DF5A57"/>
    <w:rsid w:val="00DF6F35"/>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34D8"/>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63C6986-7651-438D-802E-1D403763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6E3F1-AA90-4043-AEEB-31E8FE16B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Pages>
  <Words>340</Words>
  <Characters>1941</Characters>
  <Application>Microsoft Office Word</Application>
  <DocSecurity>0</DocSecurity>
  <Lines>16</Lines>
  <Paragraphs>4</Paragraphs>
  <ScaleCrop>false</ScaleCrop>
  <Company/>
  <LinksUpToDate>false</LinksUpToDate>
  <CharactersWithSpaces>2277</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