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641751" w:rsidRPr="00E921F3">
        <w:rPr>
          <w:color w:val="000000"/>
          <w:spacing w:val="-8"/>
        </w:rPr>
        <w:t>1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Default="00166061" w:rsidP="00166061">
      <w:pPr>
        <w:pStyle w:val="14"/>
        <w:ind w:left="567" w:hanging="567"/>
      </w:pPr>
      <w:bookmarkStart w:id="49" w:name="_Toc244077098"/>
      <w:bookmarkStart w:id="50" w:name="_Toc277320885"/>
      <w:bookmarkStart w:id="51" w:name="_Toc307401487"/>
      <w:bookmarkStart w:id="52" w:name="_Toc59936198"/>
      <w:bookmarkStart w:id="53" w:name="_Toc95221489"/>
      <w:bookmarkStart w:id="54" w:name="_Toc95226355"/>
      <w:bookmarkStart w:id="55" w:name="_Toc123102824"/>
      <w:bookmarkStart w:id="56" w:name="_Toc194832949"/>
      <w:bookmarkStart w:id="57" w:name="_Toc307401489"/>
      <w:bookmarkStart w:id="58" w:name="_Toc276483812"/>
      <w:bookmarkStart w:id="59" w:name="_Toc336245131"/>
      <w:bookmarkStart w:id="60" w:name="_Toc399610184"/>
      <w:bookmarkStart w:id="61" w:name="_Toc434496936"/>
      <w:bookmarkStart w:id="62" w:name="_Toc130020512"/>
      <w:bookmarkStart w:id="63" w:name="_Toc462403231"/>
      <w:bookmarkStart w:id="64" w:name="_Toc463284592"/>
      <w:bookmarkStart w:id="65" w:name="_Toc464724367"/>
      <w:bookmarkStart w:id="66" w:name="_Toc90019289"/>
      <w:bookmarkStart w:id="67" w:name="_Toc163570525"/>
      <w:r>
        <w:rPr>
          <w:rFonts w:hint="eastAsia"/>
          <w:lang w:eastAsia="zh-HK"/>
        </w:rPr>
        <w:t>二</w:t>
      </w:r>
      <w:r>
        <w:rPr>
          <w:rFonts w:hint="eastAsia"/>
        </w:rPr>
        <w:t>、</w:t>
      </w:r>
      <w:bookmarkEnd w:id="66"/>
      <w:r w:rsidR="00E70171" w:rsidRPr="00E70171">
        <w:rPr>
          <w:rFonts w:hint="eastAsia"/>
        </w:rPr>
        <w:t>1</w:t>
      </w:r>
      <w:r w:rsidR="00045648" w:rsidRPr="00045648">
        <w:rPr>
          <w:rFonts w:hint="eastAsia"/>
        </w:rPr>
        <w:t>11年度購建固定資產預算執行率偏低，部分預算保留甚逾2年，亟待積極辦理，俾提升預算執行成效</w:t>
      </w:r>
      <w:bookmarkEnd w:id="67"/>
    </w:p>
    <w:p w:rsidR="00E70171" w:rsidRPr="004B4DF9" w:rsidRDefault="00E70171" w:rsidP="00E70171">
      <w:pPr>
        <w:ind w:left="566" w:firstLine="566"/>
        <w:rPr>
          <w:snapToGrid/>
          <w:color w:val="000000"/>
        </w:rPr>
      </w:pPr>
      <w:r w:rsidRPr="004B4DF9">
        <w:rPr>
          <w:rFonts w:hint="eastAsia"/>
          <w:color w:val="000000"/>
        </w:rPr>
        <w:t>管</w:t>
      </w:r>
      <w:r w:rsidR="00C95718" w:rsidRPr="00C95718">
        <w:rPr>
          <w:rFonts w:hint="eastAsia"/>
          <w:color w:val="000000"/>
        </w:rPr>
        <w:t>制藥品製藥工廠作業基金(下稱製藥工廠基金)111年度固定資產建設改良擴充計畫之一般建築及設備計畫可用預算數2億2,064萬8千元，執行結果，決算數1,782萬2千元，整體預算執行率僅8.08%。經查</w:t>
      </w:r>
      <w:r w:rsidRPr="004B4DF9">
        <w:rPr>
          <w:rFonts w:hint="eastAsia"/>
          <w:color w:val="000000"/>
        </w:rPr>
        <w:t>：</w:t>
      </w:r>
    </w:p>
    <w:p w:rsidR="001B5E1D" w:rsidRPr="00A87B40" w:rsidRDefault="001B5E1D" w:rsidP="00A87B40">
      <w:pPr>
        <w:pStyle w:val="a5"/>
        <w:ind w:left="849" w:hanging="283"/>
        <w:rPr>
          <w:b/>
        </w:rPr>
      </w:pPr>
      <w:r w:rsidRPr="00A87B40">
        <w:rPr>
          <w:rFonts w:hint="eastAsia"/>
          <w:b/>
        </w:rPr>
        <w:t>(一)111年度固定資產預算執行率僅8.08%，遠低於109及110年度</w:t>
      </w:r>
    </w:p>
    <w:p w:rsidR="001B5E1D" w:rsidRPr="001B5E1D" w:rsidRDefault="001B5E1D" w:rsidP="00A87B40">
      <w:pPr>
        <w:pStyle w:val="21"/>
        <w:ind w:left="850" w:firstLine="566"/>
        <w:rPr>
          <w:sz w:val="24"/>
          <w:szCs w:val="24"/>
        </w:rPr>
      </w:pPr>
      <w:r w:rsidRPr="001B5E1D">
        <w:rPr>
          <w:rFonts w:hint="eastAsia"/>
        </w:rPr>
        <w:t>管制藥品製藥工廠於新廠落成及舊廠整建後，為運用產能空間及落實國藥國造，規劃擴充自製產品類別，逐步添購膠囊劑、液劑、貼片劑等生產相關機械設備，並建置符合PIC</w:t>
      </w:r>
      <w:r w:rsidRPr="001B5E1D">
        <w:t>/</w:t>
      </w:r>
      <w:r w:rsidRPr="001B5E1D">
        <w:rPr>
          <w:rFonts w:hint="eastAsia"/>
        </w:rPr>
        <w:t>S</w:t>
      </w:r>
      <w:r w:rsidRPr="001B5E1D">
        <w:t xml:space="preserve"> </w:t>
      </w:r>
      <w:r w:rsidRPr="001B5E1D">
        <w:rPr>
          <w:rFonts w:hint="eastAsia"/>
        </w:rPr>
        <w:t>GMP規範之生產環境。惟該廠111年度固定資產建設改良擴充計畫之可用預算數2億2</w:t>
      </w:r>
      <w:r w:rsidRPr="001B5E1D">
        <w:t>,064</w:t>
      </w:r>
      <w:r w:rsidRPr="001B5E1D">
        <w:rPr>
          <w:rFonts w:hint="eastAsia"/>
        </w:rPr>
        <w:t>萬7千元，決算數1,</w:t>
      </w:r>
      <w:r w:rsidRPr="001B5E1D">
        <w:t>782</w:t>
      </w:r>
      <w:r w:rsidRPr="001B5E1D">
        <w:rPr>
          <w:rFonts w:hint="eastAsia"/>
        </w:rPr>
        <w:t>萬1千元，決算數僅占可用預算數之8.08%，遠低於109年度之71.96%及110年度之30.70%(詳表1)。</w:t>
      </w:r>
    </w:p>
    <w:p w:rsidR="001B5E1D" w:rsidRPr="001B5E1D" w:rsidRDefault="001B5E1D" w:rsidP="001B5E1D">
      <w:pPr>
        <w:adjustRightInd w:val="0"/>
        <w:spacing w:beforeLines="20" w:before="100" w:line="400" w:lineRule="exact"/>
        <w:ind w:leftChars="80" w:left="1415" w:hangingChars="419" w:hanging="1188"/>
        <w:rPr>
          <w:b/>
          <w:sz w:val="24"/>
        </w:rPr>
      </w:pPr>
      <w:r w:rsidRPr="001B5E1D">
        <w:rPr>
          <w:rFonts w:hint="eastAsia"/>
          <w:b/>
        </w:rPr>
        <w:t>表1 109至111年度製藥工廠固定資產建設改良擴充計畫執行情形表</w:t>
      </w:r>
    </w:p>
    <w:p w:rsidR="001B5E1D" w:rsidRPr="001B5E1D" w:rsidRDefault="001B5E1D" w:rsidP="001B5E1D">
      <w:pPr>
        <w:spacing w:line="300" w:lineRule="exact"/>
        <w:ind w:leftChars="80" w:left="505" w:right="57" w:firstLineChars="0" w:hanging="278"/>
        <w:jc w:val="right"/>
        <w:rPr>
          <w:sz w:val="24"/>
        </w:rPr>
      </w:pPr>
      <w:r w:rsidRPr="001B5E1D">
        <w:rPr>
          <w:rFonts w:hint="eastAsia"/>
          <w:sz w:val="24"/>
        </w:rPr>
        <w:t xml:space="preserve">     單位：新臺幣千元</w:t>
      </w:r>
      <w:r w:rsidRPr="001B5E1D">
        <w:rPr>
          <w:rFonts w:hAnsi="標楷體" w:hint="eastAsia"/>
          <w:sz w:val="24"/>
        </w:rPr>
        <w:t>；</w:t>
      </w:r>
      <w:r w:rsidRPr="001B5E1D">
        <w:rPr>
          <w:rFonts w:hint="eastAsia"/>
          <w:sz w:val="24"/>
        </w:rPr>
        <w:t>%</w:t>
      </w:r>
    </w:p>
    <w:tbl>
      <w:tblPr>
        <w:tblW w:w="8234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8"/>
        <w:gridCol w:w="1560"/>
        <w:gridCol w:w="1855"/>
        <w:gridCol w:w="1701"/>
      </w:tblGrid>
      <w:tr w:rsidR="001B5E1D" w:rsidRPr="001B5E1D" w:rsidTr="00B34878">
        <w:trPr>
          <w:trHeight w:val="340"/>
          <w:tblHeader/>
        </w:trPr>
        <w:tc>
          <w:tcPr>
            <w:tcW w:w="3118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center"/>
              <w:rPr>
                <w:b/>
                <w:snapToGrid/>
                <w:sz w:val="24"/>
              </w:rPr>
            </w:pPr>
            <w:r w:rsidRPr="001B5E1D">
              <w:rPr>
                <w:rFonts w:hint="eastAsia"/>
                <w:b/>
                <w:snapToGrid/>
                <w:sz w:val="24"/>
              </w:rPr>
              <w:t>年度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center"/>
              <w:rPr>
                <w:b/>
                <w:snapToGrid/>
                <w:sz w:val="24"/>
              </w:rPr>
            </w:pPr>
            <w:r w:rsidRPr="001B5E1D">
              <w:rPr>
                <w:rFonts w:hint="eastAsia"/>
                <w:b/>
                <w:snapToGrid/>
                <w:sz w:val="24"/>
              </w:rPr>
              <w:t>109</w:t>
            </w:r>
          </w:p>
        </w:tc>
        <w:tc>
          <w:tcPr>
            <w:tcW w:w="1855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center"/>
              <w:rPr>
                <w:b/>
                <w:snapToGrid/>
                <w:sz w:val="24"/>
              </w:rPr>
            </w:pPr>
            <w:r w:rsidRPr="001B5E1D">
              <w:rPr>
                <w:rFonts w:hint="eastAsia"/>
                <w:b/>
                <w:snapToGrid/>
                <w:sz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center"/>
              <w:rPr>
                <w:b/>
                <w:snapToGrid/>
                <w:sz w:val="24"/>
              </w:rPr>
            </w:pPr>
            <w:r w:rsidRPr="001B5E1D">
              <w:rPr>
                <w:rFonts w:hint="eastAsia"/>
                <w:b/>
                <w:snapToGrid/>
                <w:sz w:val="24"/>
              </w:rPr>
              <w:t>111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當年度預算數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34,892</w:t>
            </w:r>
          </w:p>
        </w:tc>
        <w:tc>
          <w:tcPr>
            <w:tcW w:w="1855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157,862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100,720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以前年度轉入數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138,057</w:t>
            </w:r>
          </w:p>
        </w:tc>
        <w:tc>
          <w:tcPr>
            <w:tcW w:w="1855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48</w:t>
            </w:r>
            <w:r w:rsidRPr="001B5E1D">
              <w:rPr>
                <w:snapToGrid/>
                <w:sz w:val="24"/>
              </w:rPr>
              <w:t>,</w:t>
            </w:r>
            <w:r w:rsidRPr="001B5E1D">
              <w:rPr>
                <w:rFonts w:hint="eastAsia"/>
                <w:snapToGrid/>
                <w:sz w:val="24"/>
              </w:rPr>
              <w:t>422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80" w:left="227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119</w:t>
            </w:r>
            <w:r w:rsidRPr="001B5E1D">
              <w:rPr>
                <w:rFonts w:hint="eastAsia"/>
                <w:snapToGrid/>
                <w:sz w:val="24"/>
              </w:rPr>
              <w:t>,</w:t>
            </w:r>
            <w:r w:rsidRPr="001B5E1D">
              <w:rPr>
                <w:snapToGrid/>
                <w:sz w:val="24"/>
              </w:rPr>
              <w:t>927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 xml:space="preserve">合計(可用預算數) 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172,949</w:t>
            </w:r>
          </w:p>
        </w:tc>
        <w:tc>
          <w:tcPr>
            <w:tcW w:w="1855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206</w:t>
            </w:r>
            <w:r w:rsidRPr="001B5E1D">
              <w:rPr>
                <w:rFonts w:hint="eastAsia"/>
                <w:snapToGrid/>
                <w:sz w:val="24"/>
              </w:rPr>
              <w:t>,</w:t>
            </w:r>
            <w:r w:rsidRPr="001B5E1D">
              <w:rPr>
                <w:snapToGrid/>
                <w:sz w:val="24"/>
              </w:rPr>
              <w:t>284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220</w:t>
            </w:r>
            <w:r w:rsidRPr="001B5E1D">
              <w:rPr>
                <w:rFonts w:hint="eastAsia"/>
                <w:snapToGrid/>
                <w:sz w:val="24"/>
              </w:rPr>
              <w:t>,</w:t>
            </w:r>
            <w:r w:rsidRPr="001B5E1D">
              <w:rPr>
                <w:snapToGrid/>
                <w:sz w:val="24"/>
              </w:rPr>
              <w:t>647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決算數</w:t>
            </w:r>
          </w:p>
        </w:tc>
        <w:tc>
          <w:tcPr>
            <w:tcW w:w="156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124,449</w:t>
            </w:r>
          </w:p>
        </w:tc>
        <w:tc>
          <w:tcPr>
            <w:tcW w:w="185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63</w:t>
            </w:r>
            <w:r w:rsidRPr="001B5E1D">
              <w:rPr>
                <w:rFonts w:hint="eastAsia"/>
                <w:snapToGrid/>
                <w:sz w:val="24"/>
              </w:rPr>
              <w:t>,</w:t>
            </w:r>
            <w:r w:rsidRPr="001B5E1D">
              <w:rPr>
                <w:snapToGrid/>
                <w:sz w:val="24"/>
              </w:rPr>
              <w:t>330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17</w:t>
            </w:r>
            <w:r w:rsidRPr="001B5E1D">
              <w:rPr>
                <w:rFonts w:hint="eastAsia"/>
                <w:snapToGrid/>
                <w:sz w:val="24"/>
              </w:rPr>
              <w:t>,82</w:t>
            </w:r>
            <w:r w:rsidRPr="001B5E1D">
              <w:rPr>
                <w:snapToGrid/>
                <w:sz w:val="24"/>
              </w:rPr>
              <w:t>1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 xml:space="preserve">決算數占可用預算數比率 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71.96</w:t>
            </w:r>
          </w:p>
        </w:tc>
        <w:tc>
          <w:tcPr>
            <w:tcW w:w="1855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30.70</w:t>
            </w:r>
          </w:p>
        </w:tc>
        <w:tc>
          <w:tcPr>
            <w:tcW w:w="170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8.08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保留數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48,422</w:t>
            </w:r>
          </w:p>
        </w:tc>
        <w:tc>
          <w:tcPr>
            <w:tcW w:w="1855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119</w:t>
            </w:r>
            <w:r w:rsidRPr="001B5E1D">
              <w:rPr>
                <w:rFonts w:hint="eastAsia"/>
                <w:snapToGrid/>
                <w:sz w:val="24"/>
              </w:rPr>
              <w:t>,</w:t>
            </w:r>
            <w:r w:rsidRPr="001B5E1D">
              <w:rPr>
                <w:snapToGrid/>
                <w:sz w:val="24"/>
              </w:rPr>
              <w:t>927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199</w:t>
            </w:r>
            <w:r w:rsidRPr="001B5E1D">
              <w:rPr>
                <w:rFonts w:hint="eastAsia"/>
                <w:snapToGrid/>
                <w:sz w:val="24"/>
              </w:rPr>
              <w:t>,</w:t>
            </w:r>
            <w:r w:rsidRPr="001B5E1D">
              <w:rPr>
                <w:snapToGrid/>
                <w:sz w:val="24"/>
              </w:rPr>
              <w:t>570</w:t>
            </w:r>
          </w:p>
        </w:tc>
      </w:tr>
      <w:tr w:rsidR="001B5E1D" w:rsidRPr="001B5E1D" w:rsidTr="00B34878">
        <w:trPr>
          <w:trHeight w:val="340"/>
        </w:trPr>
        <w:tc>
          <w:tcPr>
            <w:tcW w:w="3118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保留數占可用預算數比率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rFonts w:hint="eastAsia"/>
                <w:snapToGrid/>
                <w:sz w:val="24"/>
              </w:rPr>
              <w:t>28.00</w:t>
            </w:r>
          </w:p>
        </w:tc>
        <w:tc>
          <w:tcPr>
            <w:tcW w:w="1855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58.14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B5E1D" w:rsidRPr="001B5E1D" w:rsidRDefault="001B5E1D" w:rsidP="001B5E1D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1B5E1D">
              <w:rPr>
                <w:snapToGrid/>
                <w:sz w:val="24"/>
              </w:rPr>
              <w:t>90.45</w:t>
            </w:r>
          </w:p>
        </w:tc>
      </w:tr>
    </w:tbl>
    <w:p w:rsidR="001B5E1D" w:rsidRPr="001B5E1D" w:rsidRDefault="001B5E1D" w:rsidP="001B5E1D">
      <w:pPr>
        <w:spacing w:line="280" w:lineRule="exact"/>
        <w:ind w:leftChars="0" w:left="1459" w:hangingChars="600" w:hanging="1459"/>
        <w:jc w:val="left"/>
        <w:rPr>
          <w:snapToGrid/>
          <w:sz w:val="24"/>
        </w:rPr>
      </w:pPr>
      <w:r w:rsidRPr="001B5E1D">
        <w:rPr>
          <w:rFonts w:hAnsi="標楷體" w:hint="eastAsia"/>
          <w:sz w:val="24"/>
        </w:rPr>
        <w:t xml:space="preserve">  資料來源：管制藥品製藥工廠作業基金111年度附屬單位決算審核通知。</w:t>
      </w:r>
    </w:p>
    <w:p w:rsidR="001B5E1D" w:rsidRPr="00A87B40" w:rsidRDefault="001B5E1D" w:rsidP="00A87B40">
      <w:pPr>
        <w:pStyle w:val="a5"/>
        <w:ind w:left="849" w:hanging="283"/>
        <w:rPr>
          <w:b/>
        </w:rPr>
      </w:pPr>
      <w:r w:rsidRPr="00A87B40">
        <w:rPr>
          <w:rFonts w:hint="eastAsia"/>
          <w:b/>
        </w:rPr>
        <w:t>(二)111年度保留數占可用預算數比率逾9成，部分預算保留甚逾</w:t>
      </w:r>
      <w:r w:rsidRPr="00A87B40">
        <w:rPr>
          <w:rFonts w:hint="eastAsia"/>
          <w:b/>
        </w:rPr>
        <w:lastRenderedPageBreak/>
        <w:t>2年，允宜積極提升預算執行率</w:t>
      </w:r>
    </w:p>
    <w:p w:rsidR="001B5E1D" w:rsidRPr="001B5E1D" w:rsidRDefault="001B5E1D" w:rsidP="00A87B40">
      <w:pPr>
        <w:pStyle w:val="21"/>
        <w:ind w:left="850" w:firstLine="566"/>
        <w:rPr>
          <w:snapToGrid/>
        </w:rPr>
      </w:pPr>
      <w:r w:rsidRPr="001B5E1D">
        <w:rPr>
          <w:rFonts w:hint="eastAsia"/>
          <w:snapToGrid/>
        </w:rPr>
        <w:t>製藥工廠作業基金111年度固定資產保留數1億9</w:t>
      </w:r>
      <w:r w:rsidRPr="001B5E1D">
        <w:rPr>
          <w:snapToGrid/>
        </w:rPr>
        <w:t>,</w:t>
      </w:r>
      <w:r w:rsidRPr="001B5E1D">
        <w:rPr>
          <w:rFonts w:hint="eastAsia"/>
          <w:snapToGrid/>
        </w:rPr>
        <w:t>957萬元，占可用預算數</w:t>
      </w:r>
      <w:r w:rsidRPr="001B5E1D">
        <w:rPr>
          <w:rFonts w:hint="eastAsia"/>
        </w:rPr>
        <w:t>2億2</w:t>
      </w:r>
      <w:r w:rsidRPr="001B5E1D">
        <w:t>,064</w:t>
      </w:r>
      <w:r w:rsidRPr="001B5E1D">
        <w:rPr>
          <w:rFonts w:hint="eastAsia"/>
        </w:rPr>
        <w:t>萬7千元比率高達</w:t>
      </w:r>
      <w:r w:rsidRPr="001B5E1D">
        <w:rPr>
          <w:rFonts w:hint="eastAsia"/>
          <w:snapToGrid/>
        </w:rPr>
        <w:t>90.45%。針對預算主要保留原因，依該基金決算書及審計部查核該基金111年度附屬單位決算之審核通知事項，主要係110年度編列預算辦理之</w:t>
      </w:r>
      <w:r w:rsidRPr="001B5E1D">
        <w:rPr>
          <w:rFonts w:hAnsi="標楷體" w:hint="eastAsia"/>
          <w:snapToGrid/>
        </w:rPr>
        <w:t>「</w:t>
      </w:r>
      <w:r w:rsidRPr="001B5E1D">
        <w:rPr>
          <w:rFonts w:hint="eastAsia"/>
          <w:snapToGrid/>
        </w:rPr>
        <w:t>貼片裁切包裝機</w:t>
      </w:r>
      <w:r w:rsidRPr="001B5E1D">
        <w:rPr>
          <w:rFonts w:hAnsi="標楷體" w:hint="eastAsia"/>
          <w:snapToGrid/>
        </w:rPr>
        <w:t>」</w:t>
      </w:r>
      <w:r w:rsidRPr="001B5E1D">
        <w:rPr>
          <w:rFonts w:hint="eastAsia"/>
          <w:snapToGrid/>
        </w:rPr>
        <w:t>及</w:t>
      </w:r>
      <w:r w:rsidRPr="001B5E1D">
        <w:rPr>
          <w:rFonts w:hAnsi="標楷體" w:hint="eastAsia"/>
          <w:snapToGrid/>
        </w:rPr>
        <w:t>「</w:t>
      </w:r>
      <w:r w:rsidRPr="001B5E1D">
        <w:rPr>
          <w:rFonts w:hint="eastAsia"/>
          <w:snapToGrid/>
        </w:rPr>
        <w:t>穿皮貼片塗佈機</w:t>
      </w:r>
      <w:r w:rsidRPr="001B5E1D">
        <w:rPr>
          <w:rFonts w:hAnsi="標楷體" w:hint="eastAsia"/>
          <w:snapToGrid/>
        </w:rPr>
        <w:t>」</w:t>
      </w:r>
      <w:r w:rsidRPr="001B5E1D">
        <w:rPr>
          <w:rFonts w:hint="eastAsia"/>
          <w:snapToGrid/>
        </w:rPr>
        <w:t>等2項採購案，其中</w:t>
      </w:r>
      <w:r w:rsidRPr="001B5E1D">
        <w:rPr>
          <w:rFonts w:hAnsi="標楷體" w:hint="eastAsia"/>
          <w:snapToGrid/>
        </w:rPr>
        <w:t>「</w:t>
      </w:r>
      <w:r w:rsidRPr="001B5E1D">
        <w:rPr>
          <w:rFonts w:hint="eastAsia"/>
          <w:snapToGrid/>
        </w:rPr>
        <w:t>貼片裁切包裝機</w:t>
      </w:r>
      <w:r w:rsidRPr="001B5E1D">
        <w:rPr>
          <w:rFonts w:hAnsi="標楷體" w:hint="eastAsia"/>
          <w:snapToGrid/>
        </w:rPr>
        <w:t>」因</w:t>
      </w:r>
      <w:r w:rsidRPr="001B5E1D">
        <w:rPr>
          <w:rFonts w:hint="eastAsia"/>
          <w:snapToGrid/>
        </w:rPr>
        <w:t>履約期間跨年度而申請保留</w:t>
      </w:r>
      <w:r w:rsidR="00DC68E0">
        <w:rPr>
          <w:rFonts w:hAnsi="標楷體" w:hint="eastAsia"/>
          <w:snapToGrid/>
        </w:rPr>
        <w:t>；</w:t>
      </w:r>
      <w:r w:rsidRPr="001B5E1D">
        <w:rPr>
          <w:rFonts w:hint="eastAsia"/>
          <w:snapToGrid/>
        </w:rPr>
        <w:t>另</w:t>
      </w:r>
      <w:r w:rsidRPr="001B5E1D">
        <w:rPr>
          <w:rFonts w:hAnsi="標楷體" w:hint="eastAsia"/>
          <w:snapToGrid/>
        </w:rPr>
        <w:t>「</w:t>
      </w:r>
      <w:r w:rsidRPr="001B5E1D">
        <w:rPr>
          <w:rFonts w:hint="eastAsia"/>
          <w:snapToGrid/>
        </w:rPr>
        <w:t>穿皮貼片塗佈機</w:t>
      </w:r>
      <w:r w:rsidRPr="001B5E1D">
        <w:rPr>
          <w:rFonts w:hAnsi="標楷體" w:hint="eastAsia"/>
          <w:snapToGrid/>
        </w:rPr>
        <w:t>」則因</w:t>
      </w:r>
      <w:r w:rsidRPr="001B5E1D">
        <w:rPr>
          <w:rFonts w:hint="eastAsia"/>
          <w:snapToGrid/>
        </w:rPr>
        <w:t>110年度廢標、111年度多次流標後始於111年11月決標，爰該2項採購案相關預算1億1</w:t>
      </w:r>
      <w:r w:rsidRPr="001B5E1D">
        <w:rPr>
          <w:snapToGrid/>
        </w:rPr>
        <w:t>,</w:t>
      </w:r>
      <w:r w:rsidRPr="001B5E1D">
        <w:rPr>
          <w:rFonts w:hint="eastAsia"/>
          <w:snapToGrid/>
        </w:rPr>
        <w:t>565萬餘元連續2年辦理保留。</w:t>
      </w:r>
    </w:p>
    <w:p w:rsidR="001B5E1D" w:rsidRPr="001B5E1D" w:rsidRDefault="001B5E1D" w:rsidP="00A87B40">
      <w:pPr>
        <w:pStyle w:val="21"/>
        <w:ind w:left="850" w:firstLine="566"/>
        <w:rPr>
          <w:sz w:val="24"/>
          <w:szCs w:val="24"/>
        </w:rPr>
      </w:pPr>
      <w:r w:rsidRPr="001B5E1D">
        <w:rPr>
          <w:rFonts w:hint="eastAsia"/>
          <w:snapToGrid/>
        </w:rPr>
        <w:t>詢據該基金說明，該2案履約共分4期16個月，</w:t>
      </w:r>
      <w:r w:rsidR="00C93A89">
        <w:rPr>
          <w:rFonts w:hint="eastAsia"/>
          <w:snapToGrid/>
        </w:rPr>
        <w:t>致</w:t>
      </w:r>
      <w:r w:rsidRPr="001B5E1D">
        <w:rPr>
          <w:rFonts w:hint="eastAsia"/>
          <w:snapToGrid/>
        </w:rPr>
        <w:t>該年決算數占可用預算數比率偏低，且因前置作業所需時間較長、採購方式繁複，爰預算保留比率偏高。該基金並說明嗣後針對履約期限逾12個月之案件將配合履約期限妥適編列預算，</w:t>
      </w:r>
      <w:r w:rsidR="00C93A89">
        <w:rPr>
          <w:rFonts w:hint="eastAsia"/>
          <w:snapToGrid/>
        </w:rPr>
        <w:t>並</w:t>
      </w:r>
      <w:r w:rsidRPr="001B5E1D">
        <w:rPr>
          <w:rFonts w:hint="eastAsia"/>
          <w:snapToGrid/>
        </w:rPr>
        <w:t>積極辦理採購前置作業，俾提升固定資產預算執行成效。</w:t>
      </w:r>
    </w:p>
    <w:p w:rsidR="00166061" w:rsidRDefault="001B5E1D" w:rsidP="00A87B40">
      <w:pPr>
        <w:ind w:left="566" w:firstLine="566"/>
        <w:rPr>
          <w:lang w:eastAsia="zh-HK"/>
        </w:rPr>
      </w:pPr>
      <w:r w:rsidRPr="001B5E1D">
        <w:rPr>
          <w:rFonts w:hint="eastAsia"/>
        </w:rPr>
        <w:t>綜上，111</w:t>
      </w:r>
      <w:r w:rsidRPr="001B5E1D">
        <w:rPr>
          <w:rFonts w:hAnsi="標楷體" w:hint="eastAsia"/>
          <w:color w:val="000000"/>
        </w:rPr>
        <w:t>年度</w:t>
      </w:r>
      <w:r w:rsidRPr="001B5E1D">
        <w:rPr>
          <w:rFonts w:hint="eastAsia"/>
        </w:rPr>
        <w:t>管制藥品製藥工廠購建固定資產預算執行率偏低，甚有部分預算保留逾2年，恐造成因缺乏機器設備而無法自製相關管制藥品情事，允宜</w:t>
      </w:r>
      <w:r w:rsidR="00C93A89">
        <w:rPr>
          <w:rFonts w:hint="eastAsia"/>
        </w:rPr>
        <w:t>強化</w:t>
      </w:r>
      <w:r w:rsidRPr="001B5E1D">
        <w:rPr>
          <w:rFonts w:hint="eastAsia"/>
        </w:rPr>
        <w:t>採購前置作業</w:t>
      </w:r>
      <w:r w:rsidR="00C93A89">
        <w:rPr>
          <w:rFonts w:hint="eastAsia"/>
        </w:rPr>
        <w:t>之規劃</w:t>
      </w:r>
      <w:r w:rsidRPr="001B5E1D">
        <w:rPr>
          <w:rFonts w:hint="eastAsia"/>
        </w:rPr>
        <w:t>，並積極辦理，以提升預算執行成效。</w:t>
      </w:r>
    </w:p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p w:rsidR="003E732B" w:rsidRDefault="005F7470" w:rsidP="005F7470">
      <w:pPr>
        <w:pStyle w:val="ad"/>
        <w:ind w:left="566" w:firstLine="566"/>
      </w:pPr>
      <w:r w:rsidRPr="003C6430">
        <w:rPr>
          <w:rFonts w:hint="eastAsia"/>
        </w:rPr>
        <w:t>（分機：</w:t>
      </w:r>
      <w:r w:rsidRPr="008F1259">
        <w:rPr>
          <w:rFonts w:hint="eastAsia"/>
        </w:rPr>
        <w:t>192</w:t>
      </w:r>
      <w:r>
        <w:rPr>
          <w:rFonts w:hint="eastAsia"/>
        </w:rPr>
        <w:t>5</w:t>
      </w:r>
      <w:r w:rsidRPr="008F1259">
        <w:rPr>
          <w:rFonts w:hint="eastAsia"/>
        </w:rPr>
        <w:t xml:space="preserve"> </w:t>
      </w:r>
      <w:r>
        <w:rPr>
          <w:rFonts w:hint="eastAsia"/>
        </w:rPr>
        <w:t>賴欣憶</w:t>
      </w:r>
      <w:r w:rsidRPr="003C6430">
        <w:rPr>
          <w:rFonts w:hint="eastAsia"/>
        </w:rPr>
        <w:t>）</w:t>
      </w:r>
    </w:p>
    <w:bookmarkEnd w:id="6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3E732B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30C" w:rsidRDefault="0034430C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27D9A" w:rsidRPr="00127D9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30C" w:rsidRDefault="0034430C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4757"/>
    <w:rsid w:val="00006BD8"/>
    <w:rsid w:val="00010A1E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A7F"/>
    <w:rsid w:val="00117D3A"/>
    <w:rsid w:val="00121B8B"/>
    <w:rsid w:val="001221E1"/>
    <w:rsid w:val="00122D4C"/>
    <w:rsid w:val="001258F6"/>
    <w:rsid w:val="00125B0B"/>
    <w:rsid w:val="00125F2A"/>
    <w:rsid w:val="00127D9A"/>
    <w:rsid w:val="00132140"/>
    <w:rsid w:val="00135503"/>
    <w:rsid w:val="0014620B"/>
    <w:rsid w:val="001531DC"/>
    <w:rsid w:val="00154A71"/>
    <w:rsid w:val="00154E1C"/>
    <w:rsid w:val="00155434"/>
    <w:rsid w:val="00157ED2"/>
    <w:rsid w:val="00162E37"/>
    <w:rsid w:val="0016311A"/>
    <w:rsid w:val="00164F9F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3830"/>
    <w:rsid w:val="001C3FDA"/>
    <w:rsid w:val="001C6CF9"/>
    <w:rsid w:val="001C77FA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70C1B"/>
    <w:rsid w:val="00270D29"/>
    <w:rsid w:val="00270F0C"/>
    <w:rsid w:val="00271BA6"/>
    <w:rsid w:val="00271EC8"/>
    <w:rsid w:val="00275734"/>
    <w:rsid w:val="00275A9F"/>
    <w:rsid w:val="00275D53"/>
    <w:rsid w:val="002810A1"/>
    <w:rsid w:val="002811A4"/>
    <w:rsid w:val="002827C5"/>
    <w:rsid w:val="002843D1"/>
    <w:rsid w:val="00292AAE"/>
    <w:rsid w:val="0029405E"/>
    <w:rsid w:val="002B02EC"/>
    <w:rsid w:val="002B2D8C"/>
    <w:rsid w:val="002B469E"/>
    <w:rsid w:val="002C3A48"/>
    <w:rsid w:val="002C511E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33806"/>
    <w:rsid w:val="00333D44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32ED"/>
    <w:rsid w:val="00374197"/>
    <w:rsid w:val="00374ECF"/>
    <w:rsid w:val="003755BF"/>
    <w:rsid w:val="00376063"/>
    <w:rsid w:val="0037663D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E428E"/>
    <w:rsid w:val="00501613"/>
    <w:rsid w:val="00505919"/>
    <w:rsid w:val="00506AD9"/>
    <w:rsid w:val="00507238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44B2"/>
    <w:rsid w:val="005722C5"/>
    <w:rsid w:val="00575CF0"/>
    <w:rsid w:val="00575E2B"/>
    <w:rsid w:val="00576FAD"/>
    <w:rsid w:val="0058616B"/>
    <w:rsid w:val="00593C37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3319"/>
    <w:rsid w:val="007C427D"/>
    <w:rsid w:val="007C5C7E"/>
    <w:rsid w:val="007C6183"/>
    <w:rsid w:val="007C622E"/>
    <w:rsid w:val="007C73D7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5A81"/>
    <w:rsid w:val="00810EDB"/>
    <w:rsid w:val="00814F80"/>
    <w:rsid w:val="00815146"/>
    <w:rsid w:val="00823D05"/>
    <w:rsid w:val="00826DE7"/>
    <w:rsid w:val="00827379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8BB"/>
    <w:rsid w:val="00865DF3"/>
    <w:rsid w:val="008670D5"/>
    <w:rsid w:val="008732BE"/>
    <w:rsid w:val="00873A95"/>
    <w:rsid w:val="00874F43"/>
    <w:rsid w:val="00876429"/>
    <w:rsid w:val="00877287"/>
    <w:rsid w:val="00880DD5"/>
    <w:rsid w:val="008841A7"/>
    <w:rsid w:val="00884FCC"/>
    <w:rsid w:val="00885D51"/>
    <w:rsid w:val="00885D75"/>
    <w:rsid w:val="00890186"/>
    <w:rsid w:val="00890A59"/>
    <w:rsid w:val="008912B5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612A"/>
    <w:rsid w:val="008B7A05"/>
    <w:rsid w:val="008C1F4E"/>
    <w:rsid w:val="008C2616"/>
    <w:rsid w:val="008C510B"/>
    <w:rsid w:val="008C5816"/>
    <w:rsid w:val="008C70DA"/>
    <w:rsid w:val="008C711E"/>
    <w:rsid w:val="008C754E"/>
    <w:rsid w:val="008C793E"/>
    <w:rsid w:val="008D202B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7826"/>
    <w:rsid w:val="00911B6E"/>
    <w:rsid w:val="00922824"/>
    <w:rsid w:val="00922946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53F4"/>
    <w:rsid w:val="00A17DDB"/>
    <w:rsid w:val="00A26234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80111"/>
    <w:rsid w:val="00A80CC7"/>
    <w:rsid w:val="00A81F2D"/>
    <w:rsid w:val="00A82E48"/>
    <w:rsid w:val="00A84970"/>
    <w:rsid w:val="00A87B40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6C69"/>
    <w:rsid w:val="00C17A96"/>
    <w:rsid w:val="00C17F7D"/>
    <w:rsid w:val="00C2152E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374B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C8F"/>
    <w:rsid w:val="00E417D7"/>
    <w:rsid w:val="00E43B91"/>
    <w:rsid w:val="00E518C9"/>
    <w:rsid w:val="00E519B4"/>
    <w:rsid w:val="00E53DA2"/>
    <w:rsid w:val="00E5621F"/>
    <w:rsid w:val="00E61AF3"/>
    <w:rsid w:val="00E61B02"/>
    <w:rsid w:val="00E62FA7"/>
    <w:rsid w:val="00E62FB3"/>
    <w:rsid w:val="00E6320C"/>
    <w:rsid w:val="00E662FC"/>
    <w:rsid w:val="00E6652F"/>
    <w:rsid w:val="00E70171"/>
    <w:rsid w:val="00E734AB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66D0"/>
    <w:rsid w:val="00E97094"/>
    <w:rsid w:val="00EA053F"/>
    <w:rsid w:val="00EA0752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4189"/>
    <w:rsid w:val="00F25EE1"/>
    <w:rsid w:val="00F31C4D"/>
    <w:rsid w:val="00F33D75"/>
    <w:rsid w:val="00F34DD9"/>
    <w:rsid w:val="00F34E6C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885FF2A-CDCC-4934-878C-F8BA3607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FED32-EED4-4EC5-928E-F13E27DF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</Template>
  <TotalTime>0</TotalTime>
  <Pages>2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Links>
    <vt:vector size="108" baseType="variant"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_Toc163570539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_Toc163570538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_Toc163570537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_Toc163570536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_Toc163570535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_Toc163570534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_Toc163570533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_Toc163570532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_Toc163570531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_Toc163570530</vt:lpwstr>
      </vt:variant>
      <vt:variant>
        <vt:i4>1441840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_Toc163570529</vt:lpwstr>
      </vt:variant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_Toc163570528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_Toc163570527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_Toc163570526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_Toc163570525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_Toc163570524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_Toc163570523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_Toc163570522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2024-04-10T01:26:00Z</dcterms:created>
  <dcterms:modified xsi:type="dcterms:W3CDTF">2024-04-10T01:26:00Z</dcterms:modified>
</cp:coreProperties>
</file>