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641751" w:rsidRPr="00E921F3">
        <w:rPr>
          <w:color w:val="000000"/>
          <w:spacing w:val="-8"/>
        </w:rPr>
        <w:t>1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166061" w:rsidRPr="00691DC4" w:rsidRDefault="00166061" w:rsidP="00166061">
      <w:pPr>
        <w:pStyle w:val="14"/>
        <w:ind w:left="567" w:hanging="567"/>
        <w:rPr>
          <w:rFonts w:hAnsi="標楷體"/>
        </w:rPr>
      </w:pPr>
      <w:bookmarkStart w:id="49" w:name="_Toc90019292"/>
      <w:bookmarkStart w:id="50" w:name="_Toc163570528"/>
      <w:r>
        <w:rPr>
          <w:rFonts w:hint="eastAsia"/>
          <w:lang w:eastAsia="zh-HK"/>
        </w:rPr>
        <w:t>四、</w:t>
      </w:r>
      <w:bookmarkStart w:id="51" w:name="_Toc54251447"/>
      <w:bookmarkEnd w:id="49"/>
      <w:r w:rsidR="004331F9" w:rsidRPr="004331F9">
        <w:rPr>
          <w:rFonts w:hint="eastAsia"/>
          <w:lang w:eastAsia="zh-HK"/>
        </w:rPr>
        <w:t>111年</w:t>
      </w:r>
      <w:r w:rsidR="004331F9">
        <w:rPr>
          <w:rFonts w:hint="eastAsia"/>
        </w:rPr>
        <w:t>減少</w:t>
      </w:r>
      <w:r w:rsidR="00833AAC" w:rsidRPr="00833AAC">
        <w:rPr>
          <w:rFonts w:hAnsi="標楷體" w:hint="eastAsia"/>
        </w:rPr>
        <w:t>非全民健保規定給付範疇</w:t>
      </w:r>
      <w:r w:rsidR="004331F9">
        <w:rPr>
          <w:rFonts w:hAnsi="標楷體" w:hint="eastAsia"/>
        </w:rPr>
        <w:t>之</w:t>
      </w:r>
      <w:r w:rsidR="004331F9" w:rsidRPr="004331F9">
        <w:rPr>
          <w:rFonts w:hAnsi="標楷體" w:hint="eastAsia"/>
        </w:rPr>
        <w:t>指示用藥</w:t>
      </w:r>
      <w:r w:rsidR="00833AAC" w:rsidRPr="00833AAC">
        <w:rPr>
          <w:rFonts w:hAnsi="標楷體" w:hint="eastAsia"/>
        </w:rPr>
        <w:t>項數仍微</w:t>
      </w:r>
      <w:r w:rsidR="00222EF3">
        <w:rPr>
          <w:rFonts w:hAnsi="標楷體" w:hint="eastAsia"/>
        </w:rPr>
        <w:t>；</w:t>
      </w:r>
      <w:r w:rsidR="00833AAC" w:rsidRPr="00833AAC">
        <w:rPr>
          <w:rFonts w:hAnsi="標楷體" w:hint="eastAsia"/>
        </w:rPr>
        <w:t>另基層院所採日劑藥費申報方式與實際開立藥價有間，</w:t>
      </w:r>
      <w:r w:rsidR="00776F31">
        <w:rPr>
          <w:rFonts w:hAnsi="標楷體" w:hint="eastAsia"/>
        </w:rPr>
        <w:t>均</w:t>
      </w:r>
      <w:r w:rsidR="00833AAC" w:rsidRPr="00833AAC">
        <w:rPr>
          <w:rFonts w:hAnsi="標楷體" w:hint="eastAsia"/>
        </w:rPr>
        <w:t>待改善</w:t>
      </w:r>
      <w:bookmarkEnd w:id="50"/>
    </w:p>
    <w:p w:rsidR="00E70171" w:rsidRPr="008F1259" w:rsidRDefault="00E70171" w:rsidP="00E70171">
      <w:pPr>
        <w:ind w:left="566" w:firstLine="566"/>
      </w:pPr>
      <w:r w:rsidRPr="006F5443">
        <w:rPr>
          <w:rFonts w:hint="eastAsia"/>
          <w:snapToGrid/>
        </w:rPr>
        <w:t>健保基金</w:t>
      </w:r>
      <w:r w:rsidR="00310888" w:rsidRPr="00310888">
        <w:rPr>
          <w:rFonts w:hint="eastAsia"/>
          <w:snapToGrid/>
        </w:rPr>
        <w:t>111年度「業務成本與費用」項下「保險給付」科目預算數7,666億8,909萬3千元，決算審定數7,486億4,826萬3千元，執行率97.65%。經查</w:t>
      </w:r>
      <w:r>
        <w:rPr>
          <w:rFonts w:ascii="新細明體" w:eastAsia="新細明體" w:hAnsi="新細明體" w:hint="eastAsia"/>
          <w:snapToGrid/>
        </w:rPr>
        <w:t>：</w:t>
      </w:r>
      <w:r>
        <w:rPr>
          <w:snapToGrid/>
        </w:rPr>
        <w:t xml:space="preserve"> </w:t>
      </w:r>
    </w:p>
    <w:p w:rsidR="007604A1" w:rsidRPr="009A0E6C" w:rsidRDefault="007604A1" w:rsidP="009A0E6C">
      <w:pPr>
        <w:pStyle w:val="a5"/>
        <w:ind w:left="849" w:hanging="283"/>
        <w:rPr>
          <w:b/>
        </w:rPr>
      </w:pPr>
      <w:r w:rsidRPr="009A0E6C">
        <w:rPr>
          <w:rFonts w:hint="eastAsia"/>
          <w:b/>
        </w:rPr>
        <w:t>(一)111年度健保給付指示藥品836項，較108年度給付項數872項，僅減少36項</w:t>
      </w:r>
    </w:p>
    <w:p w:rsidR="007604A1" w:rsidRPr="007604A1" w:rsidRDefault="007604A1" w:rsidP="009A0E6C">
      <w:pPr>
        <w:pStyle w:val="21"/>
        <w:ind w:left="850" w:firstLine="566"/>
      </w:pPr>
      <w:r w:rsidRPr="007604A1">
        <w:rPr>
          <w:rFonts w:hint="eastAsia"/>
        </w:rPr>
        <w:t>依健保法第51條第4款規</w:t>
      </w:r>
      <w:r w:rsidRPr="007604A1">
        <w:rPr>
          <w:rFonts w:hint="eastAsia"/>
          <w:color w:val="000000"/>
        </w:rPr>
        <w:t>定</w:t>
      </w:r>
      <w:r w:rsidRPr="007604A1">
        <w:rPr>
          <w:color w:val="000000"/>
          <w:vertAlign w:val="superscript"/>
          <w:lang w:eastAsia="zh-HK"/>
        </w:rPr>
        <w:footnoteReference w:id="1"/>
      </w:r>
      <w:r w:rsidRPr="007604A1">
        <w:rPr>
          <w:rFonts w:hint="eastAsia"/>
        </w:rPr>
        <w:t>，成藥、醫師藥師藥劑生指示藥品不列入保險給付範圍。惟全民健康保險84年開辦初期，考量醫師醫療習慣及民眾用藥需要，爰全民健康保險藥物給付項目及支付標準第11條第1項第2款</w:t>
      </w:r>
      <w:r w:rsidRPr="007604A1">
        <w:rPr>
          <w:rFonts w:hint="eastAsia"/>
          <w:color w:val="000000"/>
        </w:rPr>
        <w:t>規定</w:t>
      </w:r>
      <w:r w:rsidRPr="007604A1">
        <w:rPr>
          <w:color w:val="000000"/>
          <w:vertAlign w:val="superscript"/>
          <w:lang w:eastAsia="zh-HK"/>
        </w:rPr>
        <w:footnoteReference w:id="2"/>
      </w:r>
      <w:r w:rsidRPr="007604A1">
        <w:rPr>
          <w:rFonts w:hint="eastAsia"/>
        </w:rPr>
        <w:t>，原前公、勞保核准使用之指示用藥，經醫師處方暫予支付，但保險人應逐步檢討並縮小該類品項之給付範圍。</w:t>
      </w:r>
    </w:p>
    <w:p w:rsidR="007604A1" w:rsidRPr="007604A1" w:rsidRDefault="007604A1" w:rsidP="007604A1">
      <w:pPr>
        <w:adjustRightInd w:val="0"/>
        <w:ind w:leftChars="300" w:left="850" w:firstLine="566"/>
      </w:pPr>
      <w:r w:rsidRPr="007604A1">
        <w:rPr>
          <w:rFonts w:hint="eastAsia"/>
        </w:rPr>
        <w:t>至於縮小給付項目情形，按111年度中央政府總決算審核報告，健保署自94年</w:t>
      </w:r>
      <w:r w:rsidR="003D1E48">
        <w:rPr>
          <w:rFonts w:hint="eastAsia"/>
        </w:rPr>
        <w:t>度起</w:t>
      </w:r>
      <w:r w:rsidRPr="007604A1">
        <w:rPr>
          <w:rFonts w:hint="eastAsia"/>
        </w:rPr>
        <w:t>陸續檢討指示用藥健保給付情形，優先檢討對病患用藥影響程度小之品項，惟指示藥品僅由108年底之872項降至111年底之836項，111年度指示藥品申報金額仍達20.56億元，檢討進程緩慢</w:t>
      </w:r>
      <w:r w:rsidRPr="007604A1">
        <w:rPr>
          <w:rFonts w:hint="eastAsia"/>
          <w:snapToGrid/>
        </w:rPr>
        <w:t>。</w:t>
      </w:r>
    </w:p>
    <w:p w:rsidR="007604A1" w:rsidRPr="009A0E6C" w:rsidRDefault="007604A1" w:rsidP="009A0E6C">
      <w:pPr>
        <w:pStyle w:val="a5"/>
        <w:ind w:left="849" w:hanging="283"/>
        <w:rPr>
          <w:b/>
        </w:rPr>
      </w:pPr>
      <w:r w:rsidRPr="009A0E6C">
        <w:rPr>
          <w:rFonts w:hint="eastAsia"/>
          <w:b/>
        </w:rPr>
        <w:t>(二)107至111年度基層院所採日劑藥費申報之平均每件藥費點數高於</w:t>
      </w:r>
      <w:r w:rsidR="003D1E48">
        <w:rPr>
          <w:rFonts w:hint="eastAsia"/>
          <w:b/>
        </w:rPr>
        <w:t>實際藥費</w:t>
      </w:r>
      <w:r w:rsidRPr="009A0E6C">
        <w:rPr>
          <w:rFonts w:hint="eastAsia"/>
          <w:b/>
        </w:rPr>
        <w:t>，允宜審慎評估日劑藥費支付標準合理性</w:t>
      </w:r>
    </w:p>
    <w:p w:rsidR="007604A1" w:rsidRPr="007604A1" w:rsidRDefault="007604A1" w:rsidP="009A0E6C">
      <w:pPr>
        <w:pStyle w:val="21"/>
        <w:ind w:left="850" w:firstLine="566"/>
      </w:pPr>
      <w:r w:rsidRPr="007604A1">
        <w:rPr>
          <w:rFonts w:hint="eastAsia"/>
        </w:rPr>
        <w:lastRenderedPageBreak/>
        <w:t>迄111年底健保特約醫療院所逾2萬家，其中以診所為大宗，健保署為簡化西醫基層院所藥費申報程序，於全民健康保險醫療服務給付項目及支付標準訂定「日劑藥費」，診所及藥局可選擇採「逐項」或「日劑藥費」方式申報。</w:t>
      </w:r>
    </w:p>
    <w:p w:rsidR="007604A1" w:rsidRPr="007604A1" w:rsidRDefault="007604A1" w:rsidP="009A0E6C">
      <w:pPr>
        <w:pStyle w:val="21"/>
        <w:ind w:left="850" w:firstLine="566"/>
      </w:pPr>
      <w:r w:rsidRPr="007604A1">
        <w:rPr>
          <w:rFonts w:hint="eastAsia"/>
        </w:rPr>
        <w:t>依據111年度中央政府總決算審核報告，按健保署提供之107年度至111年度西醫基層門診藥費申報資料，其中日劑藥費總申報點數介於53億8,398萬餘點至81億2,803萬餘點間，平均每件日劑藥費點數介於69.3點至71.0點間，同期間該等案件實際藥費點數介於24億6,846萬餘點至38億2,613萬餘點間，平均每件藥費點數介於31.8點至33.4點間(詳表1)，111年度平均每件日劑藥費點數70.4點亦高於實際藥費點數32.8點，恐有藥價差情事。針對是否取消健保給付指示用藥及檢討日劑藥費支付標準乙節，詢據健保署說明，將與各界溝通、凝聚修法共識，並將請相關臨床專業團體評估日劑藥費標準規範。</w:t>
      </w:r>
    </w:p>
    <w:p w:rsidR="007604A1" w:rsidRPr="007604A1" w:rsidRDefault="007A4051" w:rsidP="007A4051">
      <w:pPr>
        <w:adjustRightInd w:val="0"/>
        <w:spacing w:beforeLines="20" w:before="100" w:line="400" w:lineRule="exact"/>
        <w:ind w:leftChars="0" w:left="0" w:firstLineChars="0" w:firstLine="0"/>
        <w:jc w:val="left"/>
        <w:rPr>
          <w:sz w:val="24"/>
        </w:rPr>
      </w:pPr>
      <w:r>
        <w:rPr>
          <w:rFonts w:hint="eastAsia"/>
          <w:b/>
        </w:rPr>
        <w:t xml:space="preserve"> </w:t>
      </w:r>
      <w:r w:rsidR="007604A1" w:rsidRPr="007604A1">
        <w:rPr>
          <w:rFonts w:hint="eastAsia"/>
          <w:b/>
        </w:rPr>
        <w:t xml:space="preserve">表1  107至111年度日劑藥費申報及給付情形簡表    </w:t>
      </w:r>
      <w:r w:rsidR="007604A1" w:rsidRPr="007604A1">
        <w:rPr>
          <w:rFonts w:hint="eastAsia"/>
          <w:sz w:val="24"/>
        </w:rPr>
        <w:t>單位：千件</w:t>
      </w:r>
      <w:r w:rsidR="007604A1" w:rsidRPr="007604A1">
        <w:rPr>
          <w:rFonts w:hint="eastAsia"/>
          <w:b/>
        </w:rPr>
        <w:t xml:space="preserve">          </w:t>
      </w:r>
    </w:p>
    <w:tbl>
      <w:tblPr>
        <w:tblW w:w="8376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1134"/>
        <w:gridCol w:w="1134"/>
        <w:gridCol w:w="1418"/>
        <w:gridCol w:w="1134"/>
        <w:gridCol w:w="1417"/>
        <w:gridCol w:w="1572"/>
      </w:tblGrid>
      <w:tr w:rsidR="00727847" w:rsidRPr="007604A1" w:rsidTr="007A4051">
        <w:trPr>
          <w:trHeight w:val="420"/>
          <w:tblHeader/>
        </w:trPr>
        <w:tc>
          <w:tcPr>
            <w:tcW w:w="567" w:type="dxa"/>
            <w:vMerge w:val="restart"/>
            <w:shd w:val="clear" w:color="auto" w:fill="auto"/>
            <w:noWrap/>
            <w:vAlign w:val="center"/>
          </w:tcPr>
          <w:p w:rsidR="00727847" w:rsidRPr="007604A1" w:rsidRDefault="00727847" w:rsidP="007604A1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7604A1">
              <w:rPr>
                <w:rFonts w:hint="eastAsia"/>
                <w:b/>
                <w:snapToGrid/>
                <w:sz w:val="24"/>
              </w:rPr>
              <w:t>年度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727847" w:rsidRPr="007604A1" w:rsidRDefault="00727847" w:rsidP="007604A1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7604A1">
              <w:rPr>
                <w:rFonts w:hint="eastAsia"/>
                <w:b/>
                <w:snapToGrid/>
                <w:sz w:val="24"/>
              </w:rPr>
              <w:t>門診申報案件</w:t>
            </w:r>
          </w:p>
        </w:tc>
        <w:tc>
          <w:tcPr>
            <w:tcW w:w="3686" w:type="dxa"/>
            <w:gridSpan w:val="3"/>
            <w:shd w:val="clear" w:color="auto" w:fill="auto"/>
            <w:noWrap/>
            <w:vAlign w:val="center"/>
          </w:tcPr>
          <w:p w:rsidR="00727847" w:rsidRPr="007604A1" w:rsidRDefault="00727847" w:rsidP="007604A1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7604A1">
              <w:rPr>
                <w:rFonts w:hint="eastAsia"/>
                <w:b/>
                <w:snapToGrid/>
                <w:sz w:val="24"/>
              </w:rPr>
              <w:t>日劑藥費</w:t>
            </w:r>
          </w:p>
        </w:tc>
        <w:tc>
          <w:tcPr>
            <w:tcW w:w="2989" w:type="dxa"/>
            <w:gridSpan w:val="2"/>
            <w:shd w:val="clear" w:color="auto" w:fill="auto"/>
            <w:vAlign w:val="center"/>
          </w:tcPr>
          <w:p w:rsidR="00727847" w:rsidRPr="007604A1" w:rsidRDefault="00727847" w:rsidP="007604A1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7604A1">
              <w:rPr>
                <w:rFonts w:hint="eastAsia"/>
                <w:b/>
                <w:snapToGrid/>
                <w:sz w:val="24"/>
              </w:rPr>
              <w:t>實際藥費</w:t>
            </w:r>
          </w:p>
        </w:tc>
      </w:tr>
      <w:tr w:rsidR="007604A1" w:rsidRPr="007604A1" w:rsidTr="007A4051">
        <w:trPr>
          <w:trHeight w:val="420"/>
          <w:tblHeader/>
        </w:trPr>
        <w:tc>
          <w:tcPr>
            <w:tcW w:w="567" w:type="dxa"/>
            <w:vMerge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4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604A1" w:rsidRPr="007604A1" w:rsidRDefault="00727847" w:rsidP="007604A1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4"/>
              </w:rPr>
            </w:pPr>
            <w:r>
              <w:rPr>
                <w:rFonts w:hint="eastAsia"/>
                <w:b/>
                <w:snapToGrid/>
                <w:sz w:val="24"/>
              </w:rPr>
              <w:t>件數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7604A1">
              <w:rPr>
                <w:rFonts w:hint="eastAsia"/>
                <w:b/>
                <w:snapToGrid/>
                <w:sz w:val="24"/>
              </w:rPr>
              <w:t>點數</w:t>
            </w:r>
          </w:p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4"/>
              </w:rPr>
            </w:pPr>
            <w:r w:rsidRPr="007604A1">
              <w:rPr>
                <w:rFonts w:hint="eastAsia"/>
                <w:b/>
                <w:snapToGrid/>
                <w:sz w:val="24"/>
              </w:rPr>
              <w:t>(千點)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4"/>
              </w:rPr>
            </w:pPr>
            <w:r w:rsidRPr="007604A1">
              <w:rPr>
                <w:rFonts w:hint="eastAsia"/>
                <w:b/>
                <w:snapToGrid/>
                <w:sz w:val="24"/>
              </w:rPr>
              <w:t>平均每件點數(點)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7604A1">
              <w:rPr>
                <w:rFonts w:hint="eastAsia"/>
                <w:b/>
                <w:snapToGrid/>
                <w:sz w:val="24"/>
              </w:rPr>
              <w:t>點數</w:t>
            </w:r>
          </w:p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4"/>
              </w:rPr>
            </w:pPr>
            <w:r w:rsidRPr="007604A1">
              <w:rPr>
                <w:rFonts w:hint="eastAsia"/>
                <w:b/>
                <w:snapToGrid/>
                <w:sz w:val="24"/>
              </w:rPr>
              <w:t>(千點)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z w:val="24"/>
              </w:rPr>
            </w:pPr>
            <w:r w:rsidRPr="007604A1">
              <w:rPr>
                <w:rFonts w:hint="eastAsia"/>
                <w:b/>
                <w:snapToGrid/>
                <w:sz w:val="24"/>
              </w:rPr>
              <w:t>平均每件點數(點)</w:t>
            </w:r>
          </w:p>
        </w:tc>
      </w:tr>
      <w:tr w:rsidR="007604A1" w:rsidRPr="007604A1" w:rsidTr="007A4051">
        <w:trPr>
          <w:trHeight w:val="340"/>
        </w:trPr>
        <w:tc>
          <w:tcPr>
            <w:tcW w:w="567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7604A1">
              <w:rPr>
                <w:rFonts w:hint="eastAsia"/>
                <w:snapToGrid/>
                <w:sz w:val="24"/>
              </w:rPr>
              <w:t>107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315,822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114,237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8,095,883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rFonts w:hint="eastAsia"/>
                <w:snapToGrid/>
                <w:sz w:val="24"/>
              </w:rPr>
              <w:t>70.9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3,819,871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33.4</w:t>
            </w:r>
          </w:p>
        </w:tc>
      </w:tr>
      <w:tr w:rsidR="007604A1" w:rsidRPr="007604A1" w:rsidTr="007A4051">
        <w:trPr>
          <w:trHeight w:val="340"/>
        </w:trPr>
        <w:tc>
          <w:tcPr>
            <w:tcW w:w="567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7604A1">
              <w:rPr>
                <w:rFonts w:hint="eastAsia"/>
                <w:snapToGrid/>
                <w:sz w:val="24"/>
              </w:rPr>
              <w:t>108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323,348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114,548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8,128,032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rFonts w:hint="eastAsia"/>
                <w:snapToGrid/>
                <w:sz w:val="24"/>
              </w:rPr>
              <w:t>71.0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3,826,133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rFonts w:hint="eastAsia"/>
                <w:snapToGrid/>
                <w:sz w:val="24"/>
              </w:rPr>
              <w:t>33.4</w:t>
            </w:r>
          </w:p>
        </w:tc>
      </w:tr>
      <w:tr w:rsidR="007604A1" w:rsidRPr="007604A1" w:rsidTr="007A4051">
        <w:trPr>
          <w:trHeight w:val="340"/>
        </w:trPr>
        <w:tc>
          <w:tcPr>
            <w:tcW w:w="567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left"/>
              <w:rPr>
                <w:snapToGrid/>
                <w:sz w:val="24"/>
              </w:rPr>
            </w:pPr>
            <w:r w:rsidRPr="007604A1">
              <w:rPr>
                <w:rFonts w:hint="eastAsia"/>
                <w:snapToGrid/>
                <w:sz w:val="24"/>
              </w:rPr>
              <w:t>109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297,149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94,146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6,623,861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70.4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3,050,703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32.4</w:t>
            </w:r>
          </w:p>
        </w:tc>
      </w:tr>
      <w:tr w:rsidR="007604A1" w:rsidRPr="007604A1" w:rsidTr="007A4051">
        <w:trPr>
          <w:trHeight w:val="340"/>
        </w:trPr>
        <w:tc>
          <w:tcPr>
            <w:tcW w:w="567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1120" w:firstLineChars="0" w:hanging="1120"/>
              <w:jc w:val="left"/>
              <w:rPr>
                <w:snapToGrid/>
                <w:sz w:val="24"/>
              </w:rPr>
            </w:pPr>
            <w:r w:rsidRPr="007604A1">
              <w:rPr>
                <w:rFonts w:hint="eastAsia"/>
                <w:snapToGrid/>
                <w:sz w:val="24"/>
              </w:rPr>
              <w:t>110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275,851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77,689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5,383,981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69.3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2,468,468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31.8</w:t>
            </w:r>
          </w:p>
        </w:tc>
      </w:tr>
      <w:tr w:rsidR="007604A1" w:rsidRPr="007604A1" w:rsidTr="007A4051">
        <w:trPr>
          <w:trHeight w:val="340"/>
        </w:trPr>
        <w:tc>
          <w:tcPr>
            <w:tcW w:w="567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1120" w:firstLineChars="0" w:hanging="1120"/>
              <w:jc w:val="left"/>
              <w:rPr>
                <w:snapToGrid/>
                <w:sz w:val="24"/>
              </w:rPr>
            </w:pPr>
            <w:r w:rsidRPr="007604A1">
              <w:rPr>
                <w:rFonts w:hint="eastAsia"/>
                <w:snapToGrid/>
                <w:sz w:val="24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294,870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83,712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5,896,619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70.4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2,743,826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7604A1" w:rsidRPr="007604A1" w:rsidRDefault="007604A1" w:rsidP="007604A1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7604A1">
              <w:rPr>
                <w:snapToGrid/>
                <w:sz w:val="24"/>
              </w:rPr>
              <w:t>32.8</w:t>
            </w:r>
          </w:p>
        </w:tc>
      </w:tr>
    </w:tbl>
    <w:p w:rsidR="00720F56" w:rsidRPr="001705AA" w:rsidRDefault="007A4051" w:rsidP="00835083">
      <w:pPr>
        <w:wordWrap w:val="0"/>
        <w:spacing w:line="280" w:lineRule="exact"/>
        <w:ind w:leftChars="9" w:left="1606" w:hangingChars="650" w:hanging="1581"/>
        <w:rPr>
          <w:rFonts w:hAnsi="標楷體"/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 w:rsidR="00720F56" w:rsidRPr="001705AA">
        <w:rPr>
          <w:rFonts w:hint="eastAsia"/>
          <w:sz w:val="24"/>
          <w:szCs w:val="24"/>
        </w:rPr>
        <w:t xml:space="preserve">說   </w:t>
      </w:r>
      <w:r w:rsidR="00AD685B">
        <w:rPr>
          <w:rFonts w:hint="eastAsia"/>
          <w:sz w:val="24"/>
          <w:szCs w:val="24"/>
        </w:rPr>
        <w:t xml:space="preserve"> </w:t>
      </w:r>
      <w:r w:rsidR="00720F56" w:rsidRPr="001705AA">
        <w:rPr>
          <w:rFonts w:hint="eastAsia"/>
          <w:sz w:val="24"/>
          <w:szCs w:val="24"/>
        </w:rPr>
        <w:t>明：1.</w:t>
      </w:r>
      <w:r w:rsidR="00835083">
        <w:rPr>
          <w:rFonts w:hint="eastAsia"/>
          <w:sz w:val="24"/>
          <w:szCs w:val="24"/>
        </w:rPr>
        <w:t>統計資料</w:t>
      </w:r>
      <w:r w:rsidRPr="007A4051">
        <w:rPr>
          <w:rFonts w:hAnsi="標楷體" w:hint="eastAsia"/>
          <w:sz w:val="24"/>
          <w:szCs w:val="24"/>
        </w:rPr>
        <w:t>來源</w:t>
      </w:r>
      <w:r w:rsidR="00835083">
        <w:rPr>
          <w:rFonts w:hAnsi="標楷體" w:hint="eastAsia"/>
          <w:sz w:val="24"/>
          <w:szCs w:val="24"/>
        </w:rPr>
        <w:t>為</w:t>
      </w:r>
      <w:r>
        <w:rPr>
          <w:rFonts w:hAnsi="標楷體" w:hint="eastAsia"/>
          <w:sz w:val="24"/>
          <w:szCs w:val="24"/>
        </w:rPr>
        <w:t>健保</w:t>
      </w:r>
      <w:r w:rsidRPr="007A4051">
        <w:rPr>
          <w:rFonts w:hAnsi="標楷體" w:hint="eastAsia"/>
          <w:sz w:val="24"/>
          <w:szCs w:val="24"/>
        </w:rPr>
        <w:t>署多模型健保資料平台門診/交付機構明細及醫令檔、醫令價格資訊檔(擷取日期：112年8月8日)。</w:t>
      </w:r>
    </w:p>
    <w:p w:rsidR="00720F56" w:rsidRDefault="00720F56" w:rsidP="00835083">
      <w:pPr>
        <w:wordWrap w:val="0"/>
        <w:spacing w:line="280" w:lineRule="exact"/>
        <w:ind w:leftChars="50" w:left="1616" w:firstLineChars="0" w:hanging="1474"/>
        <w:rPr>
          <w:rFonts w:hAnsi="標楷體"/>
          <w:sz w:val="24"/>
          <w:szCs w:val="24"/>
        </w:rPr>
      </w:pPr>
      <w:r w:rsidRPr="001705AA">
        <w:rPr>
          <w:rFonts w:hAnsi="標楷體" w:hint="eastAsia"/>
          <w:sz w:val="24"/>
          <w:szCs w:val="24"/>
        </w:rPr>
        <w:t xml:space="preserve">     </w:t>
      </w:r>
      <w:r w:rsidR="007A4051">
        <w:rPr>
          <w:rFonts w:hAnsi="標楷體" w:hint="eastAsia"/>
          <w:sz w:val="24"/>
          <w:szCs w:val="24"/>
        </w:rPr>
        <w:t xml:space="preserve"> </w:t>
      </w:r>
      <w:r w:rsidRPr="001705AA">
        <w:rPr>
          <w:rFonts w:hAnsi="標楷體" w:hint="eastAsia"/>
          <w:sz w:val="24"/>
          <w:szCs w:val="24"/>
        </w:rPr>
        <w:t xml:space="preserve">  </w:t>
      </w:r>
      <w:r w:rsidR="00AD685B">
        <w:rPr>
          <w:rFonts w:hAnsi="標楷體" w:hint="eastAsia"/>
          <w:sz w:val="24"/>
          <w:szCs w:val="24"/>
        </w:rPr>
        <w:t xml:space="preserve"> </w:t>
      </w:r>
      <w:r w:rsidRPr="001705AA">
        <w:rPr>
          <w:rFonts w:hAnsi="標楷體" w:hint="eastAsia"/>
          <w:sz w:val="24"/>
          <w:szCs w:val="24"/>
        </w:rPr>
        <w:t xml:space="preserve"> 2.</w:t>
      </w:r>
      <w:r w:rsidR="000243EC" w:rsidRPr="000243EC">
        <w:rPr>
          <w:rFonts w:hAnsi="標楷體" w:hint="eastAsia"/>
          <w:sz w:val="24"/>
          <w:szCs w:val="24"/>
        </w:rPr>
        <w:t>資料範圍</w:t>
      </w:r>
      <w:r w:rsidR="000243EC">
        <w:rPr>
          <w:rFonts w:hAnsi="標楷體" w:hint="eastAsia"/>
          <w:sz w:val="24"/>
          <w:szCs w:val="24"/>
        </w:rPr>
        <w:t>為</w:t>
      </w:r>
      <w:r w:rsidR="000243EC" w:rsidRPr="000243EC">
        <w:rPr>
          <w:rFonts w:hAnsi="標楷體" w:hint="eastAsia"/>
          <w:sz w:val="24"/>
          <w:szCs w:val="24"/>
        </w:rPr>
        <w:t>費用年月107年1月至11</w:t>
      </w:r>
      <w:r w:rsidR="007F1CFB">
        <w:rPr>
          <w:rFonts w:hAnsi="標楷體" w:hint="eastAsia"/>
          <w:sz w:val="24"/>
          <w:szCs w:val="24"/>
        </w:rPr>
        <w:t>1</w:t>
      </w:r>
      <w:r w:rsidR="000243EC" w:rsidRPr="000243EC">
        <w:rPr>
          <w:rFonts w:hAnsi="標楷體" w:hint="eastAsia"/>
          <w:sz w:val="24"/>
          <w:szCs w:val="24"/>
        </w:rPr>
        <w:t>年</w:t>
      </w:r>
      <w:r w:rsidR="007F1CFB">
        <w:rPr>
          <w:rFonts w:hAnsi="標楷體" w:hint="eastAsia"/>
          <w:sz w:val="24"/>
          <w:szCs w:val="24"/>
        </w:rPr>
        <w:t>12</w:t>
      </w:r>
      <w:r w:rsidR="000243EC" w:rsidRPr="000243EC">
        <w:rPr>
          <w:rFonts w:hAnsi="標楷體" w:hint="eastAsia"/>
          <w:sz w:val="24"/>
          <w:szCs w:val="24"/>
        </w:rPr>
        <w:t>月門診及交付機構總額內(不含代辦)西醫申報案件。</w:t>
      </w:r>
    </w:p>
    <w:p w:rsidR="000243EC" w:rsidRPr="000243EC" w:rsidRDefault="00720F56" w:rsidP="00835083">
      <w:pPr>
        <w:wordWrap w:val="0"/>
        <w:spacing w:line="280" w:lineRule="exact"/>
        <w:ind w:leftChars="50" w:left="1469" w:firstLineChars="0" w:hanging="1327"/>
        <w:rPr>
          <w:rFonts w:hAnsi="標楷體" w:hint="eastAsia"/>
          <w:sz w:val="24"/>
          <w:szCs w:val="24"/>
        </w:rPr>
      </w:pPr>
      <w:r w:rsidRPr="001705AA">
        <w:rPr>
          <w:rFonts w:hAnsi="標楷體" w:hint="eastAsia"/>
          <w:sz w:val="24"/>
          <w:szCs w:val="24"/>
        </w:rPr>
        <w:t xml:space="preserve">         </w:t>
      </w:r>
      <w:r w:rsidR="00AD685B">
        <w:rPr>
          <w:rFonts w:hAnsi="標楷體" w:hint="eastAsia"/>
          <w:sz w:val="24"/>
          <w:szCs w:val="24"/>
        </w:rPr>
        <w:t xml:space="preserve"> </w:t>
      </w:r>
      <w:r w:rsidRPr="001705AA">
        <w:rPr>
          <w:rFonts w:hAnsi="標楷體" w:hint="eastAsia"/>
          <w:sz w:val="24"/>
          <w:szCs w:val="24"/>
        </w:rPr>
        <w:t>3.</w:t>
      </w:r>
      <w:r w:rsidR="000243EC" w:rsidRPr="000243EC">
        <w:rPr>
          <w:rFonts w:hAnsi="標楷體" w:hint="eastAsia"/>
          <w:sz w:val="24"/>
          <w:szCs w:val="24"/>
        </w:rPr>
        <w:t>統計定義：</w:t>
      </w:r>
    </w:p>
    <w:p w:rsidR="000243EC" w:rsidRPr="000243EC" w:rsidRDefault="000243EC" w:rsidP="00835083">
      <w:pPr>
        <w:wordWrap w:val="0"/>
        <w:spacing w:line="280" w:lineRule="exact"/>
        <w:ind w:leftChars="50" w:left="1730" w:firstLineChars="0" w:hanging="1588"/>
        <w:rPr>
          <w:rFonts w:hAnsi="標楷體" w:hint="eastAsia"/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          </w:t>
      </w:r>
      <w:r w:rsidRPr="000243EC">
        <w:rPr>
          <w:rFonts w:hAnsi="標楷體" w:hint="eastAsia"/>
          <w:sz w:val="24"/>
          <w:szCs w:val="24"/>
        </w:rPr>
        <w:t>(1)西醫案件：門診醫事類別(HOSP_DATA_TYPE)或交付機構原醫事類別(ORIG_HOSP_DATA_TYPE)欄位，申報為「11-門診西醫診所」、「12-門診西醫醫院」、「15-門診洗腎」、「19-門診其他醫事機構」任一者。</w:t>
      </w:r>
    </w:p>
    <w:p w:rsidR="000243EC" w:rsidRPr="000243EC" w:rsidRDefault="000243EC" w:rsidP="00835083">
      <w:pPr>
        <w:wordWrap w:val="0"/>
        <w:spacing w:line="280" w:lineRule="exact"/>
        <w:ind w:leftChars="50" w:left="1730" w:firstLineChars="0" w:hanging="1588"/>
        <w:rPr>
          <w:rFonts w:hAnsi="標楷體" w:hint="eastAsia"/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          </w:t>
      </w:r>
      <w:r w:rsidRPr="000243EC">
        <w:rPr>
          <w:rFonts w:hAnsi="標楷體" w:hint="eastAsia"/>
          <w:sz w:val="24"/>
          <w:szCs w:val="24"/>
        </w:rPr>
        <w:t>(2)門診申報案件數：門診排除部份醫令補報案件(APPL_CAUSE_MARK=2)後計數，交付機構案件不計。</w:t>
      </w:r>
    </w:p>
    <w:p w:rsidR="000243EC" w:rsidRPr="000243EC" w:rsidRDefault="000243EC" w:rsidP="00835083">
      <w:pPr>
        <w:wordWrap w:val="0"/>
        <w:spacing w:line="280" w:lineRule="exact"/>
        <w:ind w:leftChars="50" w:left="1730" w:firstLineChars="0" w:hanging="1588"/>
        <w:rPr>
          <w:rFonts w:hAnsi="標楷體" w:hint="eastAsia"/>
          <w:sz w:val="24"/>
          <w:szCs w:val="24"/>
        </w:rPr>
      </w:pPr>
      <w:r>
        <w:rPr>
          <w:rFonts w:hAnsi="標楷體" w:hint="eastAsia"/>
          <w:sz w:val="24"/>
          <w:szCs w:val="24"/>
        </w:rPr>
        <w:lastRenderedPageBreak/>
        <w:t xml:space="preserve">          </w:t>
      </w:r>
      <w:r w:rsidRPr="000243EC">
        <w:rPr>
          <w:rFonts w:hAnsi="標楷體" w:hint="eastAsia"/>
          <w:sz w:val="24"/>
          <w:szCs w:val="24"/>
        </w:rPr>
        <w:t>(3)日劑藥費：當次申報案件包含任一日劑藥費醫令(MA1、MA2、MA3、MA4)且前述醫令合計申報點數大於0者。其件數以申報案件筆數計，其點數以醫令點數(ORDER_DOT)加總計。</w:t>
      </w:r>
    </w:p>
    <w:p w:rsidR="00720F56" w:rsidRPr="001705AA" w:rsidRDefault="000243EC" w:rsidP="00835083">
      <w:pPr>
        <w:wordWrap w:val="0"/>
        <w:spacing w:line="280" w:lineRule="exact"/>
        <w:ind w:leftChars="50" w:left="1730" w:firstLineChars="0" w:hanging="1588"/>
        <w:rPr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          </w:t>
      </w:r>
      <w:r w:rsidRPr="000243EC">
        <w:rPr>
          <w:rFonts w:hAnsi="標楷體" w:hint="eastAsia"/>
          <w:sz w:val="24"/>
          <w:szCs w:val="24"/>
        </w:rPr>
        <w:t>(4)實際藥費：日劑藥費案件當次申報之不計價藥品(ORDER_TYPE=4且醫令長度為10碼)之推估藥品費用加總。推估費用係以各藥品當月於醫令價格資訊檔所載單價*申報醫令總量(ORDER_QTY)後加總計算。</w:t>
      </w:r>
    </w:p>
    <w:p w:rsidR="007604A1" w:rsidRPr="007604A1" w:rsidRDefault="004920C2" w:rsidP="00AD685B">
      <w:pPr>
        <w:spacing w:line="280" w:lineRule="exact"/>
        <w:ind w:leftChars="0" w:left="0" w:firstLineChars="0" w:firstLine="0"/>
        <w:jc w:val="left"/>
        <w:rPr>
          <w:sz w:val="24"/>
          <w:szCs w:val="24"/>
        </w:rPr>
      </w:pPr>
      <w:r>
        <w:rPr>
          <w:rFonts w:hAnsi="標楷體" w:hint="eastAsia"/>
          <w:sz w:val="24"/>
        </w:rPr>
        <w:t xml:space="preserve"> </w:t>
      </w:r>
      <w:r w:rsidR="007604A1" w:rsidRPr="007604A1">
        <w:rPr>
          <w:rFonts w:hAnsi="標楷體" w:hint="eastAsia"/>
          <w:sz w:val="24"/>
        </w:rPr>
        <w:t>資料來源：健保署提供。</w:t>
      </w:r>
    </w:p>
    <w:p w:rsidR="007604A1" w:rsidRPr="007604A1" w:rsidRDefault="007604A1" w:rsidP="009A0E6C">
      <w:pPr>
        <w:pStyle w:val="21"/>
        <w:ind w:left="850" w:firstLine="566"/>
      </w:pPr>
      <w:r w:rsidRPr="007604A1">
        <w:rPr>
          <w:rFonts w:hint="eastAsia"/>
        </w:rPr>
        <w:t>依健保署提供</w:t>
      </w:r>
      <w:r w:rsidR="00D5496C">
        <w:rPr>
          <w:rFonts w:hint="eastAsia"/>
        </w:rPr>
        <w:t>之</w:t>
      </w:r>
      <w:r w:rsidRPr="007604A1">
        <w:rPr>
          <w:rFonts w:hint="eastAsia"/>
        </w:rPr>
        <w:t>資料，我國111年度健保藥費(已扣除藥品協議返還金額)</w:t>
      </w:r>
      <w:r w:rsidR="00D5496C">
        <w:rPr>
          <w:rFonts w:hint="eastAsia"/>
        </w:rPr>
        <w:t>點數</w:t>
      </w:r>
      <w:r w:rsidRPr="007604A1">
        <w:rPr>
          <w:rFonts w:hint="eastAsia"/>
        </w:rPr>
        <w:t>2</w:t>
      </w:r>
      <w:r w:rsidRPr="007604A1">
        <w:t>,</w:t>
      </w:r>
      <w:r w:rsidRPr="007604A1">
        <w:rPr>
          <w:rFonts w:hint="eastAsia"/>
        </w:rPr>
        <w:t>228億點已較1</w:t>
      </w:r>
      <w:r w:rsidRPr="007604A1">
        <w:t>08</w:t>
      </w:r>
      <w:r w:rsidRPr="007604A1">
        <w:rPr>
          <w:rFonts w:hint="eastAsia"/>
        </w:rPr>
        <w:t>年度之</w:t>
      </w:r>
      <w:r w:rsidRPr="007604A1">
        <w:t>2,048</w:t>
      </w:r>
      <w:r w:rsidRPr="007604A1">
        <w:rPr>
          <w:rFonts w:hint="eastAsia"/>
        </w:rPr>
        <w:t>億點增加8.79%，為利醫療資源有效運用，允宜賡續檢討藥品給付相關標準。</w:t>
      </w:r>
    </w:p>
    <w:p w:rsidR="00166061" w:rsidRDefault="007604A1" w:rsidP="009A0E6C">
      <w:pPr>
        <w:ind w:left="566" w:firstLine="566"/>
      </w:pPr>
      <w:r w:rsidRPr="007604A1">
        <w:rPr>
          <w:rFonts w:hAnsi="標楷體" w:hint="eastAsia"/>
        </w:rPr>
        <w:t>綜上，指示用藥並非全民健康保險規定給付範疇，健保署自94年起雖檢討指示用藥給付情形，惟111年度刪減品項有限</w:t>
      </w:r>
      <w:r w:rsidR="00624A13">
        <w:rPr>
          <w:rFonts w:hAnsi="標楷體" w:hint="eastAsia"/>
        </w:rPr>
        <w:t>；</w:t>
      </w:r>
      <w:r w:rsidRPr="007604A1">
        <w:rPr>
          <w:rFonts w:hAnsi="標楷體" w:hint="eastAsia"/>
        </w:rPr>
        <w:t>另</w:t>
      </w:r>
      <w:r w:rsidR="00D5496C" w:rsidRPr="00D5496C">
        <w:rPr>
          <w:rFonts w:hAnsi="標楷體" w:hint="eastAsia"/>
        </w:rPr>
        <w:t>日劑藥費平均每件</w:t>
      </w:r>
      <w:r w:rsidR="00D5496C">
        <w:rPr>
          <w:rFonts w:hAnsi="標楷體" w:hint="eastAsia"/>
        </w:rPr>
        <w:t>申報點數高於</w:t>
      </w:r>
      <w:r w:rsidR="00D5496C" w:rsidRPr="00D5496C">
        <w:rPr>
          <w:rFonts w:hAnsi="標楷體" w:hint="eastAsia"/>
        </w:rPr>
        <w:t>實際藥費</w:t>
      </w:r>
      <w:r w:rsidR="00D5496C">
        <w:rPr>
          <w:rFonts w:hAnsi="標楷體" w:hint="eastAsia"/>
        </w:rPr>
        <w:t>，</w:t>
      </w:r>
      <w:r w:rsidRPr="007604A1">
        <w:rPr>
          <w:rFonts w:hAnsi="標楷體" w:hint="eastAsia"/>
        </w:rPr>
        <w:t>宜審慎評估基層院所日劑藥費支付標準之合理性，俾利健保資源有效運用</w:t>
      </w:r>
      <w:r w:rsidRPr="007604A1">
        <w:rPr>
          <w:rFonts w:hint="eastAsia"/>
        </w:rPr>
        <w:t>。</w:t>
      </w:r>
    </w:p>
    <w:bookmarkEnd w:id="5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166061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30C" w:rsidRDefault="0034430C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4430C" w:rsidRDefault="0034430C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44F2D" w:rsidRPr="00944F2D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30C" w:rsidRDefault="0034430C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4430C" w:rsidRDefault="0034430C" w:rsidP="0004615E">
      <w:pPr>
        <w:spacing w:line="240" w:lineRule="auto"/>
        <w:ind w:left="560" w:firstLine="560"/>
      </w:pPr>
      <w:r>
        <w:continuationSeparator/>
      </w:r>
    </w:p>
  </w:footnote>
  <w:footnote w:id="1">
    <w:p w:rsidR="007604A1" w:rsidRPr="00BC4EFC" w:rsidRDefault="007604A1" w:rsidP="007604A1">
      <w:pPr>
        <w:pStyle w:val="142"/>
        <w:spacing w:line="320" w:lineRule="exact"/>
        <w:ind w:left="83" w:hangingChars="34" w:hanging="83"/>
      </w:pPr>
      <w:r>
        <w:rPr>
          <w:rStyle w:val="affb"/>
        </w:rPr>
        <w:footnoteRef/>
      </w:r>
      <w:r>
        <w:rPr>
          <w:rFonts w:hint="eastAsia"/>
        </w:rPr>
        <w:t>健保法第51條第4款規定</w:t>
      </w:r>
      <w:r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「</w:t>
      </w:r>
      <w:r w:rsidRPr="001768F6">
        <w:rPr>
          <w:rFonts w:hAnsi="標楷體" w:hint="eastAsia"/>
        </w:rPr>
        <w:t>下列項目不列入本保險給付範圍：</w:t>
      </w:r>
      <w:r>
        <w:rPr>
          <w:rFonts w:hAnsi="標楷體" w:hint="eastAsia"/>
        </w:rPr>
        <w:t>…</w:t>
      </w:r>
      <w:r w:rsidRPr="009A38E0">
        <w:rPr>
          <w:rFonts w:hAnsi="標楷體" w:hint="eastAsia"/>
        </w:rPr>
        <w:t>四、成藥、醫師藥師藥劑生指示藥品。</w:t>
      </w:r>
      <w:r>
        <w:rPr>
          <w:rFonts w:hAnsi="標楷體" w:hint="eastAsia"/>
        </w:rPr>
        <w:t>」</w:t>
      </w:r>
    </w:p>
  </w:footnote>
  <w:footnote w:id="2">
    <w:p w:rsidR="007604A1" w:rsidRPr="00BC4EFC" w:rsidRDefault="007604A1" w:rsidP="007604A1">
      <w:pPr>
        <w:pStyle w:val="142"/>
        <w:spacing w:line="320" w:lineRule="exact"/>
        <w:ind w:left="83" w:hangingChars="34" w:hanging="83"/>
      </w:pPr>
      <w:r>
        <w:rPr>
          <w:rStyle w:val="affb"/>
        </w:rPr>
        <w:footnoteRef/>
      </w:r>
      <w:r>
        <w:rPr>
          <w:rFonts w:hint="eastAsia"/>
        </w:rPr>
        <w:t>全民健康保險藥物給付項目及支付標準第11條第1項第2款規定</w:t>
      </w:r>
      <w:r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「</w:t>
      </w:r>
      <w:r w:rsidRPr="008306D1">
        <w:rPr>
          <w:rFonts w:hAnsi="標楷體" w:hint="eastAsia"/>
        </w:rPr>
        <w:t>醫師指示用藥依法不在全民健康保險給付範圍，原前公、勞保核准使用之指示用藥，經醫師處方暫予支付。但保險人應逐步檢討並縮小該類品項之給付範圍</w:t>
      </w:r>
      <w:r>
        <w:rPr>
          <w:rFonts w:hAnsi="標楷體" w:hint="eastAsia"/>
        </w:rPr>
        <w:t>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4757"/>
    <w:rsid w:val="00006BD8"/>
    <w:rsid w:val="00010A1E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531DC"/>
    <w:rsid w:val="00154A71"/>
    <w:rsid w:val="00154E1C"/>
    <w:rsid w:val="00155434"/>
    <w:rsid w:val="00157ED2"/>
    <w:rsid w:val="00162E37"/>
    <w:rsid w:val="0016311A"/>
    <w:rsid w:val="00164F9F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3830"/>
    <w:rsid w:val="001C3FDA"/>
    <w:rsid w:val="001C6CF9"/>
    <w:rsid w:val="001C77FA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70C1B"/>
    <w:rsid w:val="00270D29"/>
    <w:rsid w:val="00270F0C"/>
    <w:rsid w:val="00271BA6"/>
    <w:rsid w:val="00271EC8"/>
    <w:rsid w:val="00275734"/>
    <w:rsid w:val="00275A9F"/>
    <w:rsid w:val="00275D53"/>
    <w:rsid w:val="002810A1"/>
    <w:rsid w:val="002811A4"/>
    <w:rsid w:val="002827C5"/>
    <w:rsid w:val="002843D1"/>
    <w:rsid w:val="00292AAE"/>
    <w:rsid w:val="0029405E"/>
    <w:rsid w:val="002B02EC"/>
    <w:rsid w:val="002B2D8C"/>
    <w:rsid w:val="002B469E"/>
    <w:rsid w:val="002C3A48"/>
    <w:rsid w:val="002C511E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33806"/>
    <w:rsid w:val="00333D44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32ED"/>
    <w:rsid w:val="00374197"/>
    <w:rsid w:val="00374ECF"/>
    <w:rsid w:val="003755BF"/>
    <w:rsid w:val="00376063"/>
    <w:rsid w:val="0037663D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E428E"/>
    <w:rsid w:val="00501613"/>
    <w:rsid w:val="00505919"/>
    <w:rsid w:val="00506AD9"/>
    <w:rsid w:val="00507238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44B2"/>
    <w:rsid w:val="005722C5"/>
    <w:rsid w:val="00575CF0"/>
    <w:rsid w:val="00575E2B"/>
    <w:rsid w:val="00576FAD"/>
    <w:rsid w:val="0058616B"/>
    <w:rsid w:val="00593C37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3319"/>
    <w:rsid w:val="007C427D"/>
    <w:rsid w:val="007C5C7E"/>
    <w:rsid w:val="007C6183"/>
    <w:rsid w:val="007C622E"/>
    <w:rsid w:val="007C73D7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5A81"/>
    <w:rsid w:val="00810EDB"/>
    <w:rsid w:val="00814F80"/>
    <w:rsid w:val="00815146"/>
    <w:rsid w:val="00823D05"/>
    <w:rsid w:val="00826DE7"/>
    <w:rsid w:val="00827379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8BB"/>
    <w:rsid w:val="00865DF3"/>
    <w:rsid w:val="008670D5"/>
    <w:rsid w:val="008732BE"/>
    <w:rsid w:val="00873A95"/>
    <w:rsid w:val="00874F43"/>
    <w:rsid w:val="00876429"/>
    <w:rsid w:val="00877287"/>
    <w:rsid w:val="00880DD5"/>
    <w:rsid w:val="008841A7"/>
    <w:rsid w:val="00884FCC"/>
    <w:rsid w:val="00885D51"/>
    <w:rsid w:val="00885D75"/>
    <w:rsid w:val="00890186"/>
    <w:rsid w:val="00890A59"/>
    <w:rsid w:val="008912B5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612A"/>
    <w:rsid w:val="008B7A05"/>
    <w:rsid w:val="008C1F4E"/>
    <w:rsid w:val="008C2616"/>
    <w:rsid w:val="008C510B"/>
    <w:rsid w:val="008C5816"/>
    <w:rsid w:val="008C70DA"/>
    <w:rsid w:val="008C711E"/>
    <w:rsid w:val="008C754E"/>
    <w:rsid w:val="008C793E"/>
    <w:rsid w:val="008D202B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7826"/>
    <w:rsid w:val="00911B6E"/>
    <w:rsid w:val="00922824"/>
    <w:rsid w:val="00922946"/>
    <w:rsid w:val="009245D0"/>
    <w:rsid w:val="00925AF5"/>
    <w:rsid w:val="00925B33"/>
    <w:rsid w:val="00931B63"/>
    <w:rsid w:val="009425E1"/>
    <w:rsid w:val="0094486E"/>
    <w:rsid w:val="00944F2D"/>
    <w:rsid w:val="00945992"/>
    <w:rsid w:val="00946470"/>
    <w:rsid w:val="00950559"/>
    <w:rsid w:val="00951B37"/>
    <w:rsid w:val="00954A08"/>
    <w:rsid w:val="00961498"/>
    <w:rsid w:val="00962978"/>
    <w:rsid w:val="00962BD8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53F4"/>
    <w:rsid w:val="00A17DDB"/>
    <w:rsid w:val="00A26234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80111"/>
    <w:rsid w:val="00A80CC7"/>
    <w:rsid w:val="00A81F2D"/>
    <w:rsid w:val="00A82E48"/>
    <w:rsid w:val="00A84970"/>
    <w:rsid w:val="00A87B40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6C69"/>
    <w:rsid w:val="00C17A96"/>
    <w:rsid w:val="00C17F7D"/>
    <w:rsid w:val="00C2152E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374B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C8F"/>
    <w:rsid w:val="00E417D7"/>
    <w:rsid w:val="00E43B91"/>
    <w:rsid w:val="00E518C9"/>
    <w:rsid w:val="00E519B4"/>
    <w:rsid w:val="00E53DA2"/>
    <w:rsid w:val="00E5621F"/>
    <w:rsid w:val="00E61AF3"/>
    <w:rsid w:val="00E61B02"/>
    <w:rsid w:val="00E62FA7"/>
    <w:rsid w:val="00E62FB3"/>
    <w:rsid w:val="00E6320C"/>
    <w:rsid w:val="00E662FC"/>
    <w:rsid w:val="00E6652F"/>
    <w:rsid w:val="00E70171"/>
    <w:rsid w:val="00E734AB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66D0"/>
    <w:rsid w:val="00E97094"/>
    <w:rsid w:val="00EA053F"/>
    <w:rsid w:val="00EA0752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4189"/>
    <w:rsid w:val="00F25EE1"/>
    <w:rsid w:val="00F31C4D"/>
    <w:rsid w:val="00F33D75"/>
    <w:rsid w:val="00F34DD9"/>
    <w:rsid w:val="00F34E6C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E7A1A396-A62F-4BEC-9BC8-46999E15E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186CF-F102-4EF2-8C5C-F0E4B3990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</Template>
  <TotalTime>0</TotalTime>
  <Pages>3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Links>
    <vt:vector size="108" baseType="variant">
      <vt:variant>
        <vt:i4>1507376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_Toc163570539</vt:lpwstr>
      </vt:variant>
      <vt:variant>
        <vt:i4>1507376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_Toc163570538</vt:lpwstr>
      </vt:variant>
      <vt:variant>
        <vt:i4>1507376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_Toc163570537</vt:lpwstr>
      </vt:variant>
      <vt:variant>
        <vt:i4>1507376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_Toc163570536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_Toc163570535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_Toc163570534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_Toc163570533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_Toc163570532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_Toc163570531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_Toc163570530</vt:lpwstr>
      </vt:variant>
      <vt:variant>
        <vt:i4>1441840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_Toc163570529</vt:lpwstr>
      </vt:variant>
      <vt:variant>
        <vt:i4>1441840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_Toc163570528</vt:lpwstr>
      </vt:variant>
      <vt:variant>
        <vt:i4>1441840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_Toc163570527</vt:lpwstr>
      </vt:variant>
      <vt:variant>
        <vt:i4>1441840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_Toc163570526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_Toc163570525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_Toc163570524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_Toc163570523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_Toc163570522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2024-04-10T01:26:00Z</dcterms:created>
  <dcterms:modified xsi:type="dcterms:W3CDTF">2024-04-10T01:26:00Z</dcterms:modified>
</cp:coreProperties>
</file>