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DD7682" w:rsidP="000752FE">
      <w:pPr>
        <w:pStyle w:val="aa"/>
        <w:rPr>
          <w:rFonts w:hint="eastAsia"/>
          <w:spacing w:val="-2"/>
        </w:rPr>
      </w:pPr>
      <w:bookmarkStart w:id="0" w:name="_Toc338354636"/>
      <w:bookmarkStart w:id="1" w:name="_GoBack"/>
      <w:bookmarkEnd w:id="1"/>
      <w:r w:rsidRPr="009F77D4">
        <w:rPr>
          <w:rFonts w:hint="eastAsia"/>
          <w:spacing w:val="-2"/>
        </w:rPr>
        <w:t>臺灣鐵路</w:t>
      </w:r>
      <w:r w:rsidR="009F77D4" w:rsidRPr="009F77D4">
        <w:rPr>
          <w:rFonts w:hint="eastAsia"/>
          <w:spacing w:val="-2"/>
        </w:rPr>
        <w:t>管理局111</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BB0D2D" w:rsidRPr="00017892" w:rsidRDefault="00BB0D2D" w:rsidP="00BB0D2D">
      <w:pPr>
        <w:adjustRightInd w:val="0"/>
        <w:ind w:leftChars="0" w:left="0" w:firstLine="566"/>
        <w:rPr>
          <w:rFonts w:hint="eastAsia"/>
        </w:rPr>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r w:rsidRPr="00017892">
        <w:rPr>
          <w:rFonts w:hint="eastAsia"/>
        </w:rPr>
        <w:t>臺灣鐵路管理局(以下簡稱臺鐵)</w:t>
      </w:r>
      <w:r w:rsidRPr="00017892">
        <w:rPr>
          <w:rFonts w:hAnsi="標楷體" w:hint="eastAsia"/>
        </w:rPr>
        <w:t>11</w:t>
      </w:r>
      <w:r w:rsidR="00017892" w:rsidRPr="00017892">
        <w:rPr>
          <w:rFonts w:hAnsi="標楷體" w:hint="eastAsia"/>
        </w:rPr>
        <w:t>1</w:t>
      </w:r>
      <w:r w:rsidRPr="00017892">
        <w:rPr>
          <w:rFonts w:hAnsi="標楷體" w:hint="eastAsia"/>
        </w:rPr>
        <w:t>年度決算營業收入</w:t>
      </w:r>
      <w:r w:rsidR="00017892" w:rsidRPr="00017892">
        <w:rPr>
          <w:rFonts w:hAnsi="標楷體" w:hint="eastAsia"/>
        </w:rPr>
        <w:t>264</w:t>
      </w:r>
      <w:r w:rsidRPr="00017892">
        <w:rPr>
          <w:rFonts w:hAnsi="標楷體" w:hint="eastAsia"/>
        </w:rPr>
        <w:t>億</w:t>
      </w:r>
      <w:r w:rsidR="00017892" w:rsidRPr="00017892">
        <w:rPr>
          <w:rFonts w:hAnsi="標楷體" w:hint="eastAsia"/>
        </w:rPr>
        <w:t>6</w:t>
      </w:r>
      <w:r w:rsidRPr="00017892">
        <w:rPr>
          <w:rFonts w:hAnsi="標楷體" w:hint="eastAsia"/>
        </w:rPr>
        <w:t>,</w:t>
      </w:r>
      <w:r w:rsidR="00017892" w:rsidRPr="00017892">
        <w:rPr>
          <w:rFonts w:hAnsi="標楷體" w:hint="eastAsia"/>
        </w:rPr>
        <w:t>805</w:t>
      </w:r>
      <w:r w:rsidRPr="00017892">
        <w:rPr>
          <w:rFonts w:hAnsi="標楷體" w:hint="eastAsia"/>
        </w:rPr>
        <w:t>萬</w:t>
      </w:r>
      <w:r w:rsidR="00017892" w:rsidRPr="00017892">
        <w:rPr>
          <w:rFonts w:hAnsi="標楷體" w:hint="eastAsia"/>
        </w:rPr>
        <w:t>2</w:t>
      </w:r>
      <w:r w:rsidRPr="00017892">
        <w:rPr>
          <w:rFonts w:hAnsi="標楷體" w:hint="eastAsia"/>
        </w:rPr>
        <w:t>千元，營業成本</w:t>
      </w:r>
      <w:r w:rsidR="00017892" w:rsidRPr="00017892">
        <w:rPr>
          <w:rFonts w:hAnsi="標楷體" w:hint="eastAsia"/>
        </w:rPr>
        <w:t>345</w:t>
      </w:r>
      <w:r w:rsidRPr="00017892">
        <w:rPr>
          <w:rFonts w:hAnsi="標楷體" w:hint="eastAsia"/>
        </w:rPr>
        <w:t>億</w:t>
      </w:r>
      <w:r w:rsidR="00017892" w:rsidRPr="00017892">
        <w:rPr>
          <w:rFonts w:hAnsi="標楷體" w:hint="eastAsia"/>
        </w:rPr>
        <w:t>2</w:t>
      </w:r>
      <w:r w:rsidRPr="00017892">
        <w:rPr>
          <w:rFonts w:hAnsi="標楷體"/>
        </w:rPr>
        <w:t>,</w:t>
      </w:r>
      <w:r w:rsidR="00017892" w:rsidRPr="00017892">
        <w:rPr>
          <w:rFonts w:hAnsi="標楷體"/>
        </w:rPr>
        <w:t>610</w:t>
      </w:r>
      <w:r w:rsidRPr="00017892">
        <w:rPr>
          <w:rFonts w:hAnsi="標楷體" w:hint="eastAsia"/>
        </w:rPr>
        <w:t>萬</w:t>
      </w:r>
      <w:r w:rsidR="00017892" w:rsidRPr="00017892">
        <w:rPr>
          <w:rFonts w:hAnsi="標楷體" w:hint="eastAsia"/>
        </w:rPr>
        <w:t>4</w:t>
      </w:r>
      <w:r w:rsidRPr="00017892">
        <w:rPr>
          <w:rFonts w:hAnsi="標楷體" w:hint="eastAsia"/>
        </w:rPr>
        <w:t>千元，營業費用1</w:t>
      </w:r>
      <w:r w:rsidR="00017892" w:rsidRPr="00017892">
        <w:rPr>
          <w:rFonts w:hAnsi="標楷體" w:hint="eastAsia"/>
        </w:rPr>
        <w:t>5</w:t>
      </w:r>
      <w:r w:rsidRPr="00017892">
        <w:rPr>
          <w:rFonts w:hAnsi="標楷體" w:hint="eastAsia"/>
        </w:rPr>
        <w:t>億</w:t>
      </w:r>
      <w:r w:rsidR="00017892" w:rsidRPr="00017892">
        <w:rPr>
          <w:rFonts w:hAnsi="標楷體" w:hint="eastAsia"/>
        </w:rPr>
        <w:t>2</w:t>
      </w:r>
      <w:r w:rsidR="00CE1BE3">
        <w:rPr>
          <w:rFonts w:hAnsi="標楷體"/>
        </w:rPr>
        <w:t>,</w:t>
      </w:r>
      <w:r w:rsidR="00017892" w:rsidRPr="00017892">
        <w:rPr>
          <w:rFonts w:hAnsi="標楷體" w:hint="eastAsia"/>
        </w:rPr>
        <w:t>547</w:t>
      </w:r>
      <w:r w:rsidR="00CE1BE3">
        <w:rPr>
          <w:rFonts w:hAnsi="標楷體" w:hint="eastAsia"/>
        </w:rPr>
        <w:t>萬</w:t>
      </w:r>
      <w:r w:rsidR="00017892" w:rsidRPr="00017892">
        <w:rPr>
          <w:rFonts w:hAnsi="標楷體" w:hint="eastAsia"/>
        </w:rPr>
        <w:t>1</w:t>
      </w:r>
      <w:r w:rsidR="00CE1BE3">
        <w:rPr>
          <w:rFonts w:hAnsi="標楷體" w:hint="eastAsia"/>
        </w:rPr>
        <w:t>千元</w:t>
      </w:r>
      <w:r w:rsidRPr="00017892">
        <w:rPr>
          <w:rFonts w:hAnsi="標楷體" w:hint="eastAsia"/>
        </w:rPr>
        <w:t>，營業外收入</w:t>
      </w:r>
      <w:r w:rsidR="00017892" w:rsidRPr="00017892">
        <w:rPr>
          <w:rFonts w:hAnsi="標楷體" w:hint="eastAsia"/>
        </w:rPr>
        <w:t>26</w:t>
      </w:r>
      <w:r w:rsidRPr="00017892">
        <w:rPr>
          <w:rFonts w:hAnsi="標楷體" w:hint="eastAsia"/>
        </w:rPr>
        <w:t>億</w:t>
      </w:r>
      <w:r w:rsidR="00017892" w:rsidRPr="00017892">
        <w:rPr>
          <w:rFonts w:hAnsi="標楷體" w:hint="eastAsia"/>
        </w:rPr>
        <w:t>165</w:t>
      </w:r>
      <w:r w:rsidRPr="00017892">
        <w:rPr>
          <w:rFonts w:hAnsi="標楷體" w:hint="eastAsia"/>
        </w:rPr>
        <w:t>萬</w:t>
      </w:r>
      <w:r w:rsidR="00017892" w:rsidRPr="00017892">
        <w:rPr>
          <w:rFonts w:hAnsi="標楷體" w:hint="eastAsia"/>
        </w:rPr>
        <w:t>5千元</w:t>
      </w:r>
      <w:r w:rsidRPr="00017892">
        <w:rPr>
          <w:rFonts w:hAnsi="標楷體" w:hint="eastAsia"/>
        </w:rPr>
        <w:t>，營業外費用</w:t>
      </w:r>
      <w:r w:rsidR="00017892" w:rsidRPr="00017892">
        <w:rPr>
          <w:rFonts w:hAnsi="標楷體" w:hint="eastAsia"/>
        </w:rPr>
        <w:t>41</w:t>
      </w:r>
      <w:r w:rsidRPr="00017892">
        <w:rPr>
          <w:rFonts w:hAnsi="標楷體" w:hint="eastAsia"/>
        </w:rPr>
        <w:t>億</w:t>
      </w:r>
      <w:r w:rsidR="00017892" w:rsidRPr="00017892">
        <w:rPr>
          <w:rFonts w:hAnsi="標楷體" w:hint="eastAsia"/>
        </w:rPr>
        <w:t>3</w:t>
      </w:r>
      <w:r w:rsidRPr="00017892">
        <w:rPr>
          <w:rFonts w:hAnsi="標楷體"/>
        </w:rPr>
        <w:t>,</w:t>
      </w:r>
      <w:r w:rsidR="00017892" w:rsidRPr="00017892">
        <w:rPr>
          <w:rFonts w:hAnsi="標楷體"/>
        </w:rPr>
        <w:t>269</w:t>
      </w:r>
      <w:r w:rsidRPr="00017892">
        <w:rPr>
          <w:rFonts w:hAnsi="標楷體" w:hint="eastAsia"/>
        </w:rPr>
        <w:t>萬</w:t>
      </w:r>
      <w:r w:rsidR="00017892" w:rsidRPr="00017892">
        <w:rPr>
          <w:rFonts w:hAnsi="標楷體" w:hint="eastAsia"/>
        </w:rPr>
        <w:t>2</w:t>
      </w:r>
      <w:r w:rsidRPr="00017892">
        <w:rPr>
          <w:rFonts w:hAnsi="標楷體" w:hint="eastAsia"/>
        </w:rPr>
        <w:t>千元，本期淨損11</w:t>
      </w:r>
      <w:r w:rsidR="00017892" w:rsidRPr="00017892">
        <w:rPr>
          <w:rFonts w:hAnsi="標楷體" w:hint="eastAsia"/>
        </w:rPr>
        <w:t>1</w:t>
      </w:r>
      <w:r w:rsidRPr="00017892">
        <w:rPr>
          <w:rFonts w:hAnsi="標楷體" w:hint="eastAsia"/>
        </w:rPr>
        <w:t>億</w:t>
      </w:r>
      <w:r w:rsidR="00017892" w:rsidRPr="00017892">
        <w:rPr>
          <w:rFonts w:hAnsi="標楷體" w:hint="eastAsia"/>
        </w:rPr>
        <w:t>1</w:t>
      </w:r>
      <w:r w:rsidRPr="00017892">
        <w:rPr>
          <w:rFonts w:hAnsi="標楷體" w:hint="eastAsia"/>
        </w:rPr>
        <w:t>,</w:t>
      </w:r>
      <w:r w:rsidR="00017892" w:rsidRPr="00017892">
        <w:rPr>
          <w:rFonts w:hAnsi="標楷體" w:hint="eastAsia"/>
        </w:rPr>
        <w:t>456</w:t>
      </w:r>
      <w:r w:rsidRPr="00017892">
        <w:rPr>
          <w:rFonts w:hAnsi="標楷體" w:hint="eastAsia"/>
        </w:rPr>
        <w:t>萬元，較1</w:t>
      </w:r>
      <w:r w:rsidR="00017892" w:rsidRPr="00017892">
        <w:rPr>
          <w:rFonts w:hAnsi="標楷體" w:hint="eastAsia"/>
        </w:rPr>
        <w:t>10</w:t>
      </w:r>
      <w:r w:rsidRPr="00017892">
        <w:rPr>
          <w:rFonts w:hAnsi="標楷體" w:hint="eastAsia"/>
        </w:rPr>
        <w:t>年度淨損</w:t>
      </w:r>
      <w:r w:rsidR="00017892" w:rsidRPr="00017892">
        <w:rPr>
          <w:rFonts w:hAnsi="標楷體" w:hint="eastAsia"/>
        </w:rPr>
        <w:t>減少18</w:t>
      </w:r>
      <w:r w:rsidRPr="00017892">
        <w:rPr>
          <w:rFonts w:hAnsi="標楷體" w:hint="eastAsia"/>
        </w:rPr>
        <w:t>億</w:t>
      </w:r>
      <w:r w:rsidR="00017892" w:rsidRPr="00017892">
        <w:rPr>
          <w:rFonts w:hAnsi="標楷體" w:hint="eastAsia"/>
        </w:rPr>
        <w:t>8</w:t>
      </w:r>
      <w:r w:rsidR="00017892" w:rsidRPr="00017892">
        <w:rPr>
          <w:rFonts w:hAnsi="標楷體"/>
        </w:rPr>
        <w:t>,160</w:t>
      </w:r>
      <w:r w:rsidRPr="00017892">
        <w:rPr>
          <w:rFonts w:hAnsi="標楷體" w:hint="eastAsia"/>
        </w:rPr>
        <w:t>萬</w:t>
      </w:r>
      <w:r w:rsidR="00017892" w:rsidRPr="00017892">
        <w:rPr>
          <w:rFonts w:hAnsi="標楷體" w:hint="eastAsia"/>
        </w:rPr>
        <w:t>2</w:t>
      </w:r>
      <w:r w:rsidRPr="00017892">
        <w:rPr>
          <w:rFonts w:hAnsi="標楷體" w:hint="eastAsia"/>
        </w:rPr>
        <w:t>千元(</w:t>
      </w:r>
      <w:r w:rsidR="00017892" w:rsidRPr="00017892">
        <w:rPr>
          <w:rFonts w:hAnsi="標楷體" w:hint="eastAsia"/>
        </w:rPr>
        <w:t>減</w:t>
      </w:r>
      <w:r w:rsidRPr="00017892">
        <w:rPr>
          <w:rFonts w:hAnsi="標楷體" w:hint="eastAsia"/>
        </w:rPr>
        <w:t>幅</w:t>
      </w:r>
      <w:r w:rsidR="00017892" w:rsidRPr="00017892">
        <w:rPr>
          <w:rFonts w:hAnsi="標楷體" w:hint="eastAsia"/>
        </w:rPr>
        <w:t>1</w:t>
      </w:r>
      <w:r w:rsidR="00017892" w:rsidRPr="00017892">
        <w:rPr>
          <w:rFonts w:hAnsi="標楷體"/>
        </w:rPr>
        <w:t>4.48</w:t>
      </w:r>
      <w:r w:rsidRPr="00017892">
        <w:rPr>
          <w:rFonts w:hAnsi="標楷體" w:hint="eastAsia"/>
        </w:rPr>
        <w:t>%)。</w:t>
      </w:r>
      <w:r w:rsidRPr="00017892">
        <w:rPr>
          <w:rFonts w:hAnsi="標楷體" w:hint="eastAsia"/>
          <w:w w:val="98"/>
        </w:rPr>
        <w:t>謹就臺鐵11</w:t>
      </w:r>
      <w:r w:rsidR="00017892" w:rsidRPr="00017892">
        <w:rPr>
          <w:rFonts w:hAnsi="標楷體" w:hint="eastAsia"/>
          <w:w w:val="98"/>
        </w:rPr>
        <w:t>1</w:t>
      </w:r>
      <w:r w:rsidRPr="00017892">
        <w:rPr>
          <w:rFonts w:hAnsi="標楷體" w:hint="eastAsia"/>
          <w:w w:val="98"/>
        </w:rPr>
        <w:t>年度營業決算評估如下：</w:t>
      </w:r>
    </w:p>
    <w:p w:rsidR="00141073" w:rsidRPr="00EC5F92" w:rsidRDefault="00141073" w:rsidP="0035424F">
      <w:pPr>
        <w:pStyle w:val="14"/>
        <w:ind w:left="567" w:hanging="567"/>
      </w:pPr>
      <w:bookmarkStart w:id="13" w:name="_Toc163545832"/>
      <w:r w:rsidRPr="00EC5F92">
        <w:rPr>
          <w:rFonts w:hint="eastAsia"/>
        </w:rPr>
        <w:t>一、</w:t>
      </w:r>
      <w:bookmarkStart w:id="14" w:name="OLE_LINK2"/>
      <w:bookmarkStart w:id="15" w:name="OLE_LINK3"/>
      <w:bookmarkStart w:id="16" w:name="OLE_LINK4"/>
      <w:r w:rsidRPr="00EC5F92">
        <w:rPr>
          <w:rFonts w:hint="eastAsia"/>
        </w:rPr>
        <w:t>臺鐵111年度虧損及</w:t>
      </w:r>
      <w:r w:rsidR="00520F07">
        <w:rPr>
          <w:rFonts w:hint="eastAsia"/>
        </w:rPr>
        <w:t>年底</w:t>
      </w:r>
      <w:r w:rsidRPr="00EC5F92">
        <w:rPr>
          <w:rFonts w:hint="eastAsia"/>
        </w:rPr>
        <w:t>短期債務分別逾111億元及1</w:t>
      </w:r>
      <w:r w:rsidRPr="00EC5F92">
        <w:t>,</w:t>
      </w:r>
      <w:r w:rsidRPr="00EC5F92">
        <w:rPr>
          <w:rFonts w:hint="eastAsia"/>
        </w:rPr>
        <w:t>600億元，允宜提升營運</w:t>
      </w:r>
      <w:bookmarkEnd w:id="14"/>
      <w:bookmarkEnd w:id="15"/>
      <w:bookmarkEnd w:id="16"/>
      <w:r w:rsidRPr="00EC5F92">
        <w:rPr>
          <w:rFonts w:hint="eastAsia"/>
        </w:rPr>
        <w:t>績效，並注意利率變動</w:t>
      </w:r>
      <w:r w:rsidR="00592717">
        <w:rPr>
          <w:rFonts w:hint="eastAsia"/>
        </w:rPr>
        <w:t>，</w:t>
      </w:r>
      <w:r w:rsidRPr="00EC5F92">
        <w:rPr>
          <w:rFonts w:hint="eastAsia"/>
        </w:rPr>
        <w:t>妥善規劃資金需求</w:t>
      </w:r>
      <w:bookmarkEnd w:id="13"/>
    </w:p>
    <w:p w:rsidR="00141073" w:rsidRPr="00904D11" w:rsidRDefault="00141073" w:rsidP="00904D11">
      <w:pPr>
        <w:ind w:left="566" w:firstLine="566"/>
      </w:pPr>
      <w:r w:rsidRPr="00904D11">
        <w:rPr>
          <w:rFonts w:hint="eastAsia"/>
        </w:rPr>
        <w:t>臺鐵111年度</w:t>
      </w:r>
      <w:r w:rsidR="00592717">
        <w:rPr>
          <w:rFonts w:hint="eastAsia"/>
        </w:rPr>
        <w:t>決算</w:t>
      </w:r>
      <w:r w:rsidRPr="00904D11">
        <w:rPr>
          <w:rFonts w:hint="eastAsia"/>
        </w:rPr>
        <w:t>虧損111.15億元，</w:t>
      </w:r>
      <w:r w:rsidR="004D6097">
        <w:rPr>
          <w:rFonts w:hint="eastAsia"/>
        </w:rPr>
        <w:t>當</w:t>
      </w:r>
      <w:r w:rsidRPr="00904D11">
        <w:rPr>
          <w:rFonts w:hint="eastAsia"/>
        </w:rPr>
        <w:t>年底短期債務1,638.97億元，經查：</w:t>
      </w:r>
    </w:p>
    <w:p w:rsidR="00141073" w:rsidRPr="00050E0A" w:rsidRDefault="00141073" w:rsidP="00CD14C0">
      <w:pPr>
        <w:pStyle w:val="a5"/>
        <w:ind w:left="849" w:hanging="283"/>
        <w:rPr>
          <w:b/>
        </w:rPr>
      </w:pPr>
      <w:r w:rsidRPr="00050E0A">
        <w:rPr>
          <w:rFonts w:hint="eastAsia"/>
          <w:b/>
        </w:rPr>
        <w:t>(</w:t>
      </w:r>
      <w:r>
        <w:rPr>
          <w:rFonts w:hint="eastAsia"/>
          <w:b/>
        </w:rPr>
        <w:t>一</w:t>
      </w:r>
      <w:r w:rsidRPr="00050E0A">
        <w:rPr>
          <w:rFonts w:hint="eastAsia"/>
          <w:b/>
        </w:rPr>
        <w:t>)台鐵虧損概呈增加趨勢，未來面臨增建之高鐵及捷運化建設陸續加入競爭，允宜預為因應</w:t>
      </w:r>
    </w:p>
    <w:p w:rsidR="00141073" w:rsidRPr="00050E0A" w:rsidRDefault="00141073" w:rsidP="00CD14C0">
      <w:pPr>
        <w:pStyle w:val="22"/>
        <w:ind w:left="850" w:firstLine="566"/>
        <w:rPr>
          <w:rFonts w:hint="eastAsia"/>
        </w:rPr>
      </w:pPr>
      <w:r w:rsidRPr="00050E0A">
        <w:rPr>
          <w:rFonts w:hint="eastAsia"/>
        </w:rPr>
        <w:t>臺鐵109</w:t>
      </w:r>
      <w:r w:rsidR="00592717">
        <w:rPr>
          <w:rFonts w:hint="eastAsia"/>
        </w:rPr>
        <w:t>至111</w:t>
      </w:r>
      <w:r w:rsidRPr="00050E0A">
        <w:rPr>
          <w:rFonts w:hint="eastAsia"/>
        </w:rPr>
        <w:t>年度受</w:t>
      </w:r>
      <w:r w:rsidRPr="00050E0A">
        <w:rPr>
          <w:rFonts w:hint="eastAsia"/>
          <w:snapToGrid/>
        </w:rPr>
        <w:t>嚴重特殊傳染性肺炎</w:t>
      </w:r>
      <w:r w:rsidRPr="00050E0A">
        <w:rPr>
          <w:rFonts w:hint="eastAsia"/>
        </w:rPr>
        <w:t>疫情(以下簡稱疫情)影響，致客貨運量及營業收入大幅減少；復以107至111年度營業成本及費用有逐年增長趨勢</w:t>
      </w:r>
      <w:r w:rsidRPr="00050E0A">
        <w:rPr>
          <w:rStyle w:val="af6"/>
        </w:rPr>
        <w:footnoteReference w:id="1"/>
      </w:r>
      <w:r w:rsidRPr="00050E0A">
        <w:rPr>
          <w:rFonts w:hint="eastAsia"/>
        </w:rPr>
        <w:t>，致實際虧損數由106年度13.52億元增加為111年度111.15億元(詳表1)，若無法有效改善財務狀況及提高營運績效，未來營運資金不足情況恐持續，屆時須</w:t>
      </w:r>
      <w:r w:rsidR="00592717">
        <w:rPr>
          <w:rFonts w:hint="eastAsia"/>
        </w:rPr>
        <w:t>再增</w:t>
      </w:r>
      <w:r w:rsidRPr="00050E0A">
        <w:rPr>
          <w:rFonts w:hint="eastAsia"/>
        </w:rPr>
        <w:t>借款支應</w:t>
      </w:r>
      <w:r>
        <w:rPr>
          <w:rFonts w:hint="eastAsia"/>
        </w:rPr>
        <w:t>，</w:t>
      </w:r>
      <w:r w:rsidRPr="00050E0A">
        <w:rPr>
          <w:rFonts w:hint="eastAsia"/>
        </w:rPr>
        <w:t>基此，仍需就營運面及財務面妥為規劃改善，以健全臺鐵體質。再者，面對近年即將規劃、設計或增建之高鐵及相關軌道建設，例如：高鐵延伸屏東及宜蘭之規劃作業、基隆南港間通勤軌道規劃及建設等計畫，未來上開運輸路線營運後，臺鐵競爭力恐遭削弱，允宜預為因應。</w:t>
      </w:r>
    </w:p>
    <w:p w:rsidR="00592717" w:rsidRDefault="00592717" w:rsidP="00CD14C0">
      <w:pPr>
        <w:pStyle w:val="142"/>
        <w:spacing w:line="500" w:lineRule="exact"/>
        <w:ind w:leftChars="300" w:left="1416" w:rightChars="-7" w:right="-20" w:hanging="566"/>
        <w:rPr>
          <w:b/>
          <w:sz w:val="28"/>
        </w:rPr>
      </w:pPr>
    </w:p>
    <w:p w:rsidR="00592717" w:rsidRDefault="00592717" w:rsidP="00CD14C0">
      <w:pPr>
        <w:pStyle w:val="142"/>
        <w:spacing w:line="500" w:lineRule="exact"/>
        <w:ind w:leftChars="300" w:left="1416" w:rightChars="-7" w:right="-20" w:hanging="566"/>
        <w:rPr>
          <w:b/>
          <w:sz w:val="28"/>
        </w:rPr>
      </w:pPr>
    </w:p>
    <w:p w:rsidR="00141073" w:rsidRPr="00050E0A" w:rsidRDefault="00141073" w:rsidP="00CD14C0">
      <w:pPr>
        <w:pStyle w:val="142"/>
        <w:spacing w:line="500" w:lineRule="exact"/>
        <w:ind w:leftChars="300" w:left="1416" w:rightChars="-7" w:right="-20" w:hanging="566"/>
        <w:rPr>
          <w:b/>
          <w:sz w:val="28"/>
        </w:rPr>
      </w:pPr>
      <w:r w:rsidRPr="00050E0A">
        <w:rPr>
          <w:rFonts w:hint="eastAsia"/>
          <w:b/>
          <w:sz w:val="28"/>
        </w:rPr>
        <w:lastRenderedPageBreak/>
        <w:t xml:space="preserve">表1  臺鐵106-111年度營運量值及損益表  </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331"/>
        <w:gridCol w:w="1331"/>
        <w:gridCol w:w="1331"/>
        <w:gridCol w:w="1331"/>
        <w:gridCol w:w="1196"/>
      </w:tblGrid>
      <w:tr w:rsidR="00141073" w:rsidRPr="00887170" w:rsidTr="00004BE1">
        <w:trPr>
          <w:trHeight w:val="20"/>
          <w:tblHeader/>
        </w:trPr>
        <w:tc>
          <w:tcPr>
            <w:tcW w:w="1134" w:type="dxa"/>
            <w:shd w:val="clear" w:color="auto" w:fill="auto"/>
            <w:noWrap/>
            <w:vAlign w:val="center"/>
            <w:hideMark/>
          </w:tcPr>
          <w:p w:rsidR="00141073" w:rsidRPr="00887170" w:rsidRDefault="00141073" w:rsidP="0020046E">
            <w:pPr>
              <w:pStyle w:val="142"/>
              <w:jc w:val="center"/>
            </w:pPr>
            <w:r w:rsidRPr="00887170">
              <w:rPr>
                <w:rFonts w:hint="eastAsia"/>
              </w:rPr>
              <w:t>年度</w:t>
            </w:r>
          </w:p>
        </w:tc>
        <w:tc>
          <w:tcPr>
            <w:tcW w:w="1331" w:type="dxa"/>
            <w:shd w:val="clear" w:color="auto" w:fill="auto"/>
            <w:vAlign w:val="center"/>
            <w:hideMark/>
          </w:tcPr>
          <w:p w:rsidR="00141073" w:rsidRPr="00887170" w:rsidRDefault="00141073" w:rsidP="0020046E">
            <w:pPr>
              <w:pStyle w:val="142"/>
              <w:jc w:val="center"/>
              <w:rPr>
                <w:rFonts w:hint="eastAsia"/>
              </w:rPr>
            </w:pPr>
            <w:r w:rsidRPr="00887170">
              <w:rPr>
                <w:rFonts w:hint="eastAsia"/>
              </w:rPr>
              <w:t>客運量(億延人公里)</w:t>
            </w:r>
          </w:p>
        </w:tc>
        <w:tc>
          <w:tcPr>
            <w:tcW w:w="1331" w:type="dxa"/>
            <w:shd w:val="clear" w:color="auto" w:fill="auto"/>
            <w:vAlign w:val="center"/>
            <w:hideMark/>
          </w:tcPr>
          <w:p w:rsidR="00141073" w:rsidRPr="00887170" w:rsidRDefault="00141073" w:rsidP="0020046E">
            <w:pPr>
              <w:pStyle w:val="142"/>
              <w:jc w:val="center"/>
              <w:rPr>
                <w:rFonts w:hint="eastAsia"/>
              </w:rPr>
            </w:pPr>
            <w:r w:rsidRPr="00887170">
              <w:rPr>
                <w:rFonts w:hint="eastAsia"/>
              </w:rPr>
              <w:t>客運收入(新臺幣億元)</w:t>
            </w:r>
          </w:p>
        </w:tc>
        <w:tc>
          <w:tcPr>
            <w:tcW w:w="1331" w:type="dxa"/>
            <w:shd w:val="clear" w:color="auto" w:fill="auto"/>
            <w:vAlign w:val="center"/>
            <w:hideMark/>
          </w:tcPr>
          <w:p w:rsidR="00141073" w:rsidRPr="00887170" w:rsidRDefault="00141073" w:rsidP="0020046E">
            <w:pPr>
              <w:pStyle w:val="142"/>
              <w:jc w:val="center"/>
              <w:rPr>
                <w:rFonts w:hint="eastAsia"/>
              </w:rPr>
            </w:pPr>
            <w:r w:rsidRPr="00887170">
              <w:rPr>
                <w:rFonts w:hint="eastAsia"/>
              </w:rPr>
              <w:t>貨運(億延噸公里)</w:t>
            </w:r>
          </w:p>
        </w:tc>
        <w:tc>
          <w:tcPr>
            <w:tcW w:w="1331" w:type="dxa"/>
            <w:shd w:val="clear" w:color="auto" w:fill="auto"/>
            <w:vAlign w:val="center"/>
            <w:hideMark/>
          </w:tcPr>
          <w:p w:rsidR="00141073" w:rsidRPr="00887170" w:rsidRDefault="00141073" w:rsidP="0020046E">
            <w:pPr>
              <w:pStyle w:val="142"/>
              <w:jc w:val="center"/>
            </w:pPr>
            <w:r w:rsidRPr="00887170">
              <w:rPr>
                <w:rFonts w:hint="eastAsia"/>
              </w:rPr>
              <w:t>貨運收入</w:t>
            </w:r>
          </w:p>
          <w:p w:rsidR="00141073" w:rsidRPr="00887170" w:rsidRDefault="00141073" w:rsidP="0020046E">
            <w:pPr>
              <w:pStyle w:val="142"/>
              <w:jc w:val="center"/>
              <w:rPr>
                <w:rFonts w:hint="eastAsia"/>
              </w:rPr>
            </w:pPr>
            <w:r w:rsidRPr="00887170">
              <w:rPr>
                <w:rFonts w:hint="eastAsia"/>
              </w:rPr>
              <w:t>(新臺幣億元)</w:t>
            </w:r>
          </w:p>
        </w:tc>
        <w:tc>
          <w:tcPr>
            <w:tcW w:w="1196" w:type="dxa"/>
            <w:shd w:val="clear" w:color="auto" w:fill="auto"/>
            <w:noWrap/>
            <w:vAlign w:val="center"/>
            <w:hideMark/>
          </w:tcPr>
          <w:p w:rsidR="00141073" w:rsidRPr="00887170" w:rsidRDefault="00141073" w:rsidP="0020046E">
            <w:pPr>
              <w:pStyle w:val="142"/>
              <w:jc w:val="center"/>
            </w:pPr>
            <w:r w:rsidRPr="00887170">
              <w:rPr>
                <w:rFonts w:hint="eastAsia"/>
              </w:rPr>
              <w:t>損益</w:t>
            </w:r>
          </w:p>
          <w:p w:rsidR="00141073" w:rsidRPr="00887170" w:rsidRDefault="00141073" w:rsidP="0020046E">
            <w:pPr>
              <w:pStyle w:val="142"/>
              <w:jc w:val="center"/>
              <w:rPr>
                <w:rFonts w:hint="eastAsia"/>
              </w:rPr>
            </w:pPr>
            <w:r w:rsidRPr="00887170">
              <w:rPr>
                <w:rFonts w:hint="eastAsia"/>
              </w:rPr>
              <w:t>(新臺幣億元)</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106</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110.16</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181.32</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5.12</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6.20</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-13.52</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107</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108.65</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178.54</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5.42</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6.45</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-24.08</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108</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110.46</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177.70</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5.17</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6.38</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-32.82</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109</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93.14</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149.41</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4.95</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6.01</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-67.40</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110</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70.30</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111.81</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4.45</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5.34</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-119.43</w:t>
            </w:r>
          </w:p>
        </w:tc>
      </w:tr>
      <w:tr w:rsidR="00141073" w:rsidRPr="00887170" w:rsidTr="00004BE1">
        <w:trPr>
          <w:trHeight w:val="20"/>
        </w:trPr>
        <w:tc>
          <w:tcPr>
            <w:tcW w:w="1134" w:type="dxa"/>
            <w:shd w:val="clear" w:color="auto" w:fill="auto"/>
            <w:noWrap/>
            <w:vAlign w:val="center"/>
          </w:tcPr>
          <w:p w:rsidR="00141073" w:rsidRPr="00887170" w:rsidRDefault="00141073" w:rsidP="0020046E">
            <w:pPr>
              <w:pStyle w:val="142"/>
              <w:jc w:val="center"/>
              <w:rPr>
                <w:rFonts w:hint="eastAsia"/>
              </w:rPr>
            </w:pPr>
            <w:r w:rsidRPr="00887170">
              <w:rPr>
                <w:rFonts w:hint="eastAsia"/>
              </w:rPr>
              <w:t>111</w:t>
            </w:r>
          </w:p>
        </w:tc>
        <w:tc>
          <w:tcPr>
            <w:tcW w:w="1331" w:type="dxa"/>
            <w:shd w:val="clear" w:color="auto" w:fill="auto"/>
            <w:noWrap/>
            <w:vAlign w:val="center"/>
          </w:tcPr>
          <w:p w:rsidR="00141073" w:rsidRPr="00887170" w:rsidRDefault="00141073" w:rsidP="0020046E">
            <w:pPr>
              <w:pStyle w:val="142"/>
              <w:jc w:val="right"/>
              <w:rPr>
                <w:rFonts w:hint="eastAsia"/>
              </w:rPr>
            </w:pPr>
            <w:r w:rsidRPr="00887170">
              <w:rPr>
                <w:rFonts w:hint="eastAsia"/>
              </w:rPr>
              <w:t>79.68</w:t>
            </w:r>
          </w:p>
        </w:tc>
        <w:tc>
          <w:tcPr>
            <w:tcW w:w="1331" w:type="dxa"/>
            <w:shd w:val="clear" w:color="auto" w:fill="auto"/>
            <w:vAlign w:val="center"/>
          </w:tcPr>
          <w:p w:rsidR="00141073" w:rsidRPr="00887170" w:rsidRDefault="00141073" w:rsidP="0020046E">
            <w:pPr>
              <w:pStyle w:val="142"/>
              <w:jc w:val="right"/>
              <w:rPr>
                <w:rFonts w:hint="eastAsia"/>
              </w:rPr>
            </w:pPr>
            <w:r w:rsidRPr="00887170">
              <w:rPr>
                <w:rFonts w:hint="eastAsia"/>
              </w:rPr>
              <w:t>128.01</w:t>
            </w:r>
          </w:p>
        </w:tc>
        <w:tc>
          <w:tcPr>
            <w:tcW w:w="1331" w:type="dxa"/>
            <w:shd w:val="clear" w:color="auto" w:fill="auto"/>
            <w:vAlign w:val="center"/>
          </w:tcPr>
          <w:p w:rsidR="00141073" w:rsidRPr="00887170" w:rsidRDefault="00141073" w:rsidP="0020046E">
            <w:pPr>
              <w:pStyle w:val="142"/>
              <w:jc w:val="right"/>
              <w:rPr>
                <w:rFonts w:hint="eastAsia"/>
              </w:rPr>
            </w:pPr>
            <w:r w:rsidRPr="00887170">
              <w:rPr>
                <w:rFonts w:hint="eastAsia"/>
              </w:rPr>
              <w:t>4.73</w:t>
            </w:r>
          </w:p>
        </w:tc>
        <w:tc>
          <w:tcPr>
            <w:tcW w:w="1331" w:type="dxa"/>
            <w:shd w:val="clear" w:color="auto" w:fill="auto"/>
            <w:vAlign w:val="center"/>
          </w:tcPr>
          <w:p w:rsidR="00141073" w:rsidRPr="00887170" w:rsidRDefault="00141073" w:rsidP="0020046E">
            <w:pPr>
              <w:pStyle w:val="142"/>
              <w:jc w:val="right"/>
              <w:rPr>
                <w:rFonts w:hint="eastAsia"/>
              </w:rPr>
            </w:pPr>
            <w:r w:rsidRPr="00887170">
              <w:rPr>
                <w:rFonts w:hint="eastAsia"/>
              </w:rPr>
              <w:t>5.58</w:t>
            </w:r>
          </w:p>
        </w:tc>
        <w:tc>
          <w:tcPr>
            <w:tcW w:w="1196" w:type="dxa"/>
            <w:shd w:val="clear" w:color="auto" w:fill="auto"/>
            <w:noWrap/>
            <w:vAlign w:val="center"/>
          </w:tcPr>
          <w:p w:rsidR="00141073" w:rsidRPr="00887170" w:rsidRDefault="00141073" w:rsidP="0020046E">
            <w:pPr>
              <w:pStyle w:val="142"/>
              <w:jc w:val="right"/>
              <w:rPr>
                <w:rFonts w:hint="eastAsia"/>
              </w:rPr>
            </w:pPr>
            <w:r w:rsidRPr="00887170">
              <w:rPr>
                <w:rFonts w:hint="eastAsia"/>
              </w:rPr>
              <w:t>-111.15</w:t>
            </w:r>
          </w:p>
        </w:tc>
      </w:tr>
    </w:tbl>
    <w:p w:rsidR="00141073" w:rsidRPr="009C7ED3" w:rsidRDefault="00141073" w:rsidP="00CD14C0">
      <w:pPr>
        <w:pStyle w:val="142"/>
        <w:ind w:leftChars="299" w:left="2306" w:hangingChars="600" w:hanging="1459"/>
      </w:pPr>
      <w:r w:rsidRPr="009C7ED3">
        <w:rPr>
          <w:rFonts w:hint="eastAsia"/>
        </w:rPr>
        <w:t>說　　明：1.106至1</w:t>
      </w:r>
      <w:r w:rsidRPr="009C7ED3">
        <w:t>11</w:t>
      </w:r>
      <w:r w:rsidRPr="009C7ED3">
        <w:rPr>
          <w:rFonts w:hint="eastAsia"/>
        </w:rPr>
        <w:t>年度係審定決算數。</w:t>
      </w:r>
    </w:p>
    <w:p w:rsidR="00141073" w:rsidRPr="009C7ED3" w:rsidRDefault="00141073" w:rsidP="00CD14C0">
      <w:pPr>
        <w:pStyle w:val="142"/>
        <w:ind w:leftChars="299" w:left="2306" w:hangingChars="600" w:hanging="1459"/>
        <w:rPr>
          <w:rFonts w:hint="eastAsia"/>
        </w:rPr>
      </w:pPr>
      <w:r w:rsidRPr="009C7ED3">
        <w:rPr>
          <w:rFonts w:hint="eastAsia"/>
        </w:rPr>
        <w:t xml:space="preserve">　　　　　2.客運收入係扣除客運收入退回與折讓後之淨額。</w:t>
      </w:r>
    </w:p>
    <w:p w:rsidR="00141073" w:rsidRPr="009C7ED3" w:rsidRDefault="00141073" w:rsidP="00DD0305">
      <w:pPr>
        <w:pStyle w:val="142"/>
        <w:ind w:leftChars="300" w:left="2309" w:hangingChars="600" w:hanging="1459"/>
      </w:pPr>
      <w:r w:rsidRPr="009C7ED3">
        <w:rPr>
          <w:rFonts w:hint="eastAsia"/>
        </w:rPr>
        <w:t>資料來源：1.臺灣鐵路統計月報及統計年報。</w:t>
      </w:r>
    </w:p>
    <w:p w:rsidR="00141073" w:rsidRPr="009C7ED3" w:rsidRDefault="00141073" w:rsidP="00CD14C0">
      <w:pPr>
        <w:pStyle w:val="142"/>
        <w:ind w:leftChars="300" w:left="1417" w:hanging="567"/>
      </w:pPr>
      <w:r w:rsidRPr="009C7ED3">
        <w:rPr>
          <w:rFonts w:hint="eastAsia"/>
        </w:rPr>
        <w:t xml:space="preserve">　　　　　2.臺鐵提供。</w:t>
      </w:r>
    </w:p>
    <w:p w:rsidR="00141073" w:rsidRPr="00050E0A" w:rsidRDefault="00141073" w:rsidP="007B07E0">
      <w:pPr>
        <w:pStyle w:val="a5"/>
        <w:ind w:left="849" w:hanging="283"/>
        <w:rPr>
          <w:b/>
        </w:rPr>
      </w:pPr>
      <w:r w:rsidRPr="00050E0A">
        <w:rPr>
          <w:rFonts w:hint="eastAsia"/>
          <w:b/>
        </w:rPr>
        <w:t>(</w:t>
      </w:r>
      <w:r>
        <w:rPr>
          <w:rFonts w:hint="eastAsia"/>
          <w:b/>
        </w:rPr>
        <w:t>二</w:t>
      </w:r>
      <w:r w:rsidRPr="00050E0A">
        <w:rPr>
          <w:rFonts w:hint="eastAsia"/>
          <w:b/>
        </w:rPr>
        <w:t>)近年短期債務逐年成長</w:t>
      </w:r>
      <w:r>
        <w:rPr>
          <w:rFonts w:hint="eastAsia"/>
          <w:b/>
        </w:rPr>
        <w:t>，111年度利息費用達新高</w:t>
      </w:r>
    </w:p>
    <w:p w:rsidR="00141073" w:rsidRPr="00887170" w:rsidRDefault="00141073" w:rsidP="007B07E0">
      <w:pPr>
        <w:pStyle w:val="22"/>
        <w:ind w:left="850" w:firstLine="566"/>
      </w:pPr>
      <w:r w:rsidRPr="00050E0A">
        <w:rPr>
          <w:rFonts w:hint="eastAsia"/>
        </w:rPr>
        <w:t>揆諸臺鐵近年</w:t>
      </w:r>
      <w:r w:rsidR="00592717">
        <w:rPr>
          <w:rFonts w:hint="eastAsia"/>
        </w:rPr>
        <w:t>(107至111年)</w:t>
      </w:r>
      <w:r w:rsidRPr="00050E0A">
        <w:rPr>
          <w:rFonts w:hint="eastAsia"/>
        </w:rPr>
        <w:t>短期債務趨勢，由107年底之1,244.94億元，逐年上升至111年底之1,638.97億元，4年期間內增加394.03億元；又臺鐵107至111年度每年借款利息費用介於5.57億元至13.81億元間，111年度利息費用達近年新高(詳表</w:t>
      </w:r>
      <w:r>
        <w:rPr>
          <w:rFonts w:hint="eastAsia"/>
        </w:rPr>
        <w:t>2</w:t>
      </w:r>
      <w:r w:rsidRPr="00050E0A">
        <w:rPr>
          <w:rFonts w:hint="eastAsia"/>
        </w:rPr>
        <w:t>)，主要係中央銀行考量國內通膨率居高，111年度連續4次調</w:t>
      </w:r>
      <w:r w:rsidRPr="00887170">
        <w:rPr>
          <w:rFonts w:hint="eastAsia"/>
        </w:rPr>
        <w:t>升政策利率所致，復以臺鐵近年未償短期債務餘額逐年升高，爰利息負擔加重。</w:t>
      </w:r>
    </w:p>
    <w:p w:rsidR="00141073" w:rsidRPr="00887170" w:rsidRDefault="00141073" w:rsidP="009440C3">
      <w:pPr>
        <w:pStyle w:val="a5"/>
        <w:ind w:leftChars="296" w:left="847" w:hangingChars="3" w:hanging="9"/>
        <w:rPr>
          <w:b/>
        </w:rPr>
      </w:pPr>
      <w:r w:rsidRPr="00887170">
        <w:rPr>
          <w:rFonts w:hint="eastAsia"/>
          <w:b/>
        </w:rPr>
        <w:t>表</w:t>
      </w:r>
      <w:r>
        <w:rPr>
          <w:rFonts w:hint="eastAsia"/>
          <w:b/>
        </w:rPr>
        <w:t>2</w:t>
      </w:r>
      <w:r w:rsidRPr="00887170">
        <w:rPr>
          <w:rFonts w:hint="eastAsia"/>
          <w:b/>
        </w:rPr>
        <w:t xml:space="preserve">  107-111年底臺鐵短期債務及利息費用  </w:t>
      </w:r>
      <w:r w:rsidRPr="00887170">
        <w:rPr>
          <w:rFonts w:hint="eastAsia"/>
          <w:sz w:val="24"/>
          <w:szCs w:val="24"/>
        </w:rPr>
        <w:t>單位：新臺幣億元</w:t>
      </w:r>
    </w:p>
    <w:tbl>
      <w:tblPr>
        <w:tblW w:w="7612" w:type="dxa"/>
        <w:tblInd w:w="9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59"/>
        <w:gridCol w:w="1230"/>
        <w:gridCol w:w="1231"/>
        <w:gridCol w:w="1230"/>
        <w:gridCol w:w="1231"/>
        <w:gridCol w:w="1231"/>
      </w:tblGrid>
      <w:tr w:rsidR="00141073" w:rsidRPr="00887170" w:rsidTr="009440C3">
        <w:trPr>
          <w:trHeight w:val="20"/>
          <w:tblHeader/>
        </w:trPr>
        <w:tc>
          <w:tcPr>
            <w:tcW w:w="1459"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項  目</w:t>
            </w:r>
          </w:p>
        </w:tc>
        <w:tc>
          <w:tcPr>
            <w:tcW w:w="1230"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107年度</w:t>
            </w:r>
          </w:p>
        </w:tc>
        <w:tc>
          <w:tcPr>
            <w:tcW w:w="1231"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108年度</w:t>
            </w:r>
          </w:p>
        </w:tc>
        <w:tc>
          <w:tcPr>
            <w:tcW w:w="1230"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109年度</w:t>
            </w:r>
          </w:p>
        </w:tc>
        <w:tc>
          <w:tcPr>
            <w:tcW w:w="1231"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110年度</w:t>
            </w:r>
          </w:p>
        </w:tc>
        <w:tc>
          <w:tcPr>
            <w:tcW w:w="1231"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111年度</w:t>
            </w:r>
          </w:p>
        </w:tc>
      </w:tr>
      <w:tr w:rsidR="00141073" w:rsidRPr="00887170" w:rsidTr="009440C3">
        <w:trPr>
          <w:trHeight w:val="20"/>
        </w:trPr>
        <w:tc>
          <w:tcPr>
            <w:tcW w:w="1459" w:type="dxa"/>
            <w:shd w:val="clear" w:color="auto" w:fill="auto"/>
            <w:vAlign w:val="center"/>
          </w:tcPr>
          <w:p w:rsidR="00141073" w:rsidRPr="00887170" w:rsidRDefault="00141073" w:rsidP="0095174E">
            <w:pPr>
              <w:pStyle w:val="142"/>
              <w:ind w:left="487" w:hanging="487"/>
              <w:rPr>
                <w:rFonts w:hint="eastAsia"/>
                <w:spacing w:val="-20"/>
              </w:rPr>
            </w:pPr>
            <w:r w:rsidRPr="00887170">
              <w:rPr>
                <w:rFonts w:hint="eastAsia"/>
                <w:spacing w:val="-20"/>
              </w:rPr>
              <w:t>年底融資本金</w:t>
            </w:r>
          </w:p>
        </w:tc>
        <w:tc>
          <w:tcPr>
            <w:tcW w:w="1230"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1,244.94</w:t>
            </w:r>
          </w:p>
        </w:tc>
        <w:tc>
          <w:tcPr>
            <w:tcW w:w="1231"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1,293.40</w:t>
            </w:r>
          </w:p>
        </w:tc>
        <w:tc>
          <w:tcPr>
            <w:tcW w:w="1230"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1,371.28</w:t>
            </w:r>
          </w:p>
        </w:tc>
        <w:tc>
          <w:tcPr>
            <w:tcW w:w="1231"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1,484.47</w:t>
            </w:r>
          </w:p>
        </w:tc>
        <w:tc>
          <w:tcPr>
            <w:tcW w:w="1231"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1,638.97</w:t>
            </w:r>
          </w:p>
        </w:tc>
      </w:tr>
      <w:tr w:rsidR="00141073" w:rsidRPr="00887170" w:rsidTr="009440C3">
        <w:trPr>
          <w:trHeight w:val="20"/>
        </w:trPr>
        <w:tc>
          <w:tcPr>
            <w:tcW w:w="1459" w:type="dxa"/>
            <w:shd w:val="clear" w:color="auto" w:fill="auto"/>
            <w:vAlign w:val="center"/>
          </w:tcPr>
          <w:p w:rsidR="00141073" w:rsidRPr="00887170" w:rsidRDefault="00141073" w:rsidP="0095174E">
            <w:pPr>
              <w:pStyle w:val="142"/>
              <w:ind w:left="487" w:hanging="487"/>
              <w:rPr>
                <w:rFonts w:hint="eastAsia"/>
                <w:spacing w:val="-20"/>
              </w:rPr>
            </w:pPr>
            <w:r w:rsidRPr="00887170">
              <w:rPr>
                <w:rFonts w:hint="eastAsia"/>
                <w:spacing w:val="-20"/>
              </w:rPr>
              <w:t>平均借款利率</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0.57%</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0.70%</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0.57%</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0.39%</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0.92%</w:t>
            </w:r>
          </w:p>
        </w:tc>
      </w:tr>
      <w:tr w:rsidR="00141073" w:rsidRPr="00887170" w:rsidTr="009440C3">
        <w:trPr>
          <w:trHeight w:val="20"/>
        </w:trPr>
        <w:tc>
          <w:tcPr>
            <w:tcW w:w="1459" w:type="dxa"/>
            <w:shd w:val="clear" w:color="auto" w:fill="auto"/>
            <w:vAlign w:val="center"/>
          </w:tcPr>
          <w:p w:rsidR="00141073" w:rsidRPr="00887170" w:rsidRDefault="00141073" w:rsidP="0095174E">
            <w:pPr>
              <w:pStyle w:val="142"/>
              <w:ind w:left="487" w:hanging="487"/>
              <w:rPr>
                <w:rFonts w:hint="eastAsia"/>
                <w:spacing w:val="-20"/>
              </w:rPr>
            </w:pPr>
            <w:r w:rsidRPr="00887170">
              <w:rPr>
                <w:rFonts w:hint="eastAsia"/>
                <w:spacing w:val="-20"/>
              </w:rPr>
              <w:t>利息費用</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6.99</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8.90</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7.62</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5.57</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13.81</w:t>
            </w:r>
          </w:p>
        </w:tc>
      </w:tr>
    </w:tbl>
    <w:p w:rsidR="00141073" w:rsidRPr="00887170" w:rsidRDefault="00141073" w:rsidP="009440C3">
      <w:pPr>
        <w:spacing w:line="340" w:lineRule="exact"/>
        <w:ind w:leftChars="306" w:left="1032" w:hangingChars="68" w:hanging="165"/>
        <w:rPr>
          <w:rFonts w:hAnsi="標楷體"/>
          <w:sz w:val="24"/>
          <w:szCs w:val="24"/>
        </w:rPr>
      </w:pPr>
      <w:r w:rsidRPr="00887170">
        <w:rPr>
          <w:rFonts w:hint="eastAsia"/>
          <w:sz w:val="24"/>
          <w:szCs w:val="24"/>
        </w:rPr>
        <w:t>說    明</w:t>
      </w:r>
      <w:r w:rsidRPr="00887170">
        <w:rPr>
          <w:rFonts w:hAnsi="標楷體" w:hint="eastAsia"/>
          <w:sz w:val="24"/>
          <w:szCs w:val="24"/>
        </w:rPr>
        <w:t>：表內均為決算數。</w:t>
      </w:r>
    </w:p>
    <w:p w:rsidR="00141073" w:rsidRPr="00887170" w:rsidRDefault="00141073" w:rsidP="009440C3">
      <w:pPr>
        <w:spacing w:line="340" w:lineRule="exact"/>
        <w:ind w:leftChars="306" w:left="1032" w:rightChars="-188" w:right="-532" w:hangingChars="68" w:hanging="165"/>
        <w:jc w:val="left"/>
        <w:rPr>
          <w:sz w:val="24"/>
          <w:szCs w:val="24"/>
        </w:rPr>
      </w:pPr>
      <w:r w:rsidRPr="00887170">
        <w:rPr>
          <w:rFonts w:hint="eastAsia"/>
          <w:sz w:val="24"/>
          <w:szCs w:val="24"/>
        </w:rPr>
        <w:t>資料來源</w:t>
      </w:r>
      <w:r w:rsidRPr="00887170">
        <w:rPr>
          <w:rFonts w:hAnsi="標楷體" w:hint="eastAsia"/>
          <w:sz w:val="24"/>
          <w:szCs w:val="24"/>
        </w:rPr>
        <w:t>：</w:t>
      </w:r>
      <w:r w:rsidRPr="00887170">
        <w:rPr>
          <w:rFonts w:hint="eastAsia"/>
          <w:sz w:val="24"/>
          <w:szCs w:val="24"/>
        </w:rPr>
        <w:t>臺鐵提供。</w:t>
      </w:r>
    </w:p>
    <w:p w:rsidR="00141073" w:rsidRPr="00EC5F92" w:rsidRDefault="00141073" w:rsidP="007B07E0">
      <w:pPr>
        <w:pStyle w:val="22"/>
        <w:ind w:left="850" w:firstLine="566"/>
      </w:pPr>
      <w:r w:rsidRPr="00EC5F92">
        <w:rPr>
          <w:rFonts w:hint="eastAsia"/>
        </w:rPr>
        <w:t>綜上，臺鐵111年度虧損高達111.15億元，面對高鐵及捷運等競爭下，臺鐵亟需研謀改善以有效提升營運績效；</w:t>
      </w:r>
      <w:r w:rsidR="0028494D">
        <w:rPr>
          <w:rFonts w:hint="eastAsia"/>
        </w:rPr>
        <w:t>又</w:t>
      </w:r>
      <w:r w:rsidRPr="00EC5F92">
        <w:rPr>
          <w:rFonts w:hint="eastAsia"/>
        </w:rPr>
        <w:t>臺鐵近年短期債務逐年攀升，且利息費用龐大，允宜賡續注意利率變動，妥為規劃營運及資金需求，以維臺鐵之永續及健全營運。</w:t>
      </w:r>
    </w:p>
    <w:bookmarkEnd w:id="6"/>
    <w:bookmarkEnd w:id="7"/>
    <w:bookmarkEnd w:id="8"/>
    <w:bookmarkEnd w:id="9"/>
    <w:bookmarkEnd w:id="10"/>
    <w:bookmarkEnd w:id="11"/>
    <w:bookmarkEnd w:id="12"/>
    <w:bookmarkEnd w:id="0"/>
    <w:bookmarkEnd w:id="2"/>
    <w:bookmarkEnd w:id="3"/>
    <w:bookmarkEnd w:id="4"/>
    <w:bookmarkEnd w:id="5"/>
    <w:sectPr w:rsidR="00141073" w:rsidRPr="00EC5F92"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C38" w:rsidRDefault="00585C38" w:rsidP="00712B70">
      <w:pPr>
        <w:spacing w:line="240" w:lineRule="auto"/>
        <w:ind w:left="560" w:firstLine="560"/>
      </w:pPr>
      <w:r>
        <w:separator/>
      </w:r>
    </w:p>
  </w:endnote>
  <w:endnote w:type="continuationSeparator" w:id="0">
    <w:p w:rsidR="00585C38" w:rsidRDefault="00585C38"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rsidP="00295DD9">
    <w:pPr>
      <w:pStyle w:val="af1"/>
      <w:ind w:leftChars="0" w:left="0" w:firstLineChars="0" w:firstLine="0"/>
      <w:jc w:val="center"/>
    </w:pPr>
    <w:r>
      <w:fldChar w:fldCharType="begin"/>
    </w:r>
    <w:r>
      <w:instrText>PAGE   \* MERGEFORMAT</w:instrText>
    </w:r>
    <w:r>
      <w:fldChar w:fldCharType="separate"/>
    </w:r>
    <w:r w:rsidR="007100C5" w:rsidRPr="007100C5">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C38" w:rsidRDefault="00585C38" w:rsidP="00E854DA">
      <w:pPr>
        <w:spacing w:line="240" w:lineRule="auto"/>
        <w:ind w:leftChars="210" w:left="588" w:firstLine="560"/>
      </w:pPr>
      <w:r>
        <w:separator/>
      </w:r>
    </w:p>
  </w:footnote>
  <w:footnote w:type="continuationSeparator" w:id="0">
    <w:p w:rsidR="00585C38" w:rsidRDefault="00585C38" w:rsidP="00712B70">
      <w:pPr>
        <w:spacing w:line="240" w:lineRule="auto"/>
        <w:ind w:left="560" w:firstLine="560"/>
      </w:pPr>
      <w:r>
        <w:continuationSeparator/>
      </w:r>
    </w:p>
  </w:footnote>
  <w:footnote w:id="1">
    <w:p w:rsidR="00141073" w:rsidRPr="007B1495" w:rsidRDefault="00141073" w:rsidP="00CD14C0">
      <w:pPr>
        <w:pStyle w:val="142"/>
        <w:ind w:left="73" w:hangingChars="30" w:hanging="73"/>
        <w:jc w:val="both"/>
        <w:rPr>
          <w:rFonts w:hint="eastAsia"/>
        </w:rPr>
      </w:pPr>
      <w:r>
        <w:rPr>
          <w:rStyle w:val="af6"/>
        </w:rPr>
        <w:footnoteRef/>
      </w:r>
      <w:r>
        <w:rPr>
          <w:rFonts w:hint="eastAsia"/>
        </w:rPr>
        <w:t>據臺鐵說明，</w:t>
      </w:r>
      <w:r w:rsidRPr="007B1495">
        <w:rPr>
          <w:rFonts w:hint="eastAsia"/>
        </w:rPr>
        <w:t>10</w:t>
      </w:r>
      <w:r>
        <w:rPr>
          <w:rFonts w:hint="eastAsia"/>
        </w:rPr>
        <w:t>7</w:t>
      </w:r>
      <w:r w:rsidRPr="007B1495">
        <w:rPr>
          <w:rFonts w:hint="eastAsia"/>
        </w:rPr>
        <w:t>年至11</w:t>
      </w:r>
      <w:r>
        <w:rPr>
          <w:rFonts w:hint="eastAsia"/>
        </w:rPr>
        <w:t>1</w:t>
      </w:r>
      <w:r w:rsidRPr="007B1495">
        <w:rPr>
          <w:rFonts w:hint="eastAsia"/>
        </w:rPr>
        <w:t>年</w:t>
      </w:r>
      <w:r>
        <w:rPr>
          <w:rFonts w:hint="eastAsia"/>
        </w:rPr>
        <w:t>度</w:t>
      </w:r>
      <w:r w:rsidRPr="00A34BAE">
        <w:rPr>
          <w:rFonts w:hint="eastAsia"/>
        </w:rPr>
        <w:t>營業成本及費用</w:t>
      </w:r>
      <w:r>
        <w:rPr>
          <w:rFonts w:hint="eastAsia"/>
        </w:rPr>
        <w:t>增加，主要係因</w:t>
      </w:r>
      <w:r w:rsidRPr="007B1495">
        <w:rPr>
          <w:rFonts w:hint="eastAsia"/>
        </w:rPr>
        <w:t>ATP車輛自動防護系統</w:t>
      </w:r>
      <w:r>
        <w:rPr>
          <w:rFonts w:hint="eastAsia"/>
        </w:rPr>
        <w:t>、花東線</w:t>
      </w:r>
      <w:r w:rsidRPr="007B1495">
        <w:rPr>
          <w:rFonts w:hint="eastAsia"/>
        </w:rPr>
        <w:t>鐵路</w:t>
      </w:r>
      <w:r>
        <w:rPr>
          <w:rFonts w:hint="eastAsia"/>
        </w:rPr>
        <w:t>整體</w:t>
      </w:r>
      <w:r w:rsidRPr="007B1495">
        <w:rPr>
          <w:rFonts w:hint="eastAsia"/>
        </w:rPr>
        <w:t>服務效能提</w:t>
      </w:r>
      <w:r>
        <w:rPr>
          <w:rFonts w:hint="eastAsia"/>
        </w:rPr>
        <w:t>昇計畫及</w:t>
      </w:r>
      <w:r w:rsidRPr="007B1495">
        <w:rPr>
          <w:rFonts w:hint="eastAsia"/>
        </w:rPr>
        <w:t>票務系統整合再造</w:t>
      </w:r>
      <w:r>
        <w:rPr>
          <w:rFonts w:hint="eastAsia"/>
        </w:rPr>
        <w:t>等</w:t>
      </w:r>
      <w:r w:rsidRPr="007B1495">
        <w:rPr>
          <w:rFonts w:hint="eastAsia"/>
        </w:rPr>
        <w:t>計畫</w:t>
      </w:r>
      <w:r>
        <w:rPr>
          <w:rFonts w:hint="eastAsia"/>
        </w:rPr>
        <w:t>之</w:t>
      </w:r>
      <w:r w:rsidRPr="007B1495">
        <w:rPr>
          <w:rFonts w:hint="eastAsia"/>
        </w:rPr>
        <w:t>相關資產分別於</w:t>
      </w:r>
      <w:r>
        <w:rPr>
          <w:rFonts w:hint="eastAsia"/>
        </w:rPr>
        <w:t>上開期間開始提列折舊，爰</w:t>
      </w:r>
      <w:r w:rsidRPr="007B1495">
        <w:rPr>
          <w:rFonts w:hint="eastAsia"/>
        </w:rPr>
        <w:t>折舊費用逐年上升所致。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5462"/>
    <w:rsid w:val="00045A42"/>
    <w:rsid w:val="00045C65"/>
    <w:rsid w:val="00046803"/>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875"/>
    <w:rsid w:val="000B6CE5"/>
    <w:rsid w:val="000B7EF4"/>
    <w:rsid w:val="000C0878"/>
    <w:rsid w:val="000C19B3"/>
    <w:rsid w:val="000C1FD5"/>
    <w:rsid w:val="000C2161"/>
    <w:rsid w:val="000C3961"/>
    <w:rsid w:val="000C3BB5"/>
    <w:rsid w:val="000C3DD5"/>
    <w:rsid w:val="000C5BD5"/>
    <w:rsid w:val="000C5C01"/>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CC1"/>
    <w:rsid w:val="001E6D91"/>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D77"/>
    <w:rsid w:val="002654C9"/>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1723"/>
    <w:rsid w:val="00361B3E"/>
    <w:rsid w:val="00361B5E"/>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310C"/>
    <w:rsid w:val="003C3369"/>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2566"/>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926"/>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2375"/>
    <w:rsid w:val="0067252B"/>
    <w:rsid w:val="0067302B"/>
    <w:rsid w:val="006732D2"/>
    <w:rsid w:val="00673750"/>
    <w:rsid w:val="00673A0C"/>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30FB"/>
    <w:rsid w:val="006C32B8"/>
    <w:rsid w:val="006C33BD"/>
    <w:rsid w:val="006C4B4E"/>
    <w:rsid w:val="006C4C35"/>
    <w:rsid w:val="006C5110"/>
    <w:rsid w:val="006C52B6"/>
    <w:rsid w:val="006C5717"/>
    <w:rsid w:val="006C5B55"/>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0C5"/>
    <w:rsid w:val="007103C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DEB"/>
    <w:rsid w:val="00721B07"/>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2629"/>
    <w:rsid w:val="00732926"/>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60E"/>
    <w:rsid w:val="008148C3"/>
    <w:rsid w:val="00814DAF"/>
    <w:rsid w:val="00815959"/>
    <w:rsid w:val="00815C8B"/>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21B4"/>
    <w:rsid w:val="00872431"/>
    <w:rsid w:val="008725A9"/>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515C"/>
    <w:rsid w:val="008957E6"/>
    <w:rsid w:val="008961E8"/>
    <w:rsid w:val="00896816"/>
    <w:rsid w:val="008972FB"/>
    <w:rsid w:val="00897E32"/>
    <w:rsid w:val="008A037B"/>
    <w:rsid w:val="008A09BF"/>
    <w:rsid w:val="008A114D"/>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D07A4"/>
    <w:rsid w:val="008D0B11"/>
    <w:rsid w:val="008D120D"/>
    <w:rsid w:val="008D1744"/>
    <w:rsid w:val="008D22B7"/>
    <w:rsid w:val="008D2AB5"/>
    <w:rsid w:val="008D4EFD"/>
    <w:rsid w:val="008D52CD"/>
    <w:rsid w:val="008D71A3"/>
    <w:rsid w:val="008D7EE4"/>
    <w:rsid w:val="008E050E"/>
    <w:rsid w:val="008E07C1"/>
    <w:rsid w:val="008E09BD"/>
    <w:rsid w:val="008E0C4B"/>
    <w:rsid w:val="008E150C"/>
    <w:rsid w:val="008E349A"/>
    <w:rsid w:val="008E372A"/>
    <w:rsid w:val="008E39C1"/>
    <w:rsid w:val="008E4C0F"/>
    <w:rsid w:val="008E5562"/>
    <w:rsid w:val="008E5DDE"/>
    <w:rsid w:val="008E60CF"/>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20D"/>
    <w:rsid w:val="009257B4"/>
    <w:rsid w:val="00925D59"/>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64DF"/>
    <w:rsid w:val="00966CA1"/>
    <w:rsid w:val="00966F2A"/>
    <w:rsid w:val="009674BA"/>
    <w:rsid w:val="009678B7"/>
    <w:rsid w:val="009678DD"/>
    <w:rsid w:val="00970171"/>
    <w:rsid w:val="009702FB"/>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BEC"/>
    <w:rsid w:val="0098597A"/>
    <w:rsid w:val="009859EF"/>
    <w:rsid w:val="0098672B"/>
    <w:rsid w:val="00986AFC"/>
    <w:rsid w:val="00986E1B"/>
    <w:rsid w:val="00987056"/>
    <w:rsid w:val="00987545"/>
    <w:rsid w:val="00990071"/>
    <w:rsid w:val="00990647"/>
    <w:rsid w:val="009919D4"/>
    <w:rsid w:val="00991F2F"/>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457"/>
    <w:rsid w:val="009D550A"/>
    <w:rsid w:val="009D6007"/>
    <w:rsid w:val="009D62E4"/>
    <w:rsid w:val="009D73A0"/>
    <w:rsid w:val="009D74AD"/>
    <w:rsid w:val="009D79D5"/>
    <w:rsid w:val="009D7C65"/>
    <w:rsid w:val="009D7C82"/>
    <w:rsid w:val="009E0128"/>
    <w:rsid w:val="009E15D1"/>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152"/>
    <w:rsid w:val="00A2337B"/>
    <w:rsid w:val="00A23458"/>
    <w:rsid w:val="00A23B5A"/>
    <w:rsid w:val="00A23E3F"/>
    <w:rsid w:val="00A23EE6"/>
    <w:rsid w:val="00A25671"/>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12E2"/>
    <w:rsid w:val="00B01F4A"/>
    <w:rsid w:val="00B0209F"/>
    <w:rsid w:val="00B02402"/>
    <w:rsid w:val="00B0246C"/>
    <w:rsid w:val="00B02C27"/>
    <w:rsid w:val="00B03011"/>
    <w:rsid w:val="00B03748"/>
    <w:rsid w:val="00B041DF"/>
    <w:rsid w:val="00B044F7"/>
    <w:rsid w:val="00B046A6"/>
    <w:rsid w:val="00B0518B"/>
    <w:rsid w:val="00B05579"/>
    <w:rsid w:val="00B05C84"/>
    <w:rsid w:val="00B05D85"/>
    <w:rsid w:val="00B0667A"/>
    <w:rsid w:val="00B06D3A"/>
    <w:rsid w:val="00B06EF9"/>
    <w:rsid w:val="00B076D2"/>
    <w:rsid w:val="00B07A73"/>
    <w:rsid w:val="00B104A4"/>
    <w:rsid w:val="00B1100D"/>
    <w:rsid w:val="00B116B8"/>
    <w:rsid w:val="00B11921"/>
    <w:rsid w:val="00B11C44"/>
    <w:rsid w:val="00B11CE2"/>
    <w:rsid w:val="00B12282"/>
    <w:rsid w:val="00B12779"/>
    <w:rsid w:val="00B141B1"/>
    <w:rsid w:val="00B14D25"/>
    <w:rsid w:val="00B150D6"/>
    <w:rsid w:val="00B15A66"/>
    <w:rsid w:val="00B160F5"/>
    <w:rsid w:val="00B165F0"/>
    <w:rsid w:val="00B1691C"/>
    <w:rsid w:val="00B16F35"/>
    <w:rsid w:val="00B17DF5"/>
    <w:rsid w:val="00B17F14"/>
    <w:rsid w:val="00B204B4"/>
    <w:rsid w:val="00B20B70"/>
    <w:rsid w:val="00B2171B"/>
    <w:rsid w:val="00B217AE"/>
    <w:rsid w:val="00B22496"/>
    <w:rsid w:val="00B231A0"/>
    <w:rsid w:val="00B23DAD"/>
    <w:rsid w:val="00B23ECB"/>
    <w:rsid w:val="00B24171"/>
    <w:rsid w:val="00B24523"/>
    <w:rsid w:val="00B24B08"/>
    <w:rsid w:val="00B24C7A"/>
    <w:rsid w:val="00B25E3A"/>
    <w:rsid w:val="00B274DC"/>
    <w:rsid w:val="00B302E7"/>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48A"/>
    <w:rsid w:val="00CE2567"/>
    <w:rsid w:val="00CE2E57"/>
    <w:rsid w:val="00CE3048"/>
    <w:rsid w:val="00CE3845"/>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5028"/>
    <w:rsid w:val="00DD579B"/>
    <w:rsid w:val="00DD64CD"/>
    <w:rsid w:val="00DD6B38"/>
    <w:rsid w:val="00DD6B48"/>
    <w:rsid w:val="00DD6EEB"/>
    <w:rsid w:val="00DD704F"/>
    <w:rsid w:val="00DD749E"/>
    <w:rsid w:val="00DD7682"/>
    <w:rsid w:val="00DD7740"/>
    <w:rsid w:val="00DD7ABB"/>
    <w:rsid w:val="00DE107A"/>
    <w:rsid w:val="00DE1B18"/>
    <w:rsid w:val="00DE3121"/>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E0E"/>
    <w:rsid w:val="00E41113"/>
    <w:rsid w:val="00E41301"/>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AEB"/>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04D2D9-D2B3-4E0B-A33C-2CCDDFEE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AB8D7-093B-448C-84A8-E4E54FE62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Template>
  <TotalTime>0</TotalTime>
  <Pages>2</Pages>
  <Words>235</Words>
  <Characters>1343</Characters>
  <Application>Microsoft Office Word</Application>
  <DocSecurity>0</DocSecurity>
  <Lines>11</Lines>
  <Paragraphs>3</Paragraphs>
  <ScaleCrop>false</ScaleCrop>
  <Company/>
  <LinksUpToDate>false</LinksUpToDate>
  <CharactersWithSpaces>1575</CharactersWithSpaces>
  <SharedDoc>false</SharedDoc>
  <HLinks>
    <vt:vector size="18" baseType="variant">
      <vt:variant>
        <vt:i4>1179710</vt:i4>
      </vt:variant>
      <vt:variant>
        <vt:i4>14</vt:i4>
      </vt:variant>
      <vt:variant>
        <vt:i4>0</vt:i4>
      </vt:variant>
      <vt:variant>
        <vt:i4>5</vt:i4>
      </vt:variant>
      <vt:variant>
        <vt:lpwstr/>
      </vt:variant>
      <vt:variant>
        <vt:lpwstr>_Toc163545834</vt:lpwstr>
      </vt:variant>
      <vt:variant>
        <vt:i4>1179710</vt:i4>
      </vt:variant>
      <vt:variant>
        <vt:i4>8</vt:i4>
      </vt:variant>
      <vt:variant>
        <vt:i4>0</vt:i4>
      </vt:variant>
      <vt:variant>
        <vt:i4>5</vt:i4>
      </vt:variant>
      <vt:variant>
        <vt:lpwstr/>
      </vt:variant>
      <vt:variant>
        <vt:lpwstr>_Toc163545833</vt:lpwstr>
      </vt:variant>
      <vt:variant>
        <vt:i4>1179710</vt:i4>
      </vt:variant>
      <vt:variant>
        <vt:i4>2</vt:i4>
      </vt:variant>
      <vt:variant>
        <vt:i4>0</vt:i4>
      </vt:variant>
      <vt:variant>
        <vt:i4>5</vt:i4>
      </vt:variant>
      <vt:variant>
        <vt:lpwstr/>
      </vt:variant>
      <vt:variant>
        <vt:lpwstr>_Toc163545832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2024-04-09T01:03:00Z</cp:lastPrinted>
  <dcterms:created xsi:type="dcterms:W3CDTF">2024-04-10T04:01:00Z</dcterms:created>
  <dcterms:modified xsi:type="dcterms:W3CDTF">2024-04-10T04:01:00Z</dcterms:modified>
</cp:coreProperties>
</file>