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F227EC" w:rsidRDefault="002231E6" w:rsidP="00ED66FF">
      <w:pPr>
        <w:adjustRightInd w:val="0"/>
        <w:ind w:leftChars="0" w:left="0" w:firstLineChars="0" w:firstLine="0"/>
        <w:rPr>
          <w:rFonts w:ascii="標楷體" w:hAnsi="標楷體"/>
          <w:b/>
          <w:color w:val="000000"/>
          <w:sz w:val="36"/>
          <w:szCs w:val="28"/>
        </w:rPr>
      </w:pPr>
      <w:bookmarkStart w:id="0" w:name="_Toc384304726"/>
      <w:bookmarkStart w:id="1" w:name="_GoBack"/>
      <w:bookmarkEnd w:id="1"/>
      <w:r w:rsidRPr="002231E6">
        <w:rPr>
          <w:rFonts w:ascii="標楷體" w:hAnsi="標楷體" w:hint="eastAsia"/>
          <w:b/>
          <w:color w:val="000000"/>
          <w:sz w:val="36"/>
          <w:szCs w:val="28"/>
        </w:rPr>
        <w:t>國軍退除役官兵輔導委員會主管非營業基金111年度決算評估報告</w:t>
      </w:r>
    </w:p>
    <w:p w:rsidR="00BB6889" w:rsidRPr="00F227EC" w:rsidRDefault="00536D0F" w:rsidP="00E55F01">
      <w:pPr>
        <w:pStyle w:val="14"/>
        <w:rPr>
          <w:rFonts w:hint="eastAsia"/>
        </w:rPr>
      </w:pPr>
      <w:bookmarkStart w:id="2" w:name="_Toc94040113"/>
      <w:bookmarkStart w:id="3" w:name="_Toc163571315"/>
      <w:r>
        <w:rPr>
          <w:rFonts w:hint="eastAsia"/>
        </w:rPr>
        <w:t>二</w:t>
      </w:r>
      <w:r w:rsidR="00BB6889" w:rsidRPr="00F227EC">
        <w:rPr>
          <w:rFonts w:hint="eastAsia"/>
        </w:rPr>
        <w:t>、</w:t>
      </w:r>
      <w:bookmarkEnd w:id="0"/>
      <w:bookmarkEnd w:id="2"/>
      <w:r w:rsidR="009065D5">
        <w:rPr>
          <w:rFonts w:hint="eastAsia"/>
        </w:rPr>
        <w:t>部分轉投資事業</w:t>
      </w:r>
      <w:r w:rsidR="00DA3B1B">
        <w:rPr>
          <w:rFonts w:hint="eastAsia"/>
        </w:rPr>
        <w:t>111年度之</w:t>
      </w:r>
      <w:r w:rsidR="009065D5">
        <w:rPr>
          <w:rFonts w:hint="eastAsia"/>
        </w:rPr>
        <w:t>投資報酬率</w:t>
      </w:r>
      <w:r w:rsidR="00334BD9" w:rsidRPr="00334BD9">
        <w:rPr>
          <w:rFonts w:hint="eastAsia"/>
        </w:rPr>
        <w:t>較110</w:t>
      </w:r>
      <w:r w:rsidR="00F011ED">
        <w:rPr>
          <w:rFonts w:hint="eastAsia"/>
        </w:rPr>
        <w:t>年度</w:t>
      </w:r>
      <w:r w:rsidR="00334BD9" w:rsidRPr="00334BD9">
        <w:rPr>
          <w:rFonts w:hint="eastAsia"/>
        </w:rPr>
        <w:t>衰退，</w:t>
      </w:r>
      <w:r w:rsidR="00DA3B1B">
        <w:rPr>
          <w:rFonts w:hint="eastAsia"/>
        </w:rPr>
        <w:t>另有</w:t>
      </w:r>
      <w:r w:rsidR="00EA21A5">
        <w:rPr>
          <w:rFonts w:hint="eastAsia"/>
        </w:rPr>
        <w:t>部分轉投資事業</w:t>
      </w:r>
      <w:r w:rsidR="00277A2D">
        <w:rPr>
          <w:rFonts w:hint="eastAsia"/>
        </w:rPr>
        <w:t>發放</w:t>
      </w:r>
      <w:r w:rsidR="00F011ED">
        <w:rPr>
          <w:rFonts w:hint="eastAsia"/>
        </w:rPr>
        <w:t>現金股利減少</w:t>
      </w:r>
      <w:r w:rsidR="00DA3B1B">
        <w:rPr>
          <w:rFonts w:hint="eastAsia"/>
        </w:rPr>
        <w:t>或</w:t>
      </w:r>
      <w:r w:rsidR="00EA21A5">
        <w:rPr>
          <w:rFonts w:hint="eastAsia"/>
        </w:rPr>
        <w:t>有</w:t>
      </w:r>
      <w:r w:rsidR="00DA3B1B">
        <w:rPr>
          <w:rFonts w:hint="eastAsia"/>
        </w:rPr>
        <w:t>數年未發放之情形</w:t>
      </w:r>
      <w:r w:rsidR="00F011ED">
        <w:rPr>
          <w:rFonts w:hint="eastAsia"/>
        </w:rPr>
        <w:t>，</w:t>
      </w:r>
      <w:r w:rsidR="00334BD9" w:rsidRPr="00334BD9">
        <w:rPr>
          <w:rFonts w:hint="eastAsia"/>
        </w:rPr>
        <w:t>允宜</w:t>
      </w:r>
      <w:r w:rsidR="00DA3B1B">
        <w:rPr>
          <w:rFonts w:hint="eastAsia"/>
        </w:rPr>
        <w:t>督促</w:t>
      </w:r>
      <w:r w:rsidR="00EA21A5">
        <w:rPr>
          <w:rFonts w:hint="eastAsia"/>
        </w:rPr>
        <w:t>其提升</w:t>
      </w:r>
      <w:r w:rsidR="00DA3B1B">
        <w:rPr>
          <w:rFonts w:hint="eastAsia"/>
        </w:rPr>
        <w:t>經營策略</w:t>
      </w:r>
      <w:r w:rsidR="00334BD9" w:rsidRPr="00334BD9">
        <w:rPr>
          <w:rFonts w:hint="eastAsia"/>
        </w:rPr>
        <w:t>，俾利挹注基金收入</w:t>
      </w:r>
      <w:bookmarkEnd w:id="3"/>
    </w:p>
    <w:p w:rsidR="00BB6889" w:rsidRPr="00F227EC" w:rsidRDefault="0019783E" w:rsidP="00ED66FF">
      <w:pPr>
        <w:rPr>
          <w:rFonts w:ascii="標楷體" w:hAnsi="標楷體" w:hint="eastAsia"/>
        </w:rPr>
      </w:pPr>
      <w:r w:rsidRPr="00F227EC">
        <w:rPr>
          <w:rFonts w:ascii="標楷體" w:hAnsi="標楷體" w:hint="eastAsia"/>
        </w:rPr>
        <w:t>安置基金</w:t>
      </w:r>
      <w:r w:rsidR="00E65D39" w:rsidRPr="00F227EC">
        <w:rPr>
          <w:rFonts w:ascii="標楷體" w:hAnsi="標楷體" w:hint="eastAsia"/>
        </w:rPr>
        <w:t>11</w:t>
      </w:r>
      <w:r w:rsidR="007B27A5">
        <w:rPr>
          <w:rFonts w:ascii="標楷體" w:hAnsi="標楷體" w:hint="eastAsia"/>
        </w:rPr>
        <w:t>1</w:t>
      </w:r>
      <w:r w:rsidR="00E65D39" w:rsidRPr="00F227EC">
        <w:rPr>
          <w:rFonts w:ascii="標楷體" w:hAnsi="標楷體" w:hint="eastAsia"/>
        </w:rPr>
        <w:t>年度</w:t>
      </w:r>
      <w:r w:rsidR="00EC7946" w:rsidRPr="00F227EC">
        <w:rPr>
          <w:rFonts w:ascii="標楷體" w:hAnsi="標楷體" w:hint="eastAsia"/>
        </w:rPr>
        <w:t>於</w:t>
      </w:r>
      <w:r w:rsidR="002676DB">
        <w:rPr>
          <w:rFonts w:ascii="標楷體" w:hAnsi="標楷體" w:hint="eastAsia"/>
        </w:rPr>
        <w:t>「業務收入－投融資業務收入」項下之投資業務收入</w:t>
      </w:r>
      <w:r w:rsidR="0053401B">
        <w:rPr>
          <w:rFonts w:ascii="標楷體" w:hAnsi="標楷體" w:hint="eastAsia"/>
        </w:rPr>
        <w:t>，</w:t>
      </w:r>
      <w:r w:rsidR="00EC7946" w:rsidRPr="00F227EC">
        <w:rPr>
          <w:rFonts w:ascii="標楷體" w:hAnsi="標楷體" w:hint="eastAsia"/>
        </w:rPr>
        <w:t>編列</w:t>
      </w:r>
      <w:r w:rsidR="0053401B">
        <w:rPr>
          <w:rFonts w:ascii="標楷體" w:hAnsi="標楷體" w:hint="eastAsia"/>
        </w:rPr>
        <w:t>包括依</w:t>
      </w:r>
      <w:r w:rsidR="00536D0F">
        <w:rPr>
          <w:rFonts w:ascii="標楷體" w:hAnsi="標楷體" w:hint="eastAsia"/>
        </w:rPr>
        <w:t>權益法認列之投資餘絀預算數</w:t>
      </w:r>
      <w:r w:rsidR="001E4CB6">
        <w:rPr>
          <w:rFonts w:ascii="標楷體" w:hAnsi="標楷體" w:hint="eastAsia"/>
        </w:rPr>
        <w:t>13億323</w:t>
      </w:r>
      <w:r w:rsidR="00EC7946" w:rsidRPr="00F227EC">
        <w:rPr>
          <w:rFonts w:ascii="標楷體" w:hAnsi="標楷體" w:hint="eastAsia"/>
        </w:rPr>
        <w:t>萬</w:t>
      </w:r>
      <w:r w:rsidR="001E4CB6">
        <w:rPr>
          <w:rFonts w:ascii="標楷體" w:hAnsi="標楷體" w:hint="eastAsia"/>
        </w:rPr>
        <w:t>1千</w:t>
      </w:r>
      <w:r w:rsidR="00EC7946" w:rsidRPr="00F227EC">
        <w:rPr>
          <w:rFonts w:ascii="標楷體" w:hAnsi="標楷體" w:hint="eastAsia"/>
        </w:rPr>
        <w:t>元</w:t>
      </w:r>
      <w:r w:rsidR="00E65D39" w:rsidRPr="00F227EC">
        <w:rPr>
          <w:rFonts w:ascii="標楷體" w:hAnsi="標楷體" w:hint="eastAsia"/>
        </w:rPr>
        <w:t>，決算數</w:t>
      </w:r>
      <w:r w:rsidR="001E4CB6">
        <w:rPr>
          <w:rFonts w:ascii="標楷體" w:hAnsi="標楷體" w:hint="eastAsia"/>
        </w:rPr>
        <w:t>14億3</w:t>
      </w:r>
      <w:r w:rsidR="00EC7946" w:rsidRPr="00F227EC">
        <w:rPr>
          <w:rFonts w:ascii="標楷體" w:hAnsi="標楷體"/>
        </w:rPr>
        <w:t>,</w:t>
      </w:r>
      <w:r w:rsidR="001E4CB6">
        <w:rPr>
          <w:rFonts w:ascii="標楷體" w:hAnsi="標楷體" w:hint="eastAsia"/>
        </w:rPr>
        <w:t>002</w:t>
      </w:r>
      <w:r w:rsidR="00D5124C" w:rsidRPr="00F227EC">
        <w:rPr>
          <w:rFonts w:ascii="標楷體" w:hAnsi="標楷體" w:hint="eastAsia"/>
        </w:rPr>
        <w:t>萬</w:t>
      </w:r>
      <w:r w:rsidR="00E65D39" w:rsidRPr="00F227EC">
        <w:rPr>
          <w:rFonts w:ascii="標楷體" w:hAnsi="標楷體" w:hint="eastAsia"/>
        </w:rPr>
        <w:t>元</w:t>
      </w:r>
      <w:r w:rsidR="00EC7946" w:rsidRPr="00F227EC">
        <w:rPr>
          <w:rFonts w:ascii="標楷體" w:hAnsi="標楷體" w:hint="eastAsia"/>
        </w:rPr>
        <w:t>，預算</w:t>
      </w:r>
      <w:r w:rsidR="00536D0F">
        <w:rPr>
          <w:rFonts w:ascii="標楷體" w:hAnsi="標楷體" w:hint="eastAsia"/>
        </w:rPr>
        <w:t>達成</w:t>
      </w:r>
      <w:r w:rsidR="00EC7946" w:rsidRPr="00F227EC">
        <w:rPr>
          <w:rFonts w:ascii="標楷體" w:hAnsi="標楷體" w:hint="eastAsia"/>
        </w:rPr>
        <w:t>率</w:t>
      </w:r>
      <w:r w:rsidR="001E4CB6">
        <w:rPr>
          <w:rFonts w:ascii="標楷體" w:hAnsi="標楷體" w:hint="eastAsia"/>
        </w:rPr>
        <w:t>109</w:t>
      </w:r>
      <w:r w:rsidR="00EC7946" w:rsidRPr="00F227EC">
        <w:rPr>
          <w:rFonts w:ascii="標楷體" w:hAnsi="標楷體" w:hint="eastAsia"/>
        </w:rPr>
        <w:t>.</w:t>
      </w:r>
      <w:r w:rsidR="001E4CB6">
        <w:rPr>
          <w:rFonts w:ascii="標楷體" w:hAnsi="標楷體" w:hint="eastAsia"/>
        </w:rPr>
        <w:t>73</w:t>
      </w:r>
      <w:r w:rsidR="00C658F4" w:rsidRPr="00F227EC">
        <w:rPr>
          <w:rFonts w:ascii="標楷體" w:hAnsi="標楷體"/>
        </w:rPr>
        <w:t>%</w:t>
      </w:r>
      <w:r w:rsidR="00E65D39" w:rsidRPr="00F227EC">
        <w:rPr>
          <w:rFonts w:ascii="標楷體" w:hAnsi="標楷體" w:hint="eastAsia"/>
        </w:rPr>
        <w:t>。</w:t>
      </w:r>
      <w:r w:rsidR="00EC7946" w:rsidRPr="00F227EC">
        <w:rPr>
          <w:rFonts w:ascii="標楷體" w:hAnsi="標楷體" w:hint="eastAsia"/>
        </w:rPr>
        <w:t>安置基金</w:t>
      </w:r>
      <w:r w:rsidR="0013654F">
        <w:rPr>
          <w:rFonts w:ascii="標楷體" w:hAnsi="標楷體" w:hint="eastAsia"/>
        </w:rPr>
        <w:t>部分轉投資事業</w:t>
      </w:r>
      <w:r w:rsidR="00A72574">
        <w:rPr>
          <w:rFonts w:ascii="標楷體" w:hAnsi="標楷體" w:hint="eastAsia"/>
        </w:rPr>
        <w:t>111年度</w:t>
      </w:r>
      <w:r w:rsidR="0013654F">
        <w:rPr>
          <w:rFonts w:ascii="標楷體" w:hAnsi="標楷體" w:hint="eastAsia"/>
        </w:rPr>
        <w:t>投資報酬率</w:t>
      </w:r>
      <w:r w:rsidR="00536D0F">
        <w:rPr>
          <w:rFonts w:ascii="標楷體" w:hAnsi="標楷體" w:hint="eastAsia"/>
        </w:rPr>
        <w:t>與</w:t>
      </w:r>
      <w:r w:rsidR="00936DAC">
        <w:rPr>
          <w:rFonts w:ascii="標楷體" w:hAnsi="標楷體" w:hint="eastAsia"/>
        </w:rPr>
        <w:t>發放</w:t>
      </w:r>
      <w:r w:rsidR="00536D0F">
        <w:rPr>
          <w:rFonts w:ascii="標楷體" w:hAnsi="標楷體" w:hint="eastAsia"/>
        </w:rPr>
        <w:t>現金股利較110年度</w:t>
      </w:r>
      <w:r w:rsidR="004C3450">
        <w:rPr>
          <w:rFonts w:ascii="標楷體" w:hAnsi="標楷體" w:hint="eastAsia"/>
        </w:rPr>
        <w:t>有減</w:t>
      </w:r>
      <w:r w:rsidR="00536D0F">
        <w:rPr>
          <w:rFonts w:ascii="標楷體" w:hAnsi="標楷體" w:hint="eastAsia"/>
        </w:rPr>
        <w:t>少</w:t>
      </w:r>
      <w:r w:rsidR="004C3450">
        <w:rPr>
          <w:rFonts w:ascii="標楷體" w:hAnsi="標楷體" w:hint="eastAsia"/>
        </w:rPr>
        <w:t>之情形</w:t>
      </w:r>
      <w:r w:rsidR="00EC7946" w:rsidRPr="00F227EC">
        <w:rPr>
          <w:rFonts w:ascii="標楷體" w:hAnsi="標楷體" w:hint="eastAsia"/>
        </w:rPr>
        <w:t>，</w:t>
      </w:r>
      <w:r w:rsidR="00EB0B8C" w:rsidRPr="00F227EC">
        <w:rPr>
          <w:rFonts w:ascii="標楷體" w:hAnsi="標楷體" w:hint="eastAsia"/>
        </w:rPr>
        <w:t>謹</w:t>
      </w:r>
      <w:r w:rsidR="00BB6889" w:rsidRPr="00F227EC">
        <w:rPr>
          <w:rFonts w:ascii="標楷體" w:hAnsi="標楷體" w:hint="eastAsia"/>
        </w:rPr>
        <w:t>分述如下：</w:t>
      </w:r>
    </w:p>
    <w:p w:rsidR="00BB6889" w:rsidRPr="00F227EC" w:rsidRDefault="00BB6889" w:rsidP="004A32B9">
      <w:pPr>
        <w:pStyle w:val="a4"/>
        <w:ind w:leftChars="188" w:left="781" w:hangingChars="88" w:hanging="249"/>
        <w:rPr>
          <w:rFonts w:ascii="標楷體" w:hAnsi="標楷體" w:hint="eastAsia"/>
        </w:rPr>
      </w:pPr>
      <w:r w:rsidRPr="00F227EC">
        <w:rPr>
          <w:rFonts w:ascii="標楷體" w:hAnsi="標楷體" w:hint="eastAsia"/>
        </w:rPr>
        <w:t>(一)</w:t>
      </w:r>
      <w:r w:rsidR="009065D5" w:rsidRPr="009065D5">
        <w:rPr>
          <w:rFonts w:ascii="標楷體" w:hAnsi="標楷體" w:hint="eastAsia"/>
        </w:rPr>
        <w:t>受</w:t>
      </w:r>
      <w:r w:rsidR="00936DAC">
        <w:rPr>
          <w:rFonts w:ascii="標楷體" w:hAnsi="標楷體"/>
        </w:rPr>
        <w:t>COVID-19</w:t>
      </w:r>
      <w:r w:rsidR="009065D5" w:rsidRPr="009065D5">
        <w:rPr>
          <w:rFonts w:ascii="標楷體" w:hAnsi="標楷體" w:hint="eastAsia"/>
        </w:rPr>
        <w:t>疫情</w:t>
      </w:r>
      <w:r w:rsidR="009803D9">
        <w:rPr>
          <w:rFonts w:ascii="標楷體" w:hAnsi="標楷體" w:hint="eastAsia"/>
        </w:rPr>
        <w:t>、投資失利等因素</w:t>
      </w:r>
      <w:r w:rsidR="009065D5" w:rsidRPr="009065D5">
        <w:rPr>
          <w:rFonts w:ascii="標楷體" w:hAnsi="標楷體" w:hint="eastAsia"/>
        </w:rPr>
        <w:t>影響</w:t>
      </w:r>
      <w:r w:rsidR="004A32B9">
        <w:rPr>
          <w:rFonts w:ascii="標楷體" w:hAnsi="標楷體" w:hint="eastAsia"/>
        </w:rPr>
        <w:t>，</w:t>
      </w:r>
      <w:r w:rsidR="009065D5" w:rsidRPr="009065D5">
        <w:rPr>
          <w:rFonts w:ascii="標楷體" w:hAnsi="標楷體" w:hint="eastAsia"/>
        </w:rPr>
        <w:t>部分轉投資事業</w:t>
      </w:r>
      <w:r w:rsidR="009065D5">
        <w:rPr>
          <w:rFonts w:ascii="標楷體" w:hAnsi="標楷體" w:hint="eastAsia"/>
        </w:rPr>
        <w:t>111年度投資報酬率</w:t>
      </w:r>
      <w:r w:rsidR="009065D5" w:rsidRPr="009065D5">
        <w:rPr>
          <w:rFonts w:ascii="標楷體" w:hAnsi="標楷體" w:hint="eastAsia"/>
        </w:rPr>
        <w:t>較110年度</w:t>
      </w:r>
      <w:r w:rsidR="00F171F2">
        <w:rPr>
          <w:rFonts w:ascii="標楷體" w:hAnsi="標楷體" w:hint="eastAsia"/>
        </w:rPr>
        <w:t>下滑</w:t>
      </w:r>
    </w:p>
    <w:p w:rsidR="00F015A5" w:rsidRPr="00F227EC" w:rsidRDefault="00232707" w:rsidP="00E21F28">
      <w:pPr>
        <w:pStyle w:val="2"/>
        <w:ind w:leftChars="257" w:left="728"/>
        <w:rPr>
          <w:rFonts w:ascii="標楷體" w:hAnsi="標楷體"/>
        </w:rPr>
      </w:pPr>
      <w:r>
        <w:rPr>
          <w:rFonts w:ascii="標楷體" w:hAnsi="標楷體" w:hint="eastAsia"/>
        </w:rPr>
        <w:t>依安置基金提供資料，該基金</w:t>
      </w:r>
      <w:r w:rsidR="00A72574">
        <w:rPr>
          <w:rFonts w:ascii="標楷體" w:hAnsi="標楷體" w:hint="eastAsia"/>
        </w:rPr>
        <w:t>111年度</w:t>
      </w:r>
      <w:r>
        <w:rPr>
          <w:rFonts w:ascii="標楷體" w:hAnsi="標楷體" w:hint="eastAsia"/>
        </w:rPr>
        <w:t>轉投資事業</w:t>
      </w:r>
      <w:r w:rsidR="00E43E2E">
        <w:rPr>
          <w:rFonts w:ascii="標楷體" w:hAnsi="標楷體" w:hint="eastAsia"/>
        </w:rPr>
        <w:t>(包括自榮民工程公司承接之股權)</w:t>
      </w:r>
      <w:r w:rsidR="00A72574">
        <w:rPr>
          <w:rFonts w:ascii="標楷體" w:hAnsi="標楷體" w:hint="eastAsia"/>
        </w:rPr>
        <w:t>計有</w:t>
      </w:r>
      <w:r w:rsidR="00E43E2E">
        <w:rPr>
          <w:rFonts w:ascii="標楷體" w:hAnsi="標楷體" w:hint="eastAsia"/>
        </w:rPr>
        <w:t>欣隆天然氣公司等</w:t>
      </w:r>
      <w:r w:rsidR="00936DAC">
        <w:rPr>
          <w:rFonts w:ascii="標楷體" w:hAnsi="標楷體" w:hint="eastAsia"/>
        </w:rPr>
        <w:t>29</w:t>
      </w:r>
      <w:r w:rsidR="00E43E2E">
        <w:rPr>
          <w:rFonts w:ascii="標楷體" w:hAnsi="標楷體" w:hint="eastAsia"/>
        </w:rPr>
        <w:t>家事業</w:t>
      </w:r>
      <w:r w:rsidR="00A455C6">
        <w:rPr>
          <w:rStyle w:val="af6"/>
          <w:rFonts w:ascii="標楷體" w:hAnsi="標楷體"/>
        </w:rPr>
        <w:footnoteReference w:id="1"/>
      </w:r>
      <w:r w:rsidR="00E43E2E">
        <w:rPr>
          <w:rFonts w:ascii="標楷體" w:hAnsi="標楷體" w:hint="eastAsia"/>
        </w:rPr>
        <w:t>(安置基金109至111年度轉投資事業</w:t>
      </w:r>
      <w:r w:rsidR="00186C8E">
        <w:rPr>
          <w:rFonts w:ascii="標楷體" w:hAnsi="標楷體" w:hint="eastAsia"/>
        </w:rPr>
        <w:t>投資報酬率統計表，</w:t>
      </w:r>
      <w:r w:rsidR="00E43E2E">
        <w:rPr>
          <w:rFonts w:ascii="標楷體" w:hAnsi="標楷體" w:hint="eastAsia"/>
        </w:rPr>
        <w:t>詳表1)</w:t>
      </w:r>
      <w:r w:rsidR="00F171F2">
        <w:rPr>
          <w:rFonts w:ascii="標楷體" w:hAnsi="標楷體" w:hint="eastAsia"/>
        </w:rPr>
        <w:t>，其中包括欣隆天然氣公司等1</w:t>
      </w:r>
      <w:r w:rsidR="00FF7443">
        <w:rPr>
          <w:rFonts w:ascii="標楷體" w:hAnsi="標楷體" w:hint="eastAsia"/>
        </w:rPr>
        <w:t>3</w:t>
      </w:r>
      <w:r w:rsidR="00F171F2">
        <w:rPr>
          <w:rFonts w:ascii="標楷體" w:hAnsi="標楷體" w:hint="eastAsia"/>
        </w:rPr>
        <w:t>家轉投資事業之投資報酬率較110年度下滑(表內以</w:t>
      </w:r>
      <w:r w:rsidR="00F171F2" w:rsidRPr="002A6CFE">
        <w:rPr>
          <w:rFonts w:ascii="標楷體" w:hAnsi="標楷體" w:hint="eastAsia"/>
          <w:b/>
        </w:rPr>
        <w:t>粗體</w:t>
      </w:r>
      <w:r w:rsidR="002A6CFE">
        <w:rPr>
          <w:rFonts w:ascii="標楷體" w:hAnsi="標楷體" w:hint="eastAsia"/>
          <w:b/>
        </w:rPr>
        <w:t>字</w:t>
      </w:r>
      <w:r w:rsidR="00F171F2">
        <w:rPr>
          <w:rFonts w:ascii="標楷體" w:hAnsi="標楷體" w:hint="eastAsia"/>
        </w:rPr>
        <w:t>標示)，</w:t>
      </w:r>
      <w:r w:rsidR="00142441">
        <w:rPr>
          <w:rFonts w:ascii="標楷體" w:hAnsi="標楷體" w:hint="eastAsia"/>
        </w:rPr>
        <w:t>究其</w:t>
      </w:r>
      <w:r w:rsidR="003B7D12">
        <w:rPr>
          <w:rFonts w:ascii="標楷體" w:hAnsi="標楷體" w:hint="eastAsia"/>
        </w:rPr>
        <w:t>原因</w:t>
      </w:r>
      <w:r w:rsidR="00142441">
        <w:rPr>
          <w:rFonts w:ascii="標楷體" w:hAnsi="標楷體" w:hint="eastAsia"/>
        </w:rPr>
        <w:t>，</w:t>
      </w:r>
      <w:r w:rsidR="00F171F2">
        <w:rPr>
          <w:rFonts w:ascii="標楷體" w:hAnsi="標楷體" w:hint="eastAsia"/>
        </w:rPr>
        <w:t>除</w:t>
      </w:r>
      <w:r w:rsidR="00FF7443" w:rsidRPr="00FF7443">
        <w:rPr>
          <w:rFonts w:ascii="標楷體" w:hAnsi="標楷體"/>
        </w:rPr>
        <w:t>COVID-19</w:t>
      </w:r>
      <w:r w:rsidR="00F171F2">
        <w:rPr>
          <w:rFonts w:ascii="標楷體" w:hAnsi="標楷體" w:hint="eastAsia"/>
        </w:rPr>
        <w:t>疫情因素</w:t>
      </w:r>
      <w:r w:rsidR="00FF7443">
        <w:rPr>
          <w:rFonts w:ascii="標楷體" w:hAnsi="標楷體" w:hint="eastAsia"/>
        </w:rPr>
        <w:t>影響</w:t>
      </w:r>
      <w:r w:rsidR="00F171F2">
        <w:rPr>
          <w:rFonts w:ascii="標楷體" w:hAnsi="標楷體" w:hint="eastAsia"/>
        </w:rPr>
        <w:t>外</w:t>
      </w:r>
      <w:r w:rsidR="00E21F28">
        <w:rPr>
          <w:rFonts w:ascii="標楷體" w:hAnsi="標楷體" w:hint="eastAsia"/>
        </w:rPr>
        <w:t>，</w:t>
      </w:r>
      <w:r w:rsidR="00FF7443">
        <w:rPr>
          <w:rFonts w:ascii="標楷體" w:hAnsi="標楷體" w:hint="eastAsia"/>
        </w:rPr>
        <w:t>尚有原</w:t>
      </w:r>
      <w:r w:rsidR="00142441">
        <w:rPr>
          <w:rFonts w:ascii="標楷體" w:hAnsi="標楷體" w:hint="eastAsia"/>
        </w:rPr>
        <w:t>屬於區域寡占、獲利穩定之</w:t>
      </w:r>
      <w:r w:rsidR="00E21F28">
        <w:rPr>
          <w:rFonts w:ascii="標楷體" w:hAnsi="標楷體" w:hint="eastAsia"/>
        </w:rPr>
        <w:t>欣欣天然氣公司</w:t>
      </w:r>
      <w:r w:rsidR="003B7D12">
        <w:rPr>
          <w:rFonts w:ascii="標楷體" w:hAnsi="標楷體" w:hint="eastAsia"/>
        </w:rPr>
        <w:t>111年度</w:t>
      </w:r>
      <w:r w:rsidR="00E21F28">
        <w:rPr>
          <w:rFonts w:ascii="標楷體" w:hAnsi="標楷體" w:hint="eastAsia"/>
        </w:rPr>
        <w:t>因</w:t>
      </w:r>
      <w:r w:rsidR="006C6DA9">
        <w:rPr>
          <w:rFonts w:ascii="標楷體" w:hAnsi="標楷體" w:hint="eastAsia"/>
        </w:rPr>
        <w:t>部分企</w:t>
      </w:r>
      <w:r w:rsidR="006C6DA9" w:rsidRPr="00EB2DF6">
        <w:rPr>
          <w:rFonts w:ascii="標楷體" w:hAnsi="標楷體" w:hint="eastAsia"/>
          <w:color w:val="000000"/>
        </w:rPr>
        <w:t>業資金運用採</w:t>
      </w:r>
      <w:r w:rsidR="00142441" w:rsidRPr="00EB2DF6">
        <w:rPr>
          <w:rFonts w:ascii="標楷體" w:hAnsi="標楷體" w:hint="eastAsia"/>
          <w:color w:val="000000"/>
        </w:rPr>
        <w:t>委外</w:t>
      </w:r>
      <w:r w:rsidR="00E21F28" w:rsidRPr="00EB2DF6">
        <w:rPr>
          <w:rFonts w:ascii="標楷體" w:hAnsi="標楷體" w:hint="eastAsia"/>
          <w:color w:val="000000"/>
        </w:rPr>
        <w:t>投資</w:t>
      </w:r>
      <w:r w:rsidR="00A673E3" w:rsidRPr="00EB2DF6">
        <w:rPr>
          <w:rFonts w:ascii="標楷體" w:hAnsi="標楷體" w:hint="eastAsia"/>
          <w:color w:val="000000"/>
        </w:rPr>
        <w:t>方式</w:t>
      </w:r>
      <w:r w:rsidR="006C6DA9" w:rsidRPr="00EB2DF6">
        <w:rPr>
          <w:rFonts w:ascii="標楷體" w:hAnsi="標楷體" w:hint="eastAsia"/>
          <w:color w:val="000000"/>
        </w:rPr>
        <w:t>，惟</w:t>
      </w:r>
      <w:r w:rsidR="00C85C6D" w:rsidRPr="00EB2DF6">
        <w:rPr>
          <w:rFonts w:ascii="標楷體" w:hAnsi="標楷體" w:hint="eastAsia"/>
          <w:color w:val="000000"/>
        </w:rPr>
        <w:t>當年度國內外</w:t>
      </w:r>
      <w:r w:rsidR="00DE1154" w:rsidRPr="00EB2DF6">
        <w:rPr>
          <w:rFonts w:ascii="標楷體" w:hAnsi="標楷體" w:hint="eastAsia"/>
          <w:color w:val="000000"/>
        </w:rPr>
        <w:t>股市</w:t>
      </w:r>
      <w:r w:rsidR="00C85C6D" w:rsidRPr="00EB2DF6">
        <w:rPr>
          <w:rFonts w:ascii="標楷體" w:hAnsi="標楷體" w:hint="eastAsia"/>
          <w:color w:val="000000"/>
        </w:rPr>
        <w:t>受國際政經情勢</w:t>
      </w:r>
      <w:r w:rsidR="00DE1154" w:rsidRPr="00EB2DF6">
        <w:rPr>
          <w:rFonts w:ascii="標楷體" w:hAnsi="標楷體" w:hint="eastAsia"/>
          <w:color w:val="000000"/>
        </w:rPr>
        <w:t>影響</w:t>
      </w:r>
      <w:r w:rsidR="00DE1154" w:rsidRPr="00DE1154">
        <w:rPr>
          <w:rStyle w:val="af6"/>
          <w:rFonts w:ascii="標楷體" w:hAnsi="標楷體"/>
          <w:color w:val="000000"/>
        </w:rPr>
        <w:footnoteReference w:id="2"/>
      </w:r>
      <w:r w:rsidR="00DE1154" w:rsidRPr="00DE1154">
        <w:rPr>
          <w:rFonts w:ascii="標楷體" w:hAnsi="標楷體" w:hint="eastAsia"/>
          <w:color w:val="000000"/>
        </w:rPr>
        <w:t>大幅震盪</w:t>
      </w:r>
      <w:r w:rsidR="00C85C6D" w:rsidRPr="00EB2DF6">
        <w:rPr>
          <w:rFonts w:ascii="標楷體" w:hAnsi="標楷體" w:hint="eastAsia"/>
          <w:color w:val="000000"/>
        </w:rPr>
        <w:t>，投資</w:t>
      </w:r>
      <w:r w:rsidR="00E21F28" w:rsidRPr="00EB2DF6">
        <w:rPr>
          <w:rFonts w:ascii="標楷體" w:hAnsi="標楷體" w:hint="eastAsia"/>
          <w:color w:val="000000"/>
        </w:rPr>
        <w:t>失利</w:t>
      </w:r>
      <w:r w:rsidR="00C85C6D" w:rsidRPr="00EB2DF6">
        <w:rPr>
          <w:rFonts w:ascii="標楷體" w:hAnsi="標楷體" w:hint="eastAsia"/>
          <w:color w:val="000000"/>
        </w:rPr>
        <w:t>金額近1.6億元</w:t>
      </w:r>
      <w:r w:rsidR="00DE1154" w:rsidRPr="00EB2DF6">
        <w:rPr>
          <w:rStyle w:val="af6"/>
          <w:rFonts w:ascii="標楷體" w:hAnsi="標楷體"/>
          <w:color w:val="000000"/>
        </w:rPr>
        <w:footnoteReference w:id="3"/>
      </w:r>
      <w:r w:rsidR="00142441" w:rsidRPr="00EB2DF6">
        <w:rPr>
          <w:rFonts w:ascii="標楷體" w:hAnsi="標楷體" w:hint="eastAsia"/>
          <w:color w:val="000000"/>
        </w:rPr>
        <w:t>，</w:t>
      </w:r>
      <w:r w:rsidR="00E21F28">
        <w:rPr>
          <w:rFonts w:ascii="標楷體" w:hAnsi="標楷體" w:hint="eastAsia"/>
        </w:rPr>
        <w:t>致</w:t>
      </w:r>
      <w:r w:rsidR="00A673E3">
        <w:rPr>
          <w:rFonts w:ascii="標楷體" w:hAnsi="標楷體" w:hint="eastAsia"/>
        </w:rPr>
        <w:t>年度</w:t>
      </w:r>
      <w:r w:rsidR="00E21F28">
        <w:rPr>
          <w:rFonts w:ascii="標楷體" w:hAnsi="標楷體" w:hint="eastAsia"/>
        </w:rPr>
        <w:t>投資報酬率大幅下滑</w:t>
      </w:r>
      <w:r w:rsidR="00A673E3">
        <w:rPr>
          <w:rFonts w:ascii="標楷體" w:hAnsi="標楷體" w:hint="eastAsia"/>
        </w:rPr>
        <w:t>，僅達7.97%，未及109、110年度之18.1%、18.97%</w:t>
      </w:r>
      <w:r w:rsidR="00F778CE" w:rsidRPr="00F227EC">
        <w:rPr>
          <w:rFonts w:ascii="標楷體" w:hAnsi="標楷體" w:hint="eastAsia"/>
        </w:rPr>
        <w:t>。</w:t>
      </w:r>
      <w:r w:rsidR="00D06B5E" w:rsidRPr="00F227EC">
        <w:rPr>
          <w:rFonts w:ascii="標楷體" w:hAnsi="標楷體" w:hint="eastAsia"/>
          <w:b/>
        </w:rPr>
        <w:t xml:space="preserve"> </w:t>
      </w:r>
    </w:p>
    <w:p w:rsidR="00D14662" w:rsidRDefault="00D14662" w:rsidP="007F27ED">
      <w:pPr>
        <w:spacing w:line="440" w:lineRule="exact"/>
        <w:ind w:leftChars="207" w:left="6122" w:hangingChars="1953" w:hanging="5536"/>
        <w:jc w:val="left"/>
        <w:rPr>
          <w:rFonts w:ascii="標楷體" w:hAnsi="標楷體"/>
          <w:b/>
          <w:szCs w:val="28"/>
        </w:rPr>
      </w:pPr>
    </w:p>
    <w:p w:rsidR="00D14662" w:rsidRDefault="00D14662" w:rsidP="007F27ED">
      <w:pPr>
        <w:spacing w:line="440" w:lineRule="exact"/>
        <w:ind w:leftChars="207" w:left="6122" w:hangingChars="1953" w:hanging="5536"/>
        <w:jc w:val="left"/>
        <w:rPr>
          <w:rFonts w:ascii="標楷體" w:hAnsi="標楷體"/>
          <w:b/>
          <w:szCs w:val="28"/>
        </w:rPr>
      </w:pPr>
    </w:p>
    <w:p w:rsidR="00E43E2E" w:rsidRPr="00F227EC" w:rsidRDefault="00E43E2E" w:rsidP="007F27ED">
      <w:pPr>
        <w:spacing w:line="440" w:lineRule="exact"/>
        <w:ind w:leftChars="207" w:left="6122" w:hangingChars="1953" w:hanging="5536"/>
        <w:jc w:val="left"/>
        <w:rPr>
          <w:rFonts w:ascii="標楷體" w:hAnsi="標楷體"/>
          <w:b/>
          <w:szCs w:val="28"/>
        </w:rPr>
      </w:pPr>
      <w:r w:rsidRPr="00F227EC">
        <w:rPr>
          <w:rFonts w:ascii="標楷體" w:hAnsi="標楷體" w:hint="eastAsia"/>
          <w:b/>
          <w:szCs w:val="28"/>
        </w:rPr>
        <w:lastRenderedPageBreak/>
        <w:t>表</w:t>
      </w:r>
      <w:r w:rsidRPr="00F227EC">
        <w:rPr>
          <w:rFonts w:ascii="標楷體" w:hAnsi="標楷體"/>
          <w:b/>
          <w:szCs w:val="28"/>
        </w:rPr>
        <w:t>1</w:t>
      </w:r>
      <w:r>
        <w:rPr>
          <w:rFonts w:ascii="標楷體" w:hAnsi="標楷體" w:hint="eastAsia"/>
          <w:b/>
          <w:szCs w:val="28"/>
        </w:rPr>
        <w:t xml:space="preserve"> </w:t>
      </w:r>
      <w:r w:rsidR="00302DAB" w:rsidRPr="00302DAB">
        <w:rPr>
          <w:rFonts w:ascii="標楷體" w:hAnsi="標楷體" w:hint="eastAsia"/>
          <w:b/>
          <w:szCs w:val="28"/>
        </w:rPr>
        <w:t>安置基金109至111年度轉投資事業投資報酬率統計表</w:t>
      </w:r>
    </w:p>
    <w:p w:rsidR="00E43E2E" w:rsidRDefault="00E43E2E" w:rsidP="007F27ED">
      <w:pPr>
        <w:spacing w:line="440" w:lineRule="exact"/>
        <w:ind w:leftChars="207" w:left="5336" w:hangingChars="1953" w:hanging="4750"/>
        <w:jc w:val="left"/>
        <w:rPr>
          <w:rFonts w:ascii="標楷體" w:hAnsi="標楷體"/>
          <w:sz w:val="24"/>
        </w:rPr>
      </w:pPr>
      <w:r w:rsidRPr="00F227EC">
        <w:rPr>
          <w:rFonts w:ascii="標楷體" w:hAnsi="標楷體" w:hint="eastAsia"/>
          <w:sz w:val="24"/>
        </w:rPr>
        <w:t xml:space="preserve">                                           </w:t>
      </w:r>
      <w:r w:rsidR="00302DAB">
        <w:rPr>
          <w:rFonts w:ascii="標楷體" w:hAnsi="標楷體" w:hint="eastAsia"/>
          <w:sz w:val="24"/>
        </w:rPr>
        <w:t xml:space="preserve">                </w:t>
      </w:r>
      <w:r w:rsidRPr="00F227EC">
        <w:rPr>
          <w:rFonts w:ascii="標楷體" w:hAnsi="標楷體" w:hint="eastAsia"/>
          <w:sz w:val="24"/>
        </w:rPr>
        <w:t>單位：%</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1802"/>
        <w:gridCol w:w="1802"/>
        <w:gridCol w:w="1802"/>
      </w:tblGrid>
      <w:tr w:rsidR="00186C8E" w:rsidRPr="00A22E20" w:rsidTr="00A22E20">
        <w:trPr>
          <w:tblHeader/>
        </w:trPr>
        <w:tc>
          <w:tcPr>
            <w:tcW w:w="2489" w:type="dxa"/>
            <w:tcBorders>
              <w:top w:val="single" w:sz="12" w:space="0" w:color="auto"/>
              <w:left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轉投資事業別</w:t>
            </w:r>
          </w:p>
        </w:tc>
        <w:tc>
          <w:tcPr>
            <w:tcW w:w="1802" w:type="dxa"/>
            <w:tcBorders>
              <w:top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109</w:t>
            </w:r>
            <w:r w:rsidR="00077951">
              <w:rPr>
                <w:rFonts w:ascii="標楷體" w:hAnsi="標楷體" w:hint="eastAsia"/>
                <w:snapToGrid/>
                <w:sz w:val="24"/>
                <w:szCs w:val="20"/>
              </w:rPr>
              <w:t>年度</w:t>
            </w:r>
          </w:p>
        </w:tc>
        <w:tc>
          <w:tcPr>
            <w:tcW w:w="1802" w:type="dxa"/>
            <w:tcBorders>
              <w:top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110</w:t>
            </w:r>
            <w:r w:rsidR="00077951">
              <w:rPr>
                <w:rFonts w:ascii="標楷體" w:hAnsi="標楷體" w:hint="eastAsia"/>
                <w:snapToGrid/>
                <w:sz w:val="24"/>
                <w:szCs w:val="20"/>
              </w:rPr>
              <w:t>年度</w:t>
            </w:r>
          </w:p>
        </w:tc>
        <w:tc>
          <w:tcPr>
            <w:tcW w:w="1802" w:type="dxa"/>
            <w:tcBorders>
              <w:top w:val="single" w:sz="12" w:space="0" w:color="auto"/>
              <w:right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111</w:t>
            </w:r>
            <w:r w:rsidR="00077951">
              <w:rPr>
                <w:rFonts w:ascii="標楷體" w:hAnsi="標楷體" w:hint="eastAsia"/>
                <w:snapToGrid/>
                <w:sz w:val="24"/>
                <w:szCs w:val="20"/>
              </w:rPr>
              <w:t>年度</w:t>
            </w:r>
          </w:p>
        </w:tc>
      </w:tr>
      <w:tr w:rsidR="005F1A75" w:rsidRPr="00A22E20" w:rsidTr="00A22E20">
        <w:tc>
          <w:tcPr>
            <w:tcW w:w="2489" w:type="dxa"/>
            <w:tcBorders>
              <w:left w:val="single" w:sz="12" w:space="0" w:color="auto"/>
            </w:tcBorders>
            <w:shd w:val="clear" w:color="auto" w:fill="auto"/>
          </w:tcPr>
          <w:p w:rsidR="005F1A75" w:rsidRPr="007A27A9" w:rsidRDefault="005F1A75" w:rsidP="007F27ED">
            <w:pPr>
              <w:spacing w:line="240" w:lineRule="exact"/>
              <w:ind w:leftChars="0" w:left="0" w:firstLineChars="0" w:firstLine="0"/>
              <w:jc w:val="left"/>
              <w:rPr>
                <w:rFonts w:ascii="標楷體" w:hAnsi="標楷體" w:hint="eastAsia"/>
                <w:b/>
                <w:snapToGrid/>
                <w:sz w:val="24"/>
                <w:szCs w:val="20"/>
              </w:rPr>
            </w:pPr>
            <w:r w:rsidRPr="007A27A9">
              <w:rPr>
                <w:rFonts w:ascii="標楷體" w:hAnsi="標楷體" w:hint="eastAsia"/>
                <w:b/>
                <w:snapToGrid/>
                <w:sz w:val="24"/>
                <w:szCs w:val="20"/>
              </w:rPr>
              <w:t>欣隆天然氣公司</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11.8</w:t>
            </w:r>
            <w:r w:rsidR="00C50623" w:rsidRPr="00A22E20">
              <w:rPr>
                <w:rFonts w:ascii="標楷體" w:hAnsi="標楷體" w:hint="eastAsia"/>
                <w:snapToGrid/>
                <w:sz w:val="24"/>
                <w:szCs w:val="20"/>
              </w:rPr>
              <w:t>1</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11.9</w:t>
            </w:r>
            <w:r w:rsidR="001B60B2" w:rsidRPr="00A22E20">
              <w:rPr>
                <w:rFonts w:ascii="標楷體" w:hAnsi="標楷體" w:hint="eastAsia"/>
                <w:snapToGrid/>
                <w:sz w:val="24"/>
                <w:szCs w:val="20"/>
              </w:rPr>
              <w:t>0</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10.</w:t>
            </w:r>
            <w:r w:rsidR="001B60B2" w:rsidRPr="002A6CFE">
              <w:rPr>
                <w:rFonts w:ascii="標楷體" w:hAnsi="標楷體" w:hint="eastAsia"/>
                <w:b/>
                <w:snapToGrid/>
                <w:sz w:val="24"/>
                <w:szCs w:val="20"/>
              </w:rPr>
              <w:t>39</w:t>
            </w:r>
          </w:p>
        </w:tc>
      </w:tr>
      <w:tr w:rsidR="001B60B2" w:rsidRPr="00A22E20" w:rsidTr="00A22E20">
        <w:tc>
          <w:tcPr>
            <w:tcW w:w="2489" w:type="dxa"/>
            <w:tcBorders>
              <w:top w:val="single" w:sz="4" w:space="0" w:color="auto"/>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欣湖天然氣公司</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13.</w:t>
            </w:r>
            <w:r w:rsidRPr="00A22E20">
              <w:rPr>
                <w:rFonts w:ascii="標楷體" w:hAnsi="標楷體" w:hint="eastAsia"/>
                <w:snapToGrid/>
                <w:sz w:val="24"/>
                <w:szCs w:val="20"/>
              </w:rPr>
              <w:t>76</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hint="eastAsia"/>
                <w:snapToGrid/>
                <w:sz w:val="24"/>
                <w:szCs w:val="20"/>
              </w:rPr>
              <w:t>14</w:t>
            </w:r>
            <w:r w:rsidRPr="00A22E20">
              <w:rPr>
                <w:rFonts w:ascii="標楷體" w:hAnsi="標楷體"/>
                <w:snapToGrid/>
                <w:sz w:val="24"/>
                <w:szCs w:val="20"/>
              </w:rPr>
              <w:t>.</w:t>
            </w:r>
            <w:r w:rsidRPr="00A22E20">
              <w:rPr>
                <w:rFonts w:ascii="標楷體" w:hAnsi="標楷體" w:hint="eastAsia"/>
                <w:snapToGrid/>
                <w:sz w:val="24"/>
                <w:szCs w:val="20"/>
              </w:rPr>
              <w:t>08</w:t>
            </w:r>
          </w:p>
        </w:tc>
        <w:tc>
          <w:tcPr>
            <w:tcW w:w="1802" w:type="dxa"/>
            <w:tcBorders>
              <w:top w:val="single" w:sz="4" w:space="0" w:color="auto"/>
              <w:right w:val="single" w:sz="12" w:space="0" w:color="auto"/>
            </w:tcBorders>
            <w:shd w:val="clear" w:color="auto" w:fill="auto"/>
            <w:vAlign w:val="center"/>
          </w:tcPr>
          <w:p w:rsidR="001B60B2" w:rsidRPr="002A6CFE" w:rsidRDefault="001B60B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w:t>
            </w:r>
            <w:r w:rsidRPr="002A6CFE">
              <w:rPr>
                <w:rFonts w:ascii="標楷體" w:hAnsi="標楷體" w:hint="eastAsia"/>
                <w:b/>
                <w:snapToGrid/>
                <w:sz w:val="24"/>
                <w:szCs w:val="20"/>
              </w:rPr>
              <w:t>2</w:t>
            </w:r>
            <w:r w:rsidRPr="002A6CFE">
              <w:rPr>
                <w:rFonts w:ascii="標楷體" w:hAnsi="標楷體"/>
                <w:b/>
                <w:snapToGrid/>
                <w:sz w:val="24"/>
                <w:szCs w:val="20"/>
              </w:rPr>
              <w:t>.</w:t>
            </w:r>
            <w:r w:rsidRPr="002A6CFE">
              <w:rPr>
                <w:rFonts w:ascii="標楷體" w:hAnsi="標楷體" w:hint="eastAsia"/>
                <w:b/>
                <w:snapToGrid/>
                <w:sz w:val="24"/>
                <w:szCs w:val="20"/>
              </w:rPr>
              <w:t>55</w:t>
            </w:r>
          </w:p>
        </w:tc>
      </w:tr>
      <w:tr w:rsidR="001B60B2" w:rsidRPr="00A22E20" w:rsidTr="00A22E20">
        <w:tc>
          <w:tcPr>
            <w:tcW w:w="2489" w:type="dxa"/>
            <w:tcBorders>
              <w:top w:val="single" w:sz="4" w:space="0" w:color="auto"/>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欣欣天然氣公司</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w:t>
            </w:r>
            <w:r w:rsidRPr="00A22E20">
              <w:rPr>
                <w:rFonts w:ascii="標楷體" w:hAnsi="標楷體" w:hint="eastAsia"/>
                <w:snapToGrid/>
                <w:sz w:val="24"/>
                <w:szCs w:val="20"/>
              </w:rPr>
              <w:t>10</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w:t>
            </w:r>
            <w:r w:rsidRPr="00A22E20">
              <w:rPr>
                <w:rFonts w:ascii="標楷體" w:hAnsi="標楷體" w:hint="eastAsia"/>
                <w:snapToGrid/>
                <w:sz w:val="24"/>
                <w:szCs w:val="20"/>
              </w:rPr>
              <w:t>97</w:t>
            </w:r>
          </w:p>
        </w:tc>
        <w:tc>
          <w:tcPr>
            <w:tcW w:w="1802" w:type="dxa"/>
            <w:tcBorders>
              <w:top w:val="single" w:sz="4" w:space="0" w:color="auto"/>
              <w:right w:val="single" w:sz="12" w:space="0" w:color="auto"/>
            </w:tcBorders>
            <w:shd w:val="clear" w:color="auto" w:fill="auto"/>
            <w:vAlign w:val="center"/>
          </w:tcPr>
          <w:p w:rsidR="001B60B2" w:rsidRPr="002A6CFE" w:rsidRDefault="001B60B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hint="eastAsia"/>
                <w:b/>
                <w:snapToGrid/>
                <w:sz w:val="24"/>
                <w:szCs w:val="20"/>
              </w:rPr>
              <w:t>7</w:t>
            </w:r>
            <w:r w:rsidRPr="002A6CFE">
              <w:rPr>
                <w:rFonts w:ascii="標楷體" w:hAnsi="標楷體"/>
                <w:b/>
                <w:snapToGrid/>
                <w:sz w:val="24"/>
                <w:szCs w:val="20"/>
              </w:rPr>
              <w:t>.97</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欣泰石油氣公司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24.11</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22.07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24.88</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欣桃天然氣公司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34.10</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34.57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32.84</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欣中天然氣公司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22.31</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22.43</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23.29</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欣林天然氣公司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17.23</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20.16</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15.07</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欣彰天然氣公司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16.77</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18.52</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17.48</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欣雲天然氣公司</w:t>
            </w:r>
          </w:p>
        </w:tc>
        <w:tc>
          <w:tcPr>
            <w:tcW w:w="1802" w:type="dxa"/>
            <w:tcBorders>
              <w:top w:val="single" w:sz="4" w:space="0" w:color="auto"/>
            </w:tcBorders>
            <w:shd w:val="clear" w:color="auto" w:fill="auto"/>
            <w:vAlign w:val="center"/>
          </w:tcPr>
          <w:p w:rsidR="005F1A75"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19.68</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18.66</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19.70</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欣嘉石油氣公司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15.20</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14.03</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15.24</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欣南天然氣公司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7.11</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9.04</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8.12</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43417D" w:rsidRDefault="005F1A75" w:rsidP="007F27ED">
            <w:pPr>
              <w:spacing w:line="240" w:lineRule="exact"/>
              <w:ind w:leftChars="0" w:left="0" w:firstLineChars="0" w:firstLine="0"/>
              <w:jc w:val="left"/>
              <w:rPr>
                <w:rFonts w:ascii="標楷體" w:hAnsi="標楷體"/>
                <w:b/>
                <w:snapToGrid/>
                <w:sz w:val="24"/>
                <w:szCs w:val="20"/>
              </w:rPr>
            </w:pPr>
            <w:r w:rsidRPr="0043417D">
              <w:rPr>
                <w:rFonts w:ascii="標楷體" w:hAnsi="標楷體"/>
                <w:b/>
                <w:snapToGrid/>
                <w:sz w:val="24"/>
                <w:szCs w:val="20"/>
              </w:rPr>
              <w:t>大臺南天然氣公司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20.78</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19.97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1624F4" w:rsidRDefault="005F1A75" w:rsidP="007F27ED">
            <w:pPr>
              <w:spacing w:line="240" w:lineRule="exact"/>
              <w:ind w:leftChars="0" w:left="0" w:firstLineChars="0" w:firstLine="0"/>
              <w:jc w:val="right"/>
              <w:rPr>
                <w:rFonts w:ascii="標楷體" w:hAnsi="標楷體"/>
                <w:b/>
                <w:snapToGrid/>
                <w:sz w:val="24"/>
                <w:szCs w:val="20"/>
              </w:rPr>
            </w:pPr>
            <w:r w:rsidRPr="001624F4">
              <w:rPr>
                <w:rFonts w:ascii="標楷體" w:hAnsi="標楷體"/>
                <w:b/>
                <w:snapToGrid/>
                <w:sz w:val="24"/>
                <w:szCs w:val="20"/>
              </w:rPr>
              <w:t>17.96</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欣高石油氣公司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17.28</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21.49</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15.69</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欣雄天然氣公司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19.27</w:t>
            </w:r>
          </w:p>
        </w:tc>
        <w:tc>
          <w:tcPr>
            <w:tcW w:w="1802" w:type="dxa"/>
            <w:tcBorders>
              <w:top w:val="single" w:sz="4" w:space="0" w:color="auto"/>
            </w:tcBorders>
            <w:shd w:val="clear" w:color="auto" w:fill="auto"/>
            <w:vAlign w:val="center"/>
          </w:tcPr>
          <w:p w:rsidR="005F1A75" w:rsidRPr="00A22E20" w:rsidRDefault="009803D9"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21.58</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23.66</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欣屏天然氣公司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18.40</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22.35</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24.05</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欣欣客運公司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3.87</w:t>
            </w:r>
          </w:p>
        </w:tc>
        <w:tc>
          <w:tcPr>
            <w:tcW w:w="1802" w:type="dxa"/>
            <w:tcBorders>
              <w:top w:val="single" w:sz="4" w:space="0" w:color="auto"/>
            </w:tcBorders>
            <w:shd w:val="clear" w:color="auto" w:fill="auto"/>
            <w:vAlign w:val="center"/>
          </w:tcPr>
          <w:p w:rsidR="005F1A75"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hint="eastAsia"/>
                <w:snapToGrid/>
                <w:sz w:val="24"/>
                <w:szCs w:val="20"/>
              </w:rPr>
              <w:t>(</w:t>
            </w:r>
            <w:r w:rsidR="005F1A75" w:rsidRPr="00A22E20">
              <w:rPr>
                <w:rFonts w:ascii="標楷體" w:hAnsi="標楷體"/>
                <w:snapToGrid/>
                <w:sz w:val="24"/>
                <w:szCs w:val="20"/>
              </w:rPr>
              <w:t>20.25</w:t>
            </w:r>
            <w:r w:rsidRPr="00A22E20">
              <w:rPr>
                <w:rFonts w:ascii="標楷體" w:hAnsi="標楷體" w:hint="eastAsia"/>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hint="eastAsia"/>
                <w:snapToGrid/>
                <w:sz w:val="24"/>
                <w:szCs w:val="20"/>
              </w:rPr>
              <w:t>(</w:t>
            </w:r>
            <w:r w:rsidR="005F1A75" w:rsidRPr="00A22E20">
              <w:rPr>
                <w:rFonts w:ascii="標楷體" w:hAnsi="標楷體"/>
                <w:snapToGrid/>
                <w:sz w:val="24"/>
                <w:szCs w:val="20"/>
              </w:rPr>
              <w:t>14.71</w:t>
            </w:r>
            <w:r w:rsidRPr="00A22E20">
              <w:rPr>
                <w:rFonts w:ascii="標楷體" w:hAnsi="標楷體"/>
                <w:snapToGrid/>
                <w:sz w:val="24"/>
                <w:szCs w:val="20"/>
              </w:rPr>
              <w:t>)</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大南汽車公司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5.00</w:t>
            </w:r>
          </w:p>
        </w:tc>
        <w:tc>
          <w:tcPr>
            <w:tcW w:w="1802" w:type="dxa"/>
            <w:tcBorders>
              <w:top w:val="single" w:sz="4" w:space="0" w:color="auto"/>
            </w:tcBorders>
            <w:shd w:val="clear" w:color="auto" w:fill="auto"/>
            <w:vAlign w:val="center"/>
          </w:tcPr>
          <w:p w:rsidR="005F1A75"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5F1A75" w:rsidRPr="00A22E20">
              <w:rPr>
                <w:rFonts w:ascii="標楷體" w:hAnsi="標楷體"/>
                <w:snapToGrid/>
                <w:sz w:val="24"/>
                <w:szCs w:val="20"/>
              </w:rPr>
              <w:t>5.32</w:t>
            </w:r>
            <w:r w:rsidRPr="00A22E20">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0.85</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欣欣大眾市場公司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1.93</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0.67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2.29</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欣欣水泥公司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1.02</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2.48</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2.87</w:t>
            </w:r>
          </w:p>
        </w:tc>
      </w:tr>
      <w:tr w:rsidR="005F1A75" w:rsidRPr="00A22E20" w:rsidTr="00A22E20">
        <w:tc>
          <w:tcPr>
            <w:tcW w:w="2489" w:type="dxa"/>
            <w:tcBorders>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欣泉投資公司</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6.75</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5.70</w:t>
            </w:r>
          </w:p>
        </w:tc>
        <w:tc>
          <w:tcPr>
            <w:tcW w:w="1802" w:type="dxa"/>
            <w:tcBorders>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5.19</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遠榮氣體工業公司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16.54</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18.20</w:t>
            </w:r>
          </w:p>
        </w:tc>
        <w:tc>
          <w:tcPr>
            <w:tcW w:w="1802" w:type="dxa"/>
            <w:tcBorders>
              <w:right w:val="single" w:sz="12" w:space="0" w:color="auto"/>
            </w:tcBorders>
            <w:shd w:val="clear" w:color="auto" w:fill="auto"/>
            <w:vAlign w:val="center"/>
          </w:tcPr>
          <w:p w:rsidR="001B60B2" w:rsidRPr="00A22E20" w:rsidRDefault="009803D9"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22.92</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泛亞工程建設公司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12.36</w:t>
            </w:r>
          </w:p>
        </w:tc>
        <w:tc>
          <w:tcPr>
            <w:tcW w:w="1802" w:type="dxa"/>
            <w:shd w:val="clear" w:color="auto" w:fill="auto"/>
            <w:vAlign w:val="center"/>
          </w:tcPr>
          <w:p w:rsidR="001B60B2" w:rsidRPr="00A22E20" w:rsidRDefault="009803D9"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17.27</w:t>
            </w:r>
          </w:p>
        </w:tc>
        <w:tc>
          <w:tcPr>
            <w:tcW w:w="1802" w:type="dxa"/>
            <w:tcBorders>
              <w:righ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22.45</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歐欣環保公司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1.32</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1.29</w:t>
            </w:r>
            <w:r w:rsidRPr="00A22E20">
              <w:rPr>
                <w:rFonts w:ascii="標楷體" w:hAnsi="標楷體"/>
                <w:snapToGrid/>
                <w:sz w:val="24"/>
                <w:szCs w:val="20"/>
              </w:rPr>
              <w:t>)</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0.81</w:t>
            </w:r>
            <w:r w:rsidRPr="00A22E20">
              <w:rPr>
                <w:rFonts w:ascii="標楷體" w:hAnsi="標楷體"/>
                <w:snapToGrid/>
                <w:sz w:val="24"/>
                <w:szCs w:val="20"/>
              </w:rPr>
              <w:t>)</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遠東氣體工業公司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25.42</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29.06</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30.03</w:t>
            </w:r>
          </w:p>
        </w:tc>
      </w:tr>
      <w:tr w:rsidR="001B60B2" w:rsidRPr="00A22E20" w:rsidTr="00A22E20">
        <w:tc>
          <w:tcPr>
            <w:tcW w:w="2489" w:type="dxa"/>
            <w:tcBorders>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達榮環保公司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1.49</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103.11</w:t>
            </w:r>
          </w:p>
        </w:tc>
        <w:tc>
          <w:tcPr>
            <w:tcW w:w="1802" w:type="dxa"/>
            <w:tcBorders>
              <w:right w:val="single" w:sz="12" w:space="0" w:color="auto"/>
            </w:tcBorders>
            <w:shd w:val="clear" w:color="auto" w:fill="auto"/>
            <w:vAlign w:val="center"/>
          </w:tcPr>
          <w:p w:rsidR="001B60B2" w:rsidRPr="002A6CFE" w:rsidRDefault="00F171F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w:t>
            </w:r>
            <w:r w:rsidR="001B60B2" w:rsidRPr="002A6CFE">
              <w:rPr>
                <w:rFonts w:ascii="標楷體" w:hAnsi="標楷體"/>
                <w:b/>
                <w:snapToGrid/>
                <w:sz w:val="24"/>
                <w:szCs w:val="20"/>
              </w:rPr>
              <w:t>0.16</w:t>
            </w:r>
            <w:r w:rsidRPr="002A6CFE">
              <w:rPr>
                <w:rFonts w:ascii="標楷體" w:hAnsi="標楷體"/>
                <w:b/>
                <w:snapToGrid/>
                <w:sz w:val="24"/>
                <w:szCs w:val="20"/>
              </w:rPr>
              <w:t>)</w:t>
            </w:r>
          </w:p>
        </w:tc>
      </w:tr>
      <w:tr w:rsidR="001B60B2" w:rsidRPr="00A22E20" w:rsidTr="00A22E20">
        <w:tc>
          <w:tcPr>
            <w:tcW w:w="2489" w:type="dxa"/>
            <w:tcBorders>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聯合大地工程顧問(股)公司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1.79</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22.54</w:t>
            </w:r>
          </w:p>
        </w:tc>
        <w:tc>
          <w:tcPr>
            <w:tcW w:w="1802" w:type="dxa"/>
            <w:tcBorders>
              <w:right w:val="single" w:sz="12" w:space="0" w:color="auto"/>
            </w:tcBorders>
            <w:shd w:val="clear" w:color="auto" w:fill="auto"/>
            <w:vAlign w:val="center"/>
          </w:tcPr>
          <w:p w:rsidR="001B60B2" w:rsidRPr="002A6CFE" w:rsidRDefault="001B60B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0.41</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高雄捷運(股)公司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6.80</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11.48</w:t>
            </w:r>
            <w:r w:rsidRPr="00A22E20">
              <w:rPr>
                <w:rFonts w:ascii="標楷體" w:hAnsi="標楷體"/>
                <w:snapToGrid/>
                <w:sz w:val="24"/>
                <w:szCs w:val="20"/>
              </w:rPr>
              <w:t>)</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7.71</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榮工工程(股)公司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1.93</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1.15</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1.51</w:t>
            </w:r>
          </w:p>
        </w:tc>
      </w:tr>
      <w:tr w:rsidR="001B60B2" w:rsidRPr="00A22E20" w:rsidTr="00A22E20">
        <w:tc>
          <w:tcPr>
            <w:tcW w:w="2489" w:type="dxa"/>
            <w:tcBorders>
              <w:left w:val="single" w:sz="12" w:space="0" w:color="auto"/>
              <w:bottom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世正開發(股)公司</w:t>
            </w:r>
          </w:p>
        </w:tc>
        <w:tc>
          <w:tcPr>
            <w:tcW w:w="1802" w:type="dxa"/>
            <w:tcBorders>
              <w:bottom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2.10</w:t>
            </w:r>
          </w:p>
        </w:tc>
        <w:tc>
          <w:tcPr>
            <w:tcW w:w="1802" w:type="dxa"/>
            <w:tcBorders>
              <w:bottom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10.06</w:t>
            </w:r>
          </w:p>
        </w:tc>
        <w:tc>
          <w:tcPr>
            <w:tcW w:w="1802" w:type="dxa"/>
            <w:tcBorders>
              <w:bottom w:val="single" w:sz="12" w:space="0" w:color="auto"/>
              <w:right w:val="single" w:sz="12" w:space="0" w:color="auto"/>
            </w:tcBorders>
            <w:shd w:val="clear" w:color="auto" w:fill="auto"/>
            <w:vAlign w:val="center"/>
          </w:tcPr>
          <w:p w:rsidR="001B60B2" w:rsidRPr="002A6CFE" w:rsidRDefault="00F171F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10.00</w:t>
            </w:r>
          </w:p>
        </w:tc>
      </w:tr>
    </w:tbl>
    <w:p w:rsidR="008A29A1" w:rsidRDefault="001B60B2" w:rsidP="00750AE3">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說    明：</w:t>
      </w:r>
      <w:r w:rsidR="008A29A1">
        <w:rPr>
          <w:rFonts w:ascii="標楷體" w:hAnsi="標楷體" w:hint="eastAsia"/>
          <w:snapToGrid/>
          <w:sz w:val="24"/>
          <w:szCs w:val="20"/>
        </w:rPr>
        <w:t>1.</w:t>
      </w:r>
      <w:r w:rsidRPr="001B60B2">
        <w:rPr>
          <w:rFonts w:ascii="標楷體" w:hAnsi="標楷體" w:hint="eastAsia"/>
          <w:snapToGrid/>
          <w:sz w:val="24"/>
          <w:szCs w:val="20"/>
        </w:rPr>
        <w:t>投資報酬率=稅後盈餘/資本額</w:t>
      </w:r>
      <w:r>
        <w:rPr>
          <w:rFonts w:ascii="標楷體" w:hAnsi="標楷體" w:hint="eastAsia"/>
          <w:snapToGrid/>
          <w:sz w:val="24"/>
          <w:szCs w:val="20"/>
        </w:rPr>
        <w:t>。</w:t>
      </w:r>
    </w:p>
    <w:p w:rsidR="00186FD2" w:rsidRDefault="008A29A1" w:rsidP="00750AE3">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 xml:space="preserve">          2.欣泉投資公司原名榮僑投資公司，</w:t>
      </w:r>
      <w:r w:rsidR="003258CD">
        <w:rPr>
          <w:rFonts w:ascii="標楷體" w:hAnsi="標楷體" w:hint="eastAsia"/>
          <w:snapToGrid/>
          <w:sz w:val="24"/>
          <w:szCs w:val="20"/>
        </w:rPr>
        <w:t>112年2月21日獲准改名。</w:t>
      </w:r>
    </w:p>
    <w:p w:rsidR="00750AE3" w:rsidRDefault="00186FD2" w:rsidP="00186FD2">
      <w:pPr>
        <w:spacing w:line="280" w:lineRule="exact"/>
        <w:ind w:leftChars="633" w:left="2046" w:hangingChars="104" w:hanging="253"/>
        <w:jc w:val="left"/>
        <w:rPr>
          <w:rFonts w:ascii="標楷體" w:hAnsi="標楷體"/>
          <w:snapToGrid/>
          <w:sz w:val="24"/>
          <w:szCs w:val="20"/>
        </w:rPr>
      </w:pPr>
      <w:r>
        <w:rPr>
          <w:rFonts w:ascii="標楷體" w:hAnsi="標楷體" w:hint="eastAsia"/>
          <w:snapToGrid/>
          <w:sz w:val="24"/>
          <w:szCs w:val="20"/>
        </w:rPr>
        <w:t>3.本表不含</w:t>
      </w:r>
      <w:r w:rsidR="00A455C6">
        <w:rPr>
          <w:rFonts w:ascii="標楷體" w:hAnsi="標楷體" w:hint="eastAsia"/>
          <w:snapToGrid/>
          <w:sz w:val="24"/>
          <w:szCs w:val="20"/>
        </w:rPr>
        <w:t>刻正</w:t>
      </w:r>
      <w:r>
        <w:rPr>
          <w:rFonts w:ascii="標楷體" w:hAnsi="標楷體" w:hint="eastAsia"/>
          <w:snapToGrid/>
          <w:sz w:val="24"/>
          <w:szCs w:val="20"/>
        </w:rPr>
        <w:t>辦理破產程序之榮電公司與辦理清算程序之欣欣電子公司、國華欣業公司及榮民工程公司。</w:t>
      </w:r>
      <w:r w:rsidR="00750AE3">
        <w:rPr>
          <w:rFonts w:ascii="標楷體" w:hAnsi="標楷體" w:hint="eastAsia"/>
          <w:snapToGrid/>
          <w:sz w:val="24"/>
          <w:szCs w:val="20"/>
        </w:rPr>
        <w:t xml:space="preserve">     </w:t>
      </w:r>
    </w:p>
    <w:p w:rsidR="00E43E2E" w:rsidRPr="008857F5" w:rsidRDefault="00E43E2E" w:rsidP="00E21F28">
      <w:pPr>
        <w:spacing w:line="280" w:lineRule="exact"/>
        <w:ind w:leftChars="199" w:left="564" w:firstLineChars="0" w:firstLine="10"/>
        <w:jc w:val="left"/>
        <w:rPr>
          <w:rFonts w:ascii="標楷體" w:hAnsi="標楷體"/>
          <w:snapToGrid/>
          <w:sz w:val="24"/>
          <w:szCs w:val="20"/>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：安置基金提供，本中心整理</w:t>
      </w:r>
      <w:r w:rsidRPr="00F227EC">
        <w:rPr>
          <w:rFonts w:ascii="標楷體" w:hAnsi="標楷體"/>
          <w:snapToGrid/>
          <w:sz w:val="24"/>
          <w:szCs w:val="20"/>
        </w:rPr>
        <w:t>。</w:t>
      </w:r>
    </w:p>
    <w:p w:rsidR="00BB6889" w:rsidRPr="00F227EC" w:rsidRDefault="00BB6889" w:rsidP="009803D9">
      <w:pPr>
        <w:pStyle w:val="a4"/>
        <w:ind w:leftChars="188" w:left="781" w:hangingChars="88" w:hanging="249"/>
        <w:rPr>
          <w:rFonts w:ascii="標楷體" w:hAnsi="標楷體" w:hint="eastAsia"/>
        </w:rPr>
      </w:pPr>
      <w:r w:rsidRPr="009803D9">
        <w:rPr>
          <w:rFonts w:ascii="標楷體" w:hAnsi="標楷體" w:hint="eastAsia"/>
        </w:rPr>
        <w:t>(二)</w:t>
      </w:r>
      <w:r w:rsidR="009065D5" w:rsidRPr="009803D9">
        <w:rPr>
          <w:rFonts w:ascii="標楷體" w:hAnsi="標楷體" w:hint="eastAsia"/>
        </w:rPr>
        <w:t>部分轉投資事業</w:t>
      </w:r>
      <w:r w:rsidR="00046D47" w:rsidRPr="009803D9">
        <w:rPr>
          <w:rFonts w:ascii="標楷體" w:hAnsi="標楷體" w:hint="eastAsia"/>
        </w:rPr>
        <w:t>111年度</w:t>
      </w:r>
      <w:r w:rsidR="00077951">
        <w:rPr>
          <w:rFonts w:ascii="標楷體" w:hAnsi="標楷體" w:hint="eastAsia"/>
        </w:rPr>
        <w:t>有</w:t>
      </w:r>
      <w:r w:rsidR="001624F4">
        <w:rPr>
          <w:rFonts w:ascii="標楷體" w:hAnsi="標楷體" w:hint="eastAsia"/>
        </w:rPr>
        <w:t>發放之</w:t>
      </w:r>
      <w:r w:rsidR="00DA3B1B" w:rsidRPr="009803D9">
        <w:rPr>
          <w:rFonts w:ascii="標楷體" w:hAnsi="標楷體" w:hint="eastAsia"/>
        </w:rPr>
        <w:t>現金股利</w:t>
      </w:r>
      <w:r w:rsidR="001624F4">
        <w:rPr>
          <w:rFonts w:ascii="標楷體" w:hAnsi="標楷體" w:hint="eastAsia"/>
        </w:rPr>
        <w:t>較110年度</w:t>
      </w:r>
      <w:r w:rsidR="00DA3B1B">
        <w:rPr>
          <w:rFonts w:ascii="標楷體" w:hAnsi="標楷體" w:hint="eastAsia"/>
        </w:rPr>
        <w:t>下滑或</w:t>
      </w:r>
      <w:r w:rsidR="001624F4">
        <w:rPr>
          <w:rFonts w:ascii="標楷體" w:hAnsi="標楷體" w:hint="eastAsia"/>
        </w:rPr>
        <w:t>含111年度</w:t>
      </w:r>
      <w:r w:rsidR="00DA3B1B">
        <w:rPr>
          <w:rFonts w:ascii="標楷體" w:hAnsi="標楷體" w:hint="eastAsia"/>
        </w:rPr>
        <w:t>連續</w:t>
      </w:r>
      <w:r w:rsidR="001624F4">
        <w:rPr>
          <w:rFonts w:ascii="標楷體" w:hAnsi="標楷體" w:hint="eastAsia"/>
        </w:rPr>
        <w:t>2</w:t>
      </w:r>
      <w:r w:rsidR="00DA3B1B">
        <w:rPr>
          <w:rFonts w:ascii="標楷體" w:hAnsi="標楷體" w:hint="eastAsia"/>
        </w:rPr>
        <w:t>年</w:t>
      </w:r>
      <w:r w:rsidR="001624F4">
        <w:rPr>
          <w:rFonts w:ascii="標楷體" w:hAnsi="標楷體" w:hint="eastAsia"/>
        </w:rPr>
        <w:t>以上</w:t>
      </w:r>
      <w:r w:rsidR="00077951">
        <w:rPr>
          <w:rFonts w:ascii="標楷體" w:hAnsi="標楷體" w:hint="eastAsia"/>
        </w:rPr>
        <w:t>未發放之</w:t>
      </w:r>
      <w:r w:rsidR="00046D47">
        <w:rPr>
          <w:rFonts w:ascii="標楷體" w:hAnsi="標楷體" w:hint="eastAsia"/>
        </w:rPr>
        <w:t>情形</w:t>
      </w:r>
      <w:r w:rsidR="009065D5" w:rsidRPr="00F227EC">
        <w:rPr>
          <w:rFonts w:ascii="標楷體" w:hAnsi="標楷體" w:hint="eastAsia"/>
        </w:rPr>
        <w:t xml:space="preserve"> </w:t>
      </w:r>
    </w:p>
    <w:p w:rsidR="00EE28DD" w:rsidRPr="00F227EC" w:rsidRDefault="008100C0" w:rsidP="003F0B40">
      <w:pPr>
        <w:pStyle w:val="225"/>
        <w:ind w:leftChars="281" w:left="796" w:firstLineChars="0" w:firstLine="0"/>
        <w:rPr>
          <w:rFonts w:ascii="標楷體" w:hAnsi="標楷體"/>
        </w:rPr>
      </w:pPr>
      <w:r w:rsidRPr="00F227EC">
        <w:rPr>
          <w:rFonts w:ascii="標楷體" w:hAnsi="標楷體" w:hint="eastAsia"/>
        </w:rPr>
        <w:t xml:space="preserve">    </w:t>
      </w:r>
      <w:r w:rsidR="000965EB">
        <w:rPr>
          <w:rFonts w:ascii="標楷體" w:hAnsi="標楷體" w:hint="eastAsia"/>
        </w:rPr>
        <w:t>按安置基金轉投資事業之目的之一</w:t>
      </w:r>
      <w:r w:rsidR="00E433BE">
        <w:rPr>
          <w:rFonts w:ascii="標楷體" w:hAnsi="標楷體" w:hint="eastAsia"/>
        </w:rPr>
        <w:t>係藉由收</w:t>
      </w:r>
      <w:r w:rsidR="000965EB">
        <w:rPr>
          <w:rFonts w:ascii="標楷體" w:hAnsi="標楷體" w:hint="eastAsia"/>
        </w:rPr>
        <w:t>取</w:t>
      </w:r>
      <w:r w:rsidR="00E433BE">
        <w:rPr>
          <w:rFonts w:ascii="標楷體" w:hAnsi="標楷體" w:hint="eastAsia"/>
        </w:rPr>
        <w:t>該等事業因經營獲利所發放之</w:t>
      </w:r>
      <w:r w:rsidR="000965EB">
        <w:rPr>
          <w:rFonts w:ascii="標楷體" w:hAnsi="標楷體" w:hint="eastAsia"/>
        </w:rPr>
        <w:t>現金股利</w:t>
      </w:r>
      <w:r w:rsidR="00E433BE">
        <w:rPr>
          <w:rFonts w:ascii="標楷體" w:hAnsi="標楷體" w:hint="eastAsia"/>
        </w:rPr>
        <w:t>，以挹注基金</w:t>
      </w:r>
      <w:r w:rsidR="004C3450">
        <w:rPr>
          <w:rFonts w:ascii="標楷體" w:hAnsi="標楷體" w:hint="eastAsia"/>
        </w:rPr>
        <w:t>收入</w:t>
      </w:r>
      <w:r w:rsidR="00CD795F">
        <w:rPr>
          <w:rFonts w:ascii="標楷體" w:hAnsi="標楷體" w:hint="eastAsia"/>
        </w:rPr>
        <w:t>。</w:t>
      </w:r>
      <w:r w:rsidR="00832BE9" w:rsidRPr="00F227EC">
        <w:rPr>
          <w:rFonts w:ascii="標楷體" w:hAnsi="標楷體" w:hint="eastAsia"/>
        </w:rPr>
        <w:t>依</w:t>
      </w:r>
      <w:r w:rsidR="00861290" w:rsidRPr="00F227EC">
        <w:rPr>
          <w:rFonts w:ascii="標楷體" w:hAnsi="標楷體" w:hint="eastAsia"/>
        </w:rPr>
        <w:t>安置基金</w:t>
      </w:r>
      <w:r w:rsidR="00832BE9" w:rsidRPr="00F227EC">
        <w:rPr>
          <w:rFonts w:ascii="標楷體" w:hAnsi="標楷體" w:hint="eastAsia"/>
        </w:rPr>
        <w:t>提供</w:t>
      </w:r>
      <w:r w:rsidR="00832BE9" w:rsidRPr="00F227EC">
        <w:rPr>
          <w:rFonts w:ascii="標楷體" w:hAnsi="標楷體" w:hint="eastAsia"/>
        </w:rPr>
        <w:lastRenderedPageBreak/>
        <w:t>資料</w:t>
      </w:r>
      <w:r w:rsidR="00CD795F">
        <w:rPr>
          <w:rFonts w:ascii="標楷體" w:hAnsi="標楷體" w:hint="eastAsia"/>
        </w:rPr>
        <w:t>(詳表2)</w:t>
      </w:r>
      <w:r w:rsidR="00832BE9" w:rsidRPr="00F227EC">
        <w:rPr>
          <w:rFonts w:ascii="標楷體" w:hAnsi="標楷體" w:hint="eastAsia"/>
        </w:rPr>
        <w:t>，</w:t>
      </w:r>
      <w:r w:rsidR="00CD795F">
        <w:rPr>
          <w:rFonts w:ascii="標楷體" w:hAnsi="標楷體" w:hint="eastAsia"/>
        </w:rPr>
        <w:t>該基金109至111</w:t>
      </w:r>
      <w:r w:rsidR="001624F4">
        <w:rPr>
          <w:rFonts w:ascii="標楷體" w:hAnsi="標楷體" w:hint="eastAsia"/>
        </w:rPr>
        <w:t>年度自轉投資事業取得之現金</w:t>
      </w:r>
      <w:r w:rsidR="001624F4">
        <w:rPr>
          <w:rFonts w:ascii="標楷體" w:hAnsi="標楷體" w:hint="eastAsia"/>
        </w:rPr>
        <w:lastRenderedPageBreak/>
        <w:t>股利決算數由</w:t>
      </w:r>
      <w:r w:rsidR="00CD795F">
        <w:rPr>
          <w:rFonts w:ascii="標楷體" w:hAnsi="標楷體" w:hint="eastAsia"/>
        </w:rPr>
        <w:t>8億5</w:t>
      </w:r>
      <w:r w:rsidR="00CD795F">
        <w:rPr>
          <w:rFonts w:ascii="標楷體" w:hAnsi="標楷體"/>
        </w:rPr>
        <w:t>,</w:t>
      </w:r>
      <w:r w:rsidR="00CD795F">
        <w:rPr>
          <w:rFonts w:ascii="標楷體" w:hAnsi="標楷體" w:hint="eastAsia"/>
        </w:rPr>
        <w:t>964萬8千元</w:t>
      </w:r>
      <w:r w:rsidR="001624F4">
        <w:rPr>
          <w:rFonts w:ascii="標楷體" w:hAnsi="標楷體" w:hint="eastAsia"/>
        </w:rPr>
        <w:t>遞</w:t>
      </w:r>
      <w:r w:rsidR="00CD795F">
        <w:rPr>
          <w:rFonts w:ascii="標楷體" w:hAnsi="標楷體" w:hint="eastAsia"/>
        </w:rPr>
        <w:t>增至9億9</w:t>
      </w:r>
      <w:r w:rsidR="00CD795F">
        <w:rPr>
          <w:rFonts w:ascii="標楷體" w:hAnsi="標楷體"/>
        </w:rPr>
        <w:t>,</w:t>
      </w:r>
      <w:r w:rsidR="00CD795F">
        <w:rPr>
          <w:rFonts w:ascii="標楷體" w:hAnsi="標楷體" w:hint="eastAsia"/>
        </w:rPr>
        <w:t>758萬9</w:t>
      </w:r>
      <w:r w:rsidR="00587FE4">
        <w:rPr>
          <w:rFonts w:ascii="標楷體" w:hAnsi="標楷體" w:hint="eastAsia"/>
        </w:rPr>
        <w:t>千元</w:t>
      </w:r>
      <w:r w:rsidR="003F0B40" w:rsidRPr="00F227EC">
        <w:rPr>
          <w:rFonts w:ascii="標楷體" w:hAnsi="標楷體" w:hint="eastAsia"/>
        </w:rPr>
        <w:t>。</w:t>
      </w:r>
      <w:bookmarkStart w:id="4" w:name="_Toc94040114"/>
      <w:r w:rsidR="00CD795F">
        <w:rPr>
          <w:rFonts w:ascii="標楷體" w:hAnsi="標楷體" w:hint="eastAsia"/>
        </w:rPr>
        <w:t>惟進一步觀察個別轉投資事業獲取之現金股利決算數</w:t>
      </w:r>
      <w:r w:rsidR="001624F4">
        <w:rPr>
          <w:rFonts w:ascii="標楷體" w:hAnsi="標楷體" w:hint="eastAsia"/>
        </w:rPr>
        <w:t>狀況</w:t>
      </w:r>
      <w:r w:rsidR="00CD795F">
        <w:rPr>
          <w:rFonts w:ascii="標楷體" w:hAnsi="標楷體" w:hint="eastAsia"/>
        </w:rPr>
        <w:t>，111年度較110年度減少者包括欣隆天然氣公司等6家</w:t>
      </w:r>
      <w:r w:rsidR="004C3450">
        <w:rPr>
          <w:rFonts w:ascii="標楷體" w:hAnsi="標楷體" w:hint="eastAsia"/>
        </w:rPr>
        <w:t>(</w:t>
      </w:r>
      <w:r w:rsidR="004C3450" w:rsidRPr="004C3450">
        <w:rPr>
          <w:rFonts w:ascii="標楷體" w:hAnsi="標楷體" w:hint="eastAsia"/>
        </w:rPr>
        <w:t>表內以</w:t>
      </w:r>
      <w:r w:rsidR="004C3450" w:rsidRPr="004C3450">
        <w:rPr>
          <w:rFonts w:ascii="標楷體" w:hAnsi="標楷體" w:hint="eastAsia"/>
          <w:b/>
        </w:rPr>
        <w:t>粗體字</w:t>
      </w:r>
      <w:r w:rsidR="004C3450" w:rsidRPr="004C3450">
        <w:rPr>
          <w:rFonts w:ascii="標楷體" w:hAnsi="標楷體" w:hint="eastAsia"/>
        </w:rPr>
        <w:t>標示</w:t>
      </w:r>
      <w:r w:rsidR="004C3450">
        <w:rPr>
          <w:rFonts w:ascii="標楷體" w:hAnsi="標楷體" w:hint="eastAsia"/>
        </w:rPr>
        <w:t>)</w:t>
      </w:r>
      <w:r w:rsidR="00077951">
        <w:rPr>
          <w:rFonts w:ascii="標楷體" w:hAnsi="標楷體" w:hint="eastAsia"/>
        </w:rPr>
        <w:t>，</w:t>
      </w:r>
      <w:r w:rsidR="001E773E">
        <w:rPr>
          <w:rFonts w:ascii="標楷體" w:hAnsi="標楷體" w:hint="eastAsia"/>
        </w:rPr>
        <w:t>另包括欣南天然氣公司等</w:t>
      </w:r>
      <w:r w:rsidR="001624F4">
        <w:rPr>
          <w:rFonts w:ascii="標楷體" w:hAnsi="標楷體" w:hint="eastAsia"/>
        </w:rPr>
        <w:t>8</w:t>
      </w:r>
      <w:r w:rsidR="001E773E">
        <w:rPr>
          <w:rFonts w:ascii="標楷體" w:hAnsi="標楷體" w:hint="eastAsia"/>
        </w:rPr>
        <w:t>家則係</w:t>
      </w:r>
      <w:r w:rsidR="001624F4">
        <w:rPr>
          <w:rFonts w:ascii="標楷體" w:hAnsi="標楷體" w:hint="eastAsia"/>
        </w:rPr>
        <w:t>含111年度為</w:t>
      </w:r>
      <w:r w:rsidR="001E773E">
        <w:rPr>
          <w:rFonts w:ascii="標楷體" w:hAnsi="標楷體" w:hint="eastAsia"/>
        </w:rPr>
        <w:t>連續3年或2年未發放現金股利。</w:t>
      </w:r>
    </w:p>
    <w:p w:rsidR="00917248" w:rsidRPr="00F227EC" w:rsidRDefault="00917248" w:rsidP="007F27ED">
      <w:pPr>
        <w:spacing w:line="440" w:lineRule="exact"/>
        <w:ind w:leftChars="207" w:left="6122" w:hangingChars="1953" w:hanging="5536"/>
        <w:jc w:val="left"/>
        <w:rPr>
          <w:rFonts w:ascii="標楷體" w:hAnsi="標楷體"/>
          <w:b/>
          <w:szCs w:val="28"/>
        </w:rPr>
      </w:pPr>
      <w:r w:rsidRPr="00F227EC">
        <w:rPr>
          <w:rFonts w:ascii="標楷體" w:hAnsi="標楷體" w:hint="eastAsia"/>
          <w:b/>
          <w:szCs w:val="28"/>
        </w:rPr>
        <w:t>表</w:t>
      </w:r>
      <w:r w:rsidR="00750AE3">
        <w:rPr>
          <w:rFonts w:ascii="標楷體" w:hAnsi="標楷體" w:hint="eastAsia"/>
          <w:b/>
          <w:szCs w:val="28"/>
        </w:rPr>
        <w:t xml:space="preserve">2 </w:t>
      </w:r>
      <w:r w:rsidR="00750AE3" w:rsidRPr="00750AE3">
        <w:rPr>
          <w:rFonts w:ascii="標楷體" w:hAnsi="標楷體" w:hint="eastAsia"/>
          <w:b/>
          <w:szCs w:val="28"/>
        </w:rPr>
        <w:t>安置基金109至111年度轉投資事業</w:t>
      </w:r>
      <w:r w:rsidR="00077951">
        <w:rPr>
          <w:rFonts w:ascii="標楷體" w:hAnsi="標楷體" w:hint="eastAsia"/>
          <w:b/>
          <w:szCs w:val="28"/>
        </w:rPr>
        <w:t>現金股利決算數統計表</w:t>
      </w:r>
    </w:p>
    <w:p w:rsidR="00917248" w:rsidRDefault="00917248" w:rsidP="007F27ED">
      <w:pPr>
        <w:spacing w:line="440" w:lineRule="exact"/>
        <w:ind w:leftChars="207" w:left="5336" w:hangingChars="1953" w:hanging="4750"/>
        <w:jc w:val="left"/>
        <w:rPr>
          <w:rFonts w:ascii="標楷體" w:hAnsi="標楷體"/>
          <w:sz w:val="24"/>
        </w:rPr>
      </w:pPr>
      <w:r w:rsidRPr="00F227EC">
        <w:rPr>
          <w:rFonts w:ascii="標楷體" w:hAnsi="標楷體" w:hint="eastAsia"/>
          <w:sz w:val="24"/>
        </w:rPr>
        <w:t xml:space="preserve">                      </w:t>
      </w:r>
      <w:r w:rsidR="00E605C0" w:rsidRPr="00F227EC">
        <w:rPr>
          <w:rFonts w:ascii="標楷體" w:hAnsi="標楷體" w:hint="eastAsia"/>
          <w:sz w:val="24"/>
        </w:rPr>
        <w:t xml:space="preserve">                     </w:t>
      </w:r>
      <w:r w:rsidR="00077951">
        <w:rPr>
          <w:rFonts w:ascii="標楷體" w:hAnsi="標楷體" w:hint="eastAsia"/>
          <w:sz w:val="24"/>
        </w:rPr>
        <w:t xml:space="preserve">       </w:t>
      </w:r>
      <w:r w:rsidRPr="00F227EC">
        <w:rPr>
          <w:rFonts w:ascii="標楷體" w:hAnsi="標楷體" w:hint="eastAsia"/>
          <w:sz w:val="24"/>
        </w:rPr>
        <w:t>單位：新臺幣千元</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589"/>
        <w:gridCol w:w="1802"/>
        <w:gridCol w:w="1802"/>
      </w:tblGrid>
      <w:tr w:rsidR="00077951" w:rsidRPr="00A22E20" w:rsidTr="007B686C">
        <w:trPr>
          <w:trHeight w:val="284"/>
          <w:tblHeader/>
        </w:trPr>
        <w:tc>
          <w:tcPr>
            <w:tcW w:w="2702" w:type="dxa"/>
            <w:tcBorders>
              <w:top w:val="single" w:sz="12" w:space="0" w:color="auto"/>
              <w:left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轉投資事業別</w:t>
            </w:r>
          </w:p>
        </w:tc>
        <w:tc>
          <w:tcPr>
            <w:tcW w:w="1589" w:type="dxa"/>
            <w:tcBorders>
              <w:top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109</w:t>
            </w:r>
            <w:r>
              <w:rPr>
                <w:rFonts w:ascii="標楷體" w:hAnsi="標楷體" w:hint="eastAsia"/>
                <w:snapToGrid/>
                <w:sz w:val="24"/>
                <w:szCs w:val="20"/>
              </w:rPr>
              <w:t>年度</w:t>
            </w:r>
          </w:p>
        </w:tc>
        <w:tc>
          <w:tcPr>
            <w:tcW w:w="1802" w:type="dxa"/>
            <w:tcBorders>
              <w:top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110</w:t>
            </w:r>
            <w:r>
              <w:rPr>
                <w:rFonts w:ascii="標楷體" w:hAnsi="標楷體" w:hint="eastAsia"/>
                <w:snapToGrid/>
                <w:sz w:val="24"/>
                <w:szCs w:val="20"/>
              </w:rPr>
              <w:t>年度</w:t>
            </w:r>
          </w:p>
        </w:tc>
        <w:tc>
          <w:tcPr>
            <w:tcW w:w="1802" w:type="dxa"/>
            <w:tcBorders>
              <w:top w:val="single" w:sz="12" w:space="0" w:color="auto"/>
              <w:right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111</w:t>
            </w:r>
            <w:r>
              <w:rPr>
                <w:rFonts w:ascii="標楷體" w:hAnsi="標楷體" w:hint="eastAsia"/>
                <w:snapToGrid/>
                <w:sz w:val="24"/>
                <w:szCs w:val="20"/>
              </w:rPr>
              <w:t>年度</w:t>
            </w:r>
          </w:p>
        </w:tc>
      </w:tr>
      <w:tr w:rsidR="00E675C6" w:rsidRPr="00A22E20" w:rsidTr="007B686C">
        <w:trPr>
          <w:trHeight w:val="284"/>
        </w:trPr>
        <w:tc>
          <w:tcPr>
            <w:tcW w:w="2702" w:type="dxa"/>
            <w:tcBorders>
              <w:left w:val="single" w:sz="12" w:space="0" w:color="auto"/>
            </w:tcBorders>
            <w:shd w:val="clear" w:color="auto" w:fill="auto"/>
          </w:tcPr>
          <w:p w:rsidR="00E675C6" w:rsidRPr="007B686C" w:rsidRDefault="00E675C6" w:rsidP="007F27ED">
            <w:pPr>
              <w:spacing w:line="240" w:lineRule="exact"/>
              <w:ind w:leftChars="0" w:left="0" w:firstLineChars="0" w:firstLine="0"/>
              <w:jc w:val="left"/>
              <w:rPr>
                <w:rFonts w:ascii="標楷體" w:hAnsi="標楷體" w:hint="eastAsia"/>
                <w:b/>
                <w:snapToGrid/>
                <w:sz w:val="24"/>
                <w:szCs w:val="20"/>
              </w:rPr>
            </w:pPr>
            <w:r w:rsidRPr="007B686C">
              <w:rPr>
                <w:rFonts w:ascii="標楷體" w:hAnsi="標楷體" w:hint="eastAsia"/>
                <w:b/>
                <w:snapToGrid/>
                <w:sz w:val="24"/>
                <w:szCs w:val="20"/>
              </w:rPr>
              <w:t>欣隆天然氣公司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25,200</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25,200</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18,900</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欣湖天然氣公司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46,842</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50,745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50,745</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62,852</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74,491</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79,146</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7B686C" w:rsidRDefault="00E675C6" w:rsidP="007F27ED">
            <w:pPr>
              <w:spacing w:line="240" w:lineRule="exact"/>
              <w:ind w:leftChars="0" w:left="0" w:firstLineChars="0" w:firstLine="0"/>
              <w:jc w:val="left"/>
              <w:rPr>
                <w:rFonts w:ascii="標楷體" w:hAnsi="標楷體"/>
                <w:b/>
                <w:snapToGrid/>
                <w:sz w:val="24"/>
                <w:szCs w:val="20"/>
              </w:rPr>
            </w:pPr>
            <w:r w:rsidRPr="007B686C">
              <w:rPr>
                <w:rFonts w:ascii="標楷體" w:hAnsi="標楷體"/>
                <w:b/>
                <w:snapToGrid/>
                <w:sz w:val="24"/>
                <w:szCs w:val="20"/>
              </w:rPr>
              <w:t>欣泰石油氣公司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30,086</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49,643</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40,045</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欣桃天然氣公司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181,622</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181,622</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118,994</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欣中天然氣公司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158,893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144,448</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144,448</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欣林天然氣公司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87,537</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91,649</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106,337</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欣彰天然氣公司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95,625</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122,945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150,266</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欣雲天然氣公司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17,533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18,936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21,883</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欣嘉石油氣公司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12,435</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9,672</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19,129</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1E773E" w:rsidRDefault="00E675C6" w:rsidP="007F27ED">
            <w:pPr>
              <w:spacing w:line="240" w:lineRule="exact"/>
              <w:ind w:leftChars="0" w:left="0" w:firstLineChars="0" w:firstLine="0"/>
              <w:jc w:val="left"/>
              <w:rPr>
                <w:rFonts w:ascii="標楷體" w:hAnsi="標楷體"/>
                <w:snapToGrid/>
                <w:sz w:val="24"/>
                <w:szCs w:val="20"/>
              </w:rPr>
            </w:pPr>
            <w:r w:rsidRPr="001E773E">
              <w:rPr>
                <w:rFonts w:ascii="標楷體" w:hAnsi="標楷體"/>
                <w:snapToGrid/>
                <w:sz w:val="24"/>
                <w:szCs w:val="20"/>
              </w:rPr>
              <w:t>欣南天然氣公司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大臺南天然氣公司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12,528</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14,515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17,280</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欣高石油氣公司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10,871</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30,527</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32,875</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欣雄天然氣公司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38,223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18,856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21,119</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欣屏天然氣公司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14,139</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10,875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11,528</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欣欣客運公司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大南汽車公司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欣欣大眾市場公司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12,743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2A6CFE" w:rsidRDefault="00E675C6"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5,532</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2A6CFE" w:rsidRDefault="00E675C6"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2,060</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欣欣水泥公司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745</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5,401</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8,568</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欣泉投資公司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21,958</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19,633</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14,926</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遠榮氣體工業公司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18,599</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20,306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22,227</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泛亞工程建設公司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歐欣環保公司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遠東氣體工業公司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5,678</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4,626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5,435</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達榮環保公司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90,401</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聯合大地工程顧問公司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高雄捷運公司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1,286</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榮工工程公司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4,511</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3,007</w:t>
            </w:r>
          </w:p>
        </w:tc>
      </w:tr>
      <w:tr w:rsidR="001742C8" w:rsidRPr="00A22E20" w:rsidTr="007B686C">
        <w:trPr>
          <w:trHeight w:val="284"/>
        </w:trPr>
        <w:tc>
          <w:tcPr>
            <w:tcW w:w="2702" w:type="dxa"/>
            <w:tcBorders>
              <w:left w:val="single" w:sz="12" w:space="0" w:color="auto"/>
              <w:bottom w:val="double" w:sz="4"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世正開發公司</w:t>
            </w:r>
          </w:p>
        </w:tc>
        <w:tc>
          <w:tcPr>
            <w:tcW w:w="1589" w:type="dxa"/>
            <w:tcBorders>
              <w:top w:val="single" w:sz="4" w:space="0" w:color="auto"/>
              <w:left w:val="single" w:sz="4" w:space="0" w:color="auto"/>
              <w:bottom w:val="doub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4,253</w:t>
            </w:r>
          </w:p>
        </w:tc>
        <w:tc>
          <w:tcPr>
            <w:tcW w:w="1802" w:type="dxa"/>
            <w:tcBorders>
              <w:top w:val="single" w:sz="4" w:space="0" w:color="auto"/>
              <w:left w:val="single" w:sz="4" w:space="0" w:color="auto"/>
              <w:bottom w:val="doub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3,262</w:t>
            </w:r>
          </w:p>
        </w:tc>
        <w:tc>
          <w:tcPr>
            <w:tcW w:w="1802" w:type="dxa"/>
            <w:tcBorders>
              <w:top w:val="single" w:sz="4" w:space="0" w:color="auto"/>
              <w:left w:val="single" w:sz="4" w:space="0" w:color="auto"/>
              <w:bottom w:val="doub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18,270</w:t>
            </w:r>
          </w:p>
        </w:tc>
      </w:tr>
      <w:tr w:rsidR="00E675C6" w:rsidRPr="00A22E20" w:rsidTr="007B686C">
        <w:trPr>
          <w:trHeight w:val="284"/>
        </w:trPr>
        <w:tc>
          <w:tcPr>
            <w:tcW w:w="2702" w:type="dxa"/>
            <w:tcBorders>
              <w:top w:val="double" w:sz="4" w:space="0" w:color="auto"/>
              <w:left w:val="single" w:sz="12" w:space="0" w:color="auto"/>
              <w:bottom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Pr>
                <w:rFonts w:ascii="標楷體" w:hAnsi="標楷體" w:hint="eastAsia"/>
                <w:snapToGrid/>
                <w:sz w:val="24"/>
                <w:szCs w:val="20"/>
              </w:rPr>
              <w:lastRenderedPageBreak/>
              <w:t>合計</w:t>
            </w:r>
          </w:p>
        </w:tc>
        <w:tc>
          <w:tcPr>
            <w:tcW w:w="1589" w:type="dxa"/>
            <w:tcBorders>
              <w:top w:val="double" w:sz="4" w:space="0" w:color="auto"/>
              <w:left w:val="nil"/>
              <w:bottom w:val="single" w:sz="12" w:space="0" w:color="auto"/>
              <w:right w:val="single" w:sz="4" w:space="0" w:color="auto"/>
            </w:tcBorders>
            <w:shd w:val="clear" w:color="auto"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hint="eastAsia"/>
                <w:snapToGrid/>
                <w:sz w:val="24"/>
                <w:szCs w:val="20"/>
              </w:rPr>
              <w:t>859,648</w:t>
            </w:r>
          </w:p>
        </w:tc>
        <w:tc>
          <w:tcPr>
            <w:tcW w:w="1802" w:type="dxa"/>
            <w:tcBorders>
              <w:top w:val="double" w:sz="4" w:space="0" w:color="auto"/>
              <w:left w:val="single" w:sz="4" w:space="0" w:color="auto"/>
              <w:bottom w:val="single" w:sz="12" w:space="0" w:color="auto"/>
              <w:right w:val="single" w:sz="4" w:space="0" w:color="auto"/>
            </w:tcBorders>
            <w:shd w:val="clear" w:color="auto" w:fill="auto"/>
            <w:vAlign w:val="center"/>
          </w:tcPr>
          <w:p w:rsidR="00E675C6" w:rsidRPr="00E675C6" w:rsidRDefault="00E675C6" w:rsidP="007F27ED">
            <w:pPr>
              <w:spacing w:line="240" w:lineRule="exact"/>
              <w:ind w:leftChars="0" w:left="0" w:firstLineChars="0" w:firstLine="0"/>
              <w:jc w:val="right"/>
              <w:rPr>
                <w:rFonts w:ascii="標楷體" w:hAnsi="標楷體" w:hint="eastAsia"/>
                <w:snapToGrid/>
                <w:sz w:val="24"/>
                <w:szCs w:val="20"/>
              </w:rPr>
            </w:pPr>
            <w:r w:rsidRPr="00E675C6">
              <w:rPr>
                <w:rFonts w:ascii="標楷體" w:hAnsi="標楷體" w:hint="eastAsia"/>
                <w:snapToGrid/>
                <w:sz w:val="24"/>
                <w:szCs w:val="20"/>
              </w:rPr>
              <w:t>907</w:t>
            </w:r>
            <w:r w:rsidR="00503937">
              <w:rPr>
                <w:rFonts w:ascii="標楷體" w:hAnsi="標楷體"/>
                <w:snapToGrid/>
                <w:sz w:val="24"/>
                <w:szCs w:val="20"/>
              </w:rPr>
              <w:t>,</w:t>
            </w:r>
            <w:r w:rsidRPr="00E675C6">
              <w:rPr>
                <w:rFonts w:ascii="標楷體" w:hAnsi="標楷體" w:hint="eastAsia"/>
                <w:snapToGrid/>
                <w:sz w:val="24"/>
                <w:szCs w:val="20"/>
              </w:rPr>
              <w:t>395</w:t>
            </w:r>
          </w:p>
        </w:tc>
        <w:tc>
          <w:tcPr>
            <w:tcW w:w="1802" w:type="dxa"/>
            <w:tcBorders>
              <w:top w:val="double" w:sz="4" w:space="0" w:color="auto"/>
              <w:left w:val="single" w:sz="4" w:space="0" w:color="auto"/>
              <w:bottom w:val="single" w:sz="12" w:space="0" w:color="auto"/>
              <w:right w:val="single" w:sz="12" w:space="0" w:color="auto"/>
            </w:tcBorders>
            <w:shd w:val="clear" w:color="auto" w:fill="auto"/>
            <w:vAlign w:val="center"/>
          </w:tcPr>
          <w:p w:rsidR="00E675C6" w:rsidRPr="00E675C6" w:rsidRDefault="00E675C6" w:rsidP="007F27ED">
            <w:pPr>
              <w:spacing w:line="240" w:lineRule="exact"/>
              <w:ind w:leftChars="0" w:left="0" w:firstLineChars="0" w:firstLine="0"/>
              <w:jc w:val="right"/>
              <w:rPr>
                <w:rFonts w:ascii="標楷體" w:hAnsi="標楷體" w:hint="eastAsia"/>
                <w:snapToGrid/>
                <w:sz w:val="24"/>
                <w:szCs w:val="20"/>
              </w:rPr>
            </w:pPr>
            <w:r w:rsidRPr="00E675C6">
              <w:rPr>
                <w:rFonts w:ascii="標楷體" w:hAnsi="標楷體" w:hint="eastAsia"/>
                <w:snapToGrid/>
                <w:sz w:val="24"/>
                <w:szCs w:val="20"/>
              </w:rPr>
              <w:t>997</w:t>
            </w:r>
            <w:r w:rsidR="00503937">
              <w:rPr>
                <w:rFonts w:ascii="標楷體" w:hAnsi="標楷體"/>
                <w:snapToGrid/>
                <w:sz w:val="24"/>
                <w:szCs w:val="20"/>
              </w:rPr>
              <w:t>,</w:t>
            </w:r>
            <w:r w:rsidRPr="00E675C6">
              <w:rPr>
                <w:rFonts w:ascii="標楷體" w:hAnsi="標楷體" w:hint="eastAsia"/>
                <w:snapToGrid/>
                <w:sz w:val="24"/>
                <w:szCs w:val="20"/>
              </w:rPr>
              <w:t>589</w:t>
            </w:r>
          </w:p>
        </w:tc>
      </w:tr>
    </w:tbl>
    <w:p w:rsidR="00186FD2" w:rsidRDefault="00186FD2" w:rsidP="00186FD2">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說    明：1.欣泉投資公司原名榮僑投資公司，112年2月21日獲准改名。</w:t>
      </w:r>
    </w:p>
    <w:p w:rsidR="00186FD2" w:rsidRDefault="00186FD2" w:rsidP="00A455C6">
      <w:pPr>
        <w:spacing w:line="280" w:lineRule="exact"/>
        <w:ind w:leftChars="618" w:left="1915" w:hangingChars="68" w:hanging="165"/>
        <w:jc w:val="left"/>
        <w:rPr>
          <w:rFonts w:ascii="標楷體" w:hAnsi="標楷體"/>
          <w:snapToGrid/>
          <w:sz w:val="24"/>
          <w:szCs w:val="20"/>
        </w:rPr>
      </w:pPr>
      <w:r>
        <w:rPr>
          <w:rFonts w:ascii="標楷體" w:hAnsi="標楷體" w:hint="eastAsia"/>
          <w:snapToGrid/>
          <w:sz w:val="24"/>
          <w:szCs w:val="20"/>
        </w:rPr>
        <w:lastRenderedPageBreak/>
        <w:t>2.本表不含</w:t>
      </w:r>
      <w:r w:rsidR="00A455C6">
        <w:rPr>
          <w:rFonts w:ascii="標楷體" w:hAnsi="標楷體" w:hint="eastAsia"/>
          <w:snapToGrid/>
          <w:sz w:val="24"/>
          <w:szCs w:val="20"/>
        </w:rPr>
        <w:t>刻正</w:t>
      </w:r>
      <w:r>
        <w:rPr>
          <w:rFonts w:ascii="標楷體" w:hAnsi="標楷體" w:hint="eastAsia"/>
          <w:snapToGrid/>
          <w:sz w:val="24"/>
          <w:szCs w:val="20"/>
        </w:rPr>
        <w:t>辦理破產程序之榮電公司與辦理清算程序之欣欣電子公司、國華欣業公司及榮民工程公司。</w:t>
      </w:r>
    </w:p>
    <w:p w:rsidR="00E605C0" w:rsidRPr="00F227EC" w:rsidRDefault="00521244" w:rsidP="00521244">
      <w:pPr>
        <w:spacing w:line="280" w:lineRule="exact"/>
        <w:ind w:leftChars="199" w:left="564" w:firstLineChars="0" w:firstLine="10"/>
        <w:jc w:val="left"/>
        <w:rPr>
          <w:rFonts w:ascii="標楷體" w:hAnsi="標楷體"/>
          <w:snapToGrid/>
          <w:sz w:val="24"/>
          <w:szCs w:val="20"/>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：安置基金提供，本中心整理</w:t>
      </w:r>
      <w:r w:rsidRPr="00F227EC">
        <w:rPr>
          <w:rFonts w:ascii="標楷體" w:hAnsi="標楷體"/>
          <w:snapToGrid/>
          <w:sz w:val="24"/>
          <w:szCs w:val="20"/>
        </w:rPr>
        <w:t>。</w:t>
      </w:r>
    </w:p>
    <w:p w:rsidR="00967750" w:rsidRPr="00F227EC" w:rsidRDefault="004E4BEA" w:rsidP="00D02FC3">
      <w:pPr>
        <w:rPr>
          <w:rFonts w:hAnsi="標楷體"/>
        </w:rPr>
      </w:pPr>
      <w:r w:rsidRPr="00F227EC">
        <w:rPr>
          <w:rFonts w:ascii="標楷體" w:hAnsi="標楷體" w:hint="eastAsia"/>
        </w:rPr>
        <w:t>綜上，</w:t>
      </w:r>
      <w:r w:rsidR="00DA3B1B">
        <w:rPr>
          <w:rFonts w:ascii="標楷體" w:hAnsi="標楷體" w:hint="eastAsia"/>
        </w:rPr>
        <w:t>安置基金部分轉投資事業109至111年度</w:t>
      </w:r>
      <w:r w:rsidR="001624F4">
        <w:rPr>
          <w:rFonts w:ascii="標楷體" w:hAnsi="標楷體" w:hint="eastAsia"/>
        </w:rPr>
        <w:t>因</w:t>
      </w:r>
      <w:r w:rsidR="00DA3B1B">
        <w:rPr>
          <w:rFonts w:ascii="標楷體" w:hAnsi="標楷體" w:hint="eastAsia"/>
        </w:rPr>
        <w:t>受</w:t>
      </w:r>
      <w:r w:rsidR="001624F4" w:rsidRPr="001624F4">
        <w:rPr>
          <w:rFonts w:ascii="標楷體" w:hAnsi="標楷體"/>
        </w:rPr>
        <w:t>COVID-19</w:t>
      </w:r>
      <w:r w:rsidR="00DA3B1B">
        <w:rPr>
          <w:rFonts w:ascii="標楷體" w:hAnsi="標楷體" w:hint="eastAsia"/>
        </w:rPr>
        <w:t>疫情或投資失利影響，投資報酬率有下滑現象，另部分事業核有</w:t>
      </w:r>
      <w:r w:rsidR="001624F4">
        <w:rPr>
          <w:rFonts w:ascii="標楷體" w:hAnsi="標楷體" w:hint="eastAsia"/>
        </w:rPr>
        <w:t>111年度</w:t>
      </w:r>
      <w:r w:rsidR="00DA3B1B">
        <w:rPr>
          <w:rFonts w:ascii="標楷體" w:hAnsi="標楷體" w:hint="eastAsia"/>
        </w:rPr>
        <w:t>發放現金股利</w:t>
      </w:r>
      <w:r w:rsidR="001624F4">
        <w:rPr>
          <w:rFonts w:ascii="標楷體" w:hAnsi="標楷體" w:hint="eastAsia"/>
        </w:rPr>
        <w:t>較110</w:t>
      </w:r>
      <w:r w:rsidR="00DA3B1B">
        <w:rPr>
          <w:rFonts w:ascii="標楷體" w:hAnsi="標楷體" w:hint="eastAsia"/>
        </w:rPr>
        <w:t>年</w:t>
      </w:r>
      <w:r w:rsidR="001624F4">
        <w:rPr>
          <w:rFonts w:ascii="標楷體" w:hAnsi="標楷體" w:hint="eastAsia"/>
        </w:rPr>
        <w:t>度</w:t>
      </w:r>
      <w:r w:rsidR="00DA3B1B">
        <w:rPr>
          <w:rFonts w:ascii="標楷體" w:hAnsi="標楷體" w:hint="eastAsia"/>
        </w:rPr>
        <w:t>減少或連續數年未發放之情形，該基金允宜透過會派高階主管</w:t>
      </w:r>
      <w:r w:rsidR="00C44F84">
        <w:rPr>
          <w:rFonts w:ascii="標楷體" w:hAnsi="標楷體" w:hint="eastAsia"/>
        </w:rPr>
        <w:t>等</w:t>
      </w:r>
      <w:r w:rsidR="00DA3B1B">
        <w:rPr>
          <w:rFonts w:ascii="標楷體" w:hAnsi="標楷體" w:hint="eastAsia"/>
        </w:rPr>
        <w:t>督促轉投資事業適時檢討經營策略，</w:t>
      </w:r>
      <w:r w:rsidR="001624F4">
        <w:rPr>
          <w:rFonts w:ascii="標楷體" w:hAnsi="標楷體" w:hint="eastAsia"/>
        </w:rPr>
        <w:t>提升</w:t>
      </w:r>
      <w:r w:rsidR="00DA3B1B">
        <w:rPr>
          <w:rFonts w:ascii="標楷體" w:hAnsi="標楷體" w:hint="eastAsia"/>
        </w:rPr>
        <w:t>營運績效</w:t>
      </w:r>
      <w:r w:rsidR="001F5735">
        <w:rPr>
          <w:rFonts w:ascii="標楷體" w:hAnsi="標楷體" w:hint="eastAsia"/>
        </w:rPr>
        <w:t>，</w:t>
      </w:r>
      <w:r w:rsidR="00DA3B1B">
        <w:rPr>
          <w:rFonts w:ascii="標楷體" w:hAnsi="標楷體" w:hint="eastAsia"/>
        </w:rPr>
        <w:t>俾利挹注基金收入</w:t>
      </w:r>
      <w:r w:rsidR="001F5735">
        <w:rPr>
          <w:rFonts w:ascii="標楷體" w:hAnsi="標楷體" w:hint="eastAsia"/>
        </w:rPr>
        <w:t>，充裕基金運作之財源</w:t>
      </w:r>
      <w:r w:rsidRPr="00F227EC">
        <w:rPr>
          <w:rFonts w:ascii="標楷體" w:hAnsi="標楷體" w:hint="eastAsia"/>
        </w:rPr>
        <w:t>。</w:t>
      </w:r>
    </w:p>
    <w:bookmarkEnd w:id="4"/>
    <w:p w:rsidR="00DB62FB" w:rsidRPr="00F227EC" w:rsidRDefault="00DB62FB" w:rsidP="00DB62FB">
      <w:pPr>
        <w:ind w:leftChars="0" w:left="0" w:firstLineChars="0" w:firstLine="0"/>
        <w:jc w:val="right"/>
        <w:rPr>
          <w:rFonts w:ascii="標楷體" w:hAnsi="標楷體" w:hint="eastAsia"/>
          <w:snapToGrid/>
        </w:rPr>
      </w:pPr>
      <w:r w:rsidRPr="00F227EC">
        <w:rPr>
          <w:rFonts w:ascii="標楷體" w:hAnsi="標楷體" w:hint="eastAsia"/>
          <w:sz w:val="24"/>
          <w:szCs w:val="28"/>
        </w:rPr>
        <w:t>（分機：1912黃彥斌）</w:t>
      </w:r>
    </w:p>
    <w:sectPr w:rsidR="00DB62FB" w:rsidRPr="00F227EC"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C80" w:rsidRDefault="00580C80" w:rsidP="00ED66FF">
      <w:pPr>
        <w:ind w:left="560" w:firstLine="560"/>
      </w:pPr>
      <w:r>
        <w:separator/>
      </w:r>
    </w:p>
  </w:endnote>
  <w:endnote w:type="continuationSeparator" w:id="0">
    <w:p w:rsidR="00580C80" w:rsidRDefault="00580C80" w:rsidP="00ED66F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3F" w:rsidRPr="00F015A5" w:rsidRDefault="0079163F" w:rsidP="00F015A5">
    <w:pPr>
      <w:pStyle w:val="ae"/>
      <w:ind w:leftChars="0" w:left="0" w:firstLineChars="0" w:firstLine="0"/>
      <w:jc w:val="center"/>
      <w:rPr>
        <w:rStyle w:val="af9"/>
        <w:rFonts w:ascii="標楷體" w:hAnsi="標楷體"/>
      </w:rPr>
    </w:pPr>
    <w:r w:rsidRPr="00F015A5">
      <w:rPr>
        <w:rStyle w:val="af9"/>
        <w:rFonts w:ascii="標楷體" w:hAnsi="標楷體"/>
      </w:rPr>
      <w:fldChar w:fldCharType="begin"/>
    </w:r>
    <w:r w:rsidRPr="00F015A5">
      <w:rPr>
        <w:rStyle w:val="af9"/>
        <w:rFonts w:ascii="標楷體" w:hAnsi="標楷體"/>
      </w:rPr>
      <w:instrText>PAGE   \* MERGEFORMAT</w:instrText>
    </w:r>
    <w:r w:rsidRPr="00F015A5">
      <w:rPr>
        <w:rStyle w:val="af9"/>
        <w:rFonts w:ascii="標楷體" w:hAnsi="標楷體"/>
      </w:rPr>
      <w:fldChar w:fldCharType="separate"/>
    </w:r>
    <w:r w:rsidR="0043716A">
      <w:rPr>
        <w:rStyle w:val="af9"/>
        <w:rFonts w:ascii="標楷體" w:hAnsi="標楷體"/>
        <w:noProof/>
      </w:rPr>
      <w:t>2</w:t>
    </w:r>
    <w:r w:rsidRPr="00F015A5">
      <w:rPr>
        <w:rStyle w:val="af9"/>
        <w:rFonts w:ascii="標楷體" w:hAnsi="標楷體"/>
      </w:rPr>
      <w:fldChar w:fldCharType="end"/>
    </w:r>
  </w:p>
  <w:p w:rsidR="00E340D6" w:rsidRDefault="00E340D6" w:rsidP="00ED66FF">
    <w:pPr>
      <w:pStyle w:val="ae"/>
      <w:ind w:left="560" w:firstLine="40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Pr="007E5D97" w:rsidRDefault="00E340D6" w:rsidP="007E5D97">
    <w:pPr>
      <w:pStyle w:val="ae"/>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C80" w:rsidRDefault="00580C80" w:rsidP="00ED66FF">
      <w:pPr>
        <w:ind w:left="560" w:firstLine="560"/>
      </w:pPr>
      <w:r>
        <w:separator/>
      </w:r>
    </w:p>
  </w:footnote>
  <w:footnote w:type="continuationSeparator" w:id="0">
    <w:p w:rsidR="00580C80" w:rsidRDefault="00580C80" w:rsidP="00ED66FF">
      <w:pPr>
        <w:ind w:left="560" w:firstLine="560"/>
      </w:pPr>
      <w:r>
        <w:continuationSeparator/>
      </w:r>
    </w:p>
  </w:footnote>
  <w:footnote w:id="1">
    <w:p w:rsidR="00A455C6" w:rsidRPr="00A455C6" w:rsidRDefault="00A455C6" w:rsidP="00A455C6">
      <w:pPr>
        <w:pStyle w:val="af4"/>
        <w:spacing w:line="280" w:lineRule="exact"/>
        <w:ind w:leftChars="233" w:left="896" w:hangingChars="97" w:hanging="236"/>
        <w:rPr>
          <w:rFonts w:hint="eastAsia"/>
          <w:sz w:val="24"/>
          <w:szCs w:val="24"/>
        </w:rPr>
      </w:pPr>
      <w:r w:rsidRPr="00A455C6">
        <w:rPr>
          <w:rStyle w:val="af6"/>
          <w:sz w:val="24"/>
          <w:szCs w:val="24"/>
        </w:rPr>
        <w:footnoteRef/>
      </w:r>
      <w:r w:rsidRPr="00A455C6">
        <w:rPr>
          <w:sz w:val="24"/>
          <w:szCs w:val="24"/>
        </w:rPr>
        <w:t xml:space="preserve"> </w:t>
      </w:r>
      <w:r>
        <w:rPr>
          <w:rFonts w:hint="eastAsia"/>
          <w:sz w:val="24"/>
          <w:szCs w:val="24"/>
        </w:rPr>
        <w:t>不包括刻正</w:t>
      </w:r>
      <w:r w:rsidRPr="00A455C6">
        <w:rPr>
          <w:rFonts w:hint="eastAsia"/>
          <w:sz w:val="24"/>
          <w:szCs w:val="24"/>
        </w:rPr>
        <w:t>辦理破產程序之榮電公司與辦理清算程序之欣欣電子公司、國華欣業公司及榮民工程公司</w:t>
      </w:r>
      <w:r>
        <w:rPr>
          <w:rFonts w:hint="eastAsia"/>
          <w:sz w:val="24"/>
          <w:szCs w:val="24"/>
        </w:rPr>
        <w:t>等4家轉投資事業</w:t>
      </w:r>
      <w:r w:rsidRPr="00A455C6">
        <w:rPr>
          <w:rFonts w:hint="eastAsia"/>
          <w:sz w:val="24"/>
          <w:szCs w:val="24"/>
        </w:rPr>
        <w:t>。</w:t>
      </w:r>
    </w:p>
  </w:footnote>
  <w:footnote w:id="2">
    <w:p w:rsidR="00DE1154" w:rsidRPr="00C85C6D" w:rsidRDefault="00DE1154" w:rsidP="00DE1154">
      <w:pPr>
        <w:pStyle w:val="af4"/>
        <w:spacing w:line="280" w:lineRule="exact"/>
        <w:ind w:firstLineChars="32" w:firstLine="78"/>
        <w:rPr>
          <w:rFonts w:hint="eastAsia"/>
          <w:sz w:val="24"/>
          <w:szCs w:val="24"/>
        </w:rPr>
      </w:pPr>
      <w:r w:rsidRPr="00C85C6D">
        <w:rPr>
          <w:rStyle w:val="af6"/>
          <w:sz w:val="24"/>
          <w:szCs w:val="24"/>
        </w:rPr>
        <w:footnoteRef/>
      </w:r>
      <w:r w:rsidRPr="00C85C6D">
        <w:rPr>
          <w:sz w:val="24"/>
          <w:szCs w:val="24"/>
        </w:rPr>
        <w:t xml:space="preserve"> </w:t>
      </w:r>
      <w:r>
        <w:rPr>
          <w:rFonts w:hint="eastAsia"/>
          <w:sz w:val="24"/>
          <w:szCs w:val="24"/>
        </w:rPr>
        <w:t>包括</w:t>
      </w:r>
      <w:r w:rsidRPr="00C85C6D">
        <w:rPr>
          <w:rFonts w:hint="eastAsia"/>
          <w:sz w:val="24"/>
          <w:szCs w:val="24"/>
        </w:rPr>
        <w:t>俄烏戰爭爆發、全球通膨高漲、</w:t>
      </w:r>
      <w:r>
        <w:rPr>
          <w:rFonts w:hint="eastAsia"/>
          <w:sz w:val="24"/>
          <w:szCs w:val="24"/>
        </w:rPr>
        <w:t>美國</w:t>
      </w:r>
      <w:r w:rsidRPr="00C85C6D">
        <w:rPr>
          <w:rFonts w:hint="eastAsia"/>
          <w:sz w:val="24"/>
          <w:szCs w:val="24"/>
        </w:rPr>
        <w:t>聯準會升息緊縮資金等</w:t>
      </w:r>
      <w:r>
        <w:rPr>
          <w:rFonts w:hAnsi="標楷體" w:hint="eastAsia"/>
          <w:sz w:val="24"/>
          <w:szCs w:val="24"/>
        </w:rPr>
        <w:t>。</w:t>
      </w:r>
    </w:p>
  </w:footnote>
  <w:footnote w:id="3">
    <w:p w:rsidR="00DE1154" w:rsidRPr="00DE1154" w:rsidRDefault="00DE1154" w:rsidP="00DE1154">
      <w:pPr>
        <w:pStyle w:val="af4"/>
        <w:spacing w:line="280" w:lineRule="exact"/>
        <w:ind w:leftChars="228" w:left="938" w:hangingChars="120" w:hanging="292"/>
        <w:rPr>
          <w:rFonts w:hint="eastAsia"/>
          <w:sz w:val="24"/>
          <w:szCs w:val="24"/>
        </w:rPr>
      </w:pPr>
      <w:r w:rsidRPr="00DE1154">
        <w:rPr>
          <w:rStyle w:val="af6"/>
          <w:sz w:val="24"/>
          <w:szCs w:val="24"/>
        </w:rPr>
        <w:footnoteRef/>
      </w:r>
      <w:r w:rsidRPr="00DE1154">
        <w:rPr>
          <w:sz w:val="24"/>
          <w:szCs w:val="24"/>
        </w:rPr>
        <w:t xml:space="preserve"> </w:t>
      </w:r>
      <w:r>
        <w:rPr>
          <w:rFonts w:hint="eastAsia"/>
          <w:sz w:val="24"/>
          <w:szCs w:val="24"/>
        </w:rPr>
        <w:t>依欣欣天然氣公司合併綜合損益表</w:t>
      </w:r>
      <w:r>
        <w:rPr>
          <w:rFonts w:hAnsi="標楷體" w:hint="eastAsia"/>
          <w:sz w:val="24"/>
          <w:szCs w:val="24"/>
        </w:rPr>
        <w:t>，</w:t>
      </w:r>
      <w:r>
        <w:rPr>
          <w:rFonts w:hint="eastAsia"/>
          <w:sz w:val="24"/>
          <w:szCs w:val="24"/>
        </w:rPr>
        <w:t>該公司111年度</w:t>
      </w:r>
      <w:r>
        <w:rPr>
          <w:rFonts w:hAnsi="標楷體" w:hint="eastAsia"/>
          <w:sz w:val="24"/>
          <w:szCs w:val="24"/>
        </w:rPr>
        <w:t>「</w:t>
      </w:r>
      <w:r>
        <w:rPr>
          <w:rFonts w:hint="eastAsia"/>
          <w:sz w:val="24"/>
          <w:szCs w:val="24"/>
        </w:rPr>
        <w:t>業務外收入及支出</w:t>
      </w:r>
      <w:r>
        <w:rPr>
          <w:rFonts w:hAnsi="標楷體" w:hint="eastAsia"/>
          <w:sz w:val="24"/>
          <w:szCs w:val="24"/>
        </w:rPr>
        <w:t>－其他利益損失」金額達負</w:t>
      </w:r>
      <w:r>
        <w:rPr>
          <w:rFonts w:hAnsi="標楷體"/>
          <w:sz w:val="24"/>
          <w:szCs w:val="24"/>
        </w:rPr>
        <w:t>1</w:t>
      </w:r>
      <w:r>
        <w:rPr>
          <w:rFonts w:hAnsi="標楷體" w:hint="eastAsia"/>
          <w:sz w:val="24"/>
          <w:szCs w:val="24"/>
        </w:rPr>
        <w:t>億6</w:t>
      </w:r>
      <w:r>
        <w:rPr>
          <w:rFonts w:hAnsi="標楷體"/>
          <w:sz w:val="24"/>
          <w:szCs w:val="24"/>
        </w:rPr>
        <w:t>,</w:t>
      </w:r>
      <w:r>
        <w:rPr>
          <w:rFonts w:hAnsi="標楷體" w:hint="eastAsia"/>
          <w:sz w:val="24"/>
          <w:szCs w:val="24"/>
        </w:rPr>
        <w:t>138萬8千元。</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1AF8"/>
    <w:rsid w:val="00001BD0"/>
    <w:rsid w:val="00005DCF"/>
    <w:rsid w:val="0000644D"/>
    <w:rsid w:val="00012292"/>
    <w:rsid w:val="000173A5"/>
    <w:rsid w:val="000225A5"/>
    <w:rsid w:val="00022FA9"/>
    <w:rsid w:val="00031835"/>
    <w:rsid w:val="0003209A"/>
    <w:rsid w:val="0003531C"/>
    <w:rsid w:val="00043507"/>
    <w:rsid w:val="00046D47"/>
    <w:rsid w:val="00054A4C"/>
    <w:rsid w:val="00056396"/>
    <w:rsid w:val="00072D88"/>
    <w:rsid w:val="00073AAF"/>
    <w:rsid w:val="00075DE2"/>
    <w:rsid w:val="00077951"/>
    <w:rsid w:val="000850E1"/>
    <w:rsid w:val="000962CE"/>
    <w:rsid w:val="000965EB"/>
    <w:rsid w:val="00096C9E"/>
    <w:rsid w:val="00096D55"/>
    <w:rsid w:val="000A5AD7"/>
    <w:rsid w:val="000B2FD6"/>
    <w:rsid w:val="000B6868"/>
    <w:rsid w:val="000B6A72"/>
    <w:rsid w:val="000C075D"/>
    <w:rsid w:val="000C61EE"/>
    <w:rsid w:val="000D0990"/>
    <w:rsid w:val="000D4C16"/>
    <w:rsid w:val="000D6F76"/>
    <w:rsid w:val="000F1AA1"/>
    <w:rsid w:val="001019AA"/>
    <w:rsid w:val="001111A0"/>
    <w:rsid w:val="00113CB5"/>
    <w:rsid w:val="001211E4"/>
    <w:rsid w:val="0013654F"/>
    <w:rsid w:val="0013744E"/>
    <w:rsid w:val="00142441"/>
    <w:rsid w:val="00142959"/>
    <w:rsid w:val="00146276"/>
    <w:rsid w:val="00160C22"/>
    <w:rsid w:val="001624F4"/>
    <w:rsid w:val="00173951"/>
    <w:rsid w:val="001742C8"/>
    <w:rsid w:val="00174AA6"/>
    <w:rsid w:val="00175CAD"/>
    <w:rsid w:val="00176038"/>
    <w:rsid w:val="0017614D"/>
    <w:rsid w:val="001812EE"/>
    <w:rsid w:val="00181D59"/>
    <w:rsid w:val="00181E03"/>
    <w:rsid w:val="001821CF"/>
    <w:rsid w:val="00186C8E"/>
    <w:rsid w:val="00186FD2"/>
    <w:rsid w:val="0019155B"/>
    <w:rsid w:val="001927F2"/>
    <w:rsid w:val="00193A12"/>
    <w:rsid w:val="00194A54"/>
    <w:rsid w:val="0019783E"/>
    <w:rsid w:val="001A2AFF"/>
    <w:rsid w:val="001B60B2"/>
    <w:rsid w:val="001B6CC8"/>
    <w:rsid w:val="001C05A6"/>
    <w:rsid w:val="001C53E1"/>
    <w:rsid w:val="001C6480"/>
    <w:rsid w:val="001C7290"/>
    <w:rsid w:val="001D059F"/>
    <w:rsid w:val="001D1870"/>
    <w:rsid w:val="001D280A"/>
    <w:rsid w:val="001D56E8"/>
    <w:rsid w:val="001E0A69"/>
    <w:rsid w:val="001E24D0"/>
    <w:rsid w:val="001E4347"/>
    <w:rsid w:val="001E48A7"/>
    <w:rsid w:val="001E4CB6"/>
    <w:rsid w:val="001E773E"/>
    <w:rsid w:val="001F5735"/>
    <w:rsid w:val="001F714C"/>
    <w:rsid w:val="00213897"/>
    <w:rsid w:val="00217375"/>
    <w:rsid w:val="00217A37"/>
    <w:rsid w:val="002231E6"/>
    <w:rsid w:val="00225006"/>
    <w:rsid w:val="00232707"/>
    <w:rsid w:val="00233ABE"/>
    <w:rsid w:val="00233E5E"/>
    <w:rsid w:val="00246743"/>
    <w:rsid w:val="00247831"/>
    <w:rsid w:val="002507C9"/>
    <w:rsid w:val="00254E43"/>
    <w:rsid w:val="002633AB"/>
    <w:rsid w:val="002642AD"/>
    <w:rsid w:val="002676DB"/>
    <w:rsid w:val="00271F2E"/>
    <w:rsid w:val="002733FA"/>
    <w:rsid w:val="00277636"/>
    <w:rsid w:val="00277A2D"/>
    <w:rsid w:val="002810F6"/>
    <w:rsid w:val="00284A5E"/>
    <w:rsid w:val="0028544D"/>
    <w:rsid w:val="00290714"/>
    <w:rsid w:val="0029732B"/>
    <w:rsid w:val="002A069E"/>
    <w:rsid w:val="002A139D"/>
    <w:rsid w:val="002A6CFE"/>
    <w:rsid w:val="002B5C16"/>
    <w:rsid w:val="002B7D74"/>
    <w:rsid w:val="002C3FC6"/>
    <w:rsid w:val="002C5BBC"/>
    <w:rsid w:val="002E0552"/>
    <w:rsid w:val="00302DAB"/>
    <w:rsid w:val="003052C4"/>
    <w:rsid w:val="00314DC6"/>
    <w:rsid w:val="00316ABE"/>
    <w:rsid w:val="00317157"/>
    <w:rsid w:val="00321B9F"/>
    <w:rsid w:val="003258CD"/>
    <w:rsid w:val="003333A4"/>
    <w:rsid w:val="00334BD9"/>
    <w:rsid w:val="00336419"/>
    <w:rsid w:val="00340403"/>
    <w:rsid w:val="003466C9"/>
    <w:rsid w:val="00346939"/>
    <w:rsid w:val="0035229E"/>
    <w:rsid w:val="00355C14"/>
    <w:rsid w:val="0036120E"/>
    <w:rsid w:val="00361A7D"/>
    <w:rsid w:val="003620AD"/>
    <w:rsid w:val="00362309"/>
    <w:rsid w:val="00371645"/>
    <w:rsid w:val="00383493"/>
    <w:rsid w:val="00383682"/>
    <w:rsid w:val="003A002C"/>
    <w:rsid w:val="003A1B5E"/>
    <w:rsid w:val="003B7D12"/>
    <w:rsid w:val="003C0543"/>
    <w:rsid w:val="003C31D3"/>
    <w:rsid w:val="003D383E"/>
    <w:rsid w:val="003D58F6"/>
    <w:rsid w:val="003E20F2"/>
    <w:rsid w:val="003E2140"/>
    <w:rsid w:val="003F0A86"/>
    <w:rsid w:val="003F0B40"/>
    <w:rsid w:val="003F5110"/>
    <w:rsid w:val="00403547"/>
    <w:rsid w:val="00412B9A"/>
    <w:rsid w:val="00412BEB"/>
    <w:rsid w:val="00412DDB"/>
    <w:rsid w:val="00416797"/>
    <w:rsid w:val="00420E48"/>
    <w:rsid w:val="0043417D"/>
    <w:rsid w:val="0043716A"/>
    <w:rsid w:val="00450E07"/>
    <w:rsid w:val="00454607"/>
    <w:rsid w:val="00465FA1"/>
    <w:rsid w:val="00475A21"/>
    <w:rsid w:val="00482670"/>
    <w:rsid w:val="00486687"/>
    <w:rsid w:val="004870D6"/>
    <w:rsid w:val="00493406"/>
    <w:rsid w:val="00493C75"/>
    <w:rsid w:val="0049400F"/>
    <w:rsid w:val="00495E10"/>
    <w:rsid w:val="00497127"/>
    <w:rsid w:val="004A06B5"/>
    <w:rsid w:val="004A0C04"/>
    <w:rsid w:val="004A32B9"/>
    <w:rsid w:val="004B3C1D"/>
    <w:rsid w:val="004C0AF4"/>
    <w:rsid w:val="004C3450"/>
    <w:rsid w:val="004D3939"/>
    <w:rsid w:val="004D4ADA"/>
    <w:rsid w:val="004D50E3"/>
    <w:rsid w:val="004E0278"/>
    <w:rsid w:val="004E0305"/>
    <w:rsid w:val="004E096F"/>
    <w:rsid w:val="004E3F3B"/>
    <w:rsid w:val="004E4BEA"/>
    <w:rsid w:val="004E7F48"/>
    <w:rsid w:val="004F5C3B"/>
    <w:rsid w:val="00503937"/>
    <w:rsid w:val="00503972"/>
    <w:rsid w:val="00506600"/>
    <w:rsid w:val="0050779D"/>
    <w:rsid w:val="00521244"/>
    <w:rsid w:val="00530614"/>
    <w:rsid w:val="00532463"/>
    <w:rsid w:val="00533C75"/>
    <w:rsid w:val="0053401B"/>
    <w:rsid w:val="00536D0F"/>
    <w:rsid w:val="00547D7B"/>
    <w:rsid w:val="00564E3F"/>
    <w:rsid w:val="00570AA7"/>
    <w:rsid w:val="00580C80"/>
    <w:rsid w:val="0058758B"/>
    <w:rsid w:val="00587FE4"/>
    <w:rsid w:val="005C0EB0"/>
    <w:rsid w:val="005C4F82"/>
    <w:rsid w:val="005D5282"/>
    <w:rsid w:val="005D542C"/>
    <w:rsid w:val="005D76D1"/>
    <w:rsid w:val="005E4F61"/>
    <w:rsid w:val="005F1A75"/>
    <w:rsid w:val="00602D1D"/>
    <w:rsid w:val="006034D0"/>
    <w:rsid w:val="00605A85"/>
    <w:rsid w:val="00606DEA"/>
    <w:rsid w:val="0061478C"/>
    <w:rsid w:val="006261C4"/>
    <w:rsid w:val="00631271"/>
    <w:rsid w:val="00634A62"/>
    <w:rsid w:val="00635A8C"/>
    <w:rsid w:val="00646765"/>
    <w:rsid w:val="00646866"/>
    <w:rsid w:val="006523C2"/>
    <w:rsid w:val="00654E43"/>
    <w:rsid w:val="0066079B"/>
    <w:rsid w:val="00661C39"/>
    <w:rsid w:val="006628B2"/>
    <w:rsid w:val="0067666C"/>
    <w:rsid w:val="00676F26"/>
    <w:rsid w:val="0068220D"/>
    <w:rsid w:val="00693BF5"/>
    <w:rsid w:val="00696FB9"/>
    <w:rsid w:val="006B00D9"/>
    <w:rsid w:val="006B47EF"/>
    <w:rsid w:val="006B54F1"/>
    <w:rsid w:val="006B7101"/>
    <w:rsid w:val="006C6B1E"/>
    <w:rsid w:val="006C6DA9"/>
    <w:rsid w:val="006D07BF"/>
    <w:rsid w:val="006E1D40"/>
    <w:rsid w:val="006F223C"/>
    <w:rsid w:val="006F4021"/>
    <w:rsid w:val="007015A1"/>
    <w:rsid w:val="00713FBC"/>
    <w:rsid w:val="00721C55"/>
    <w:rsid w:val="007227E9"/>
    <w:rsid w:val="00723E7D"/>
    <w:rsid w:val="00724DCB"/>
    <w:rsid w:val="0072513D"/>
    <w:rsid w:val="00725B4B"/>
    <w:rsid w:val="00730A30"/>
    <w:rsid w:val="00732354"/>
    <w:rsid w:val="00732511"/>
    <w:rsid w:val="007331BF"/>
    <w:rsid w:val="00744408"/>
    <w:rsid w:val="00746A20"/>
    <w:rsid w:val="00750AE3"/>
    <w:rsid w:val="00751EBC"/>
    <w:rsid w:val="0075302F"/>
    <w:rsid w:val="00753F43"/>
    <w:rsid w:val="00756ECE"/>
    <w:rsid w:val="00760784"/>
    <w:rsid w:val="00761E85"/>
    <w:rsid w:val="00763673"/>
    <w:rsid w:val="007755C8"/>
    <w:rsid w:val="00776F97"/>
    <w:rsid w:val="0078166A"/>
    <w:rsid w:val="00782AC6"/>
    <w:rsid w:val="00786FC3"/>
    <w:rsid w:val="00790DBC"/>
    <w:rsid w:val="0079163F"/>
    <w:rsid w:val="00791A7F"/>
    <w:rsid w:val="00793420"/>
    <w:rsid w:val="007A2434"/>
    <w:rsid w:val="007A27A9"/>
    <w:rsid w:val="007A3CB1"/>
    <w:rsid w:val="007A4797"/>
    <w:rsid w:val="007B043B"/>
    <w:rsid w:val="007B0C3A"/>
    <w:rsid w:val="007B1BC6"/>
    <w:rsid w:val="007B27A5"/>
    <w:rsid w:val="007B56C1"/>
    <w:rsid w:val="007B61A9"/>
    <w:rsid w:val="007B686C"/>
    <w:rsid w:val="007B7766"/>
    <w:rsid w:val="007C0FD4"/>
    <w:rsid w:val="007C2EEB"/>
    <w:rsid w:val="007E0F7C"/>
    <w:rsid w:val="007E4801"/>
    <w:rsid w:val="007E5D97"/>
    <w:rsid w:val="007F0FF7"/>
    <w:rsid w:val="007F27ED"/>
    <w:rsid w:val="008100C0"/>
    <w:rsid w:val="008133FC"/>
    <w:rsid w:val="00820FC5"/>
    <w:rsid w:val="008210A7"/>
    <w:rsid w:val="00832BE9"/>
    <w:rsid w:val="0083501B"/>
    <w:rsid w:val="00836A4A"/>
    <w:rsid w:val="0083708A"/>
    <w:rsid w:val="00843F3C"/>
    <w:rsid w:val="00845818"/>
    <w:rsid w:val="00847D13"/>
    <w:rsid w:val="00855093"/>
    <w:rsid w:val="00856B5F"/>
    <w:rsid w:val="00861290"/>
    <w:rsid w:val="008631BF"/>
    <w:rsid w:val="0086690A"/>
    <w:rsid w:val="00872AEA"/>
    <w:rsid w:val="00872C42"/>
    <w:rsid w:val="008746F2"/>
    <w:rsid w:val="00880C2B"/>
    <w:rsid w:val="00880CB5"/>
    <w:rsid w:val="008857F5"/>
    <w:rsid w:val="008866CA"/>
    <w:rsid w:val="00887387"/>
    <w:rsid w:val="008922E6"/>
    <w:rsid w:val="008975DC"/>
    <w:rsid w:val="008A1D60"/>
    <w:rsid w:val="008A29A1"/>
    <w:rsid w:val="008A39E4"/>
    <w:rsid w:val="008B0977"/>
    <w:rsid w:val="008B09D9"/>
    <w:rsid w:val="008B14C3"/>
    <w:rsid w:val="008B7483"/>
    <w:rsid w:val="008C1E3F"/>
    <w:rsid w:val="008C28B3"/>
    <w:rsid w:val="008C2C15"/>
    <w:rsid w:val="008C6DAD"/>
    <w:rsid w:val="008D7DB1"/>
    <w:rsid w:val="008E2664"/>
    <w:rsid w:val="008E7210"/>
    <w:rsid w:val="008F03C2"/>
    <w:rsid w:val="008F325F"/>
    <w:rsid w:val="00904A42"/>
    <w:rsid w:val="009065D5"/>
    <w:rsid w:val="00914DFB"/>
    <w:rsid w:val="00915EDE"/>
    <w:rsid w:val="00917248"/>
    <w:rsid w:val="0092684D"/>
    <w:rsid w:val="0092747B"/>
    <w:rsid w:val="009332C8"/>
    <w:rsid w:val="009332E7"/>
    <w:rsid w:val="00935985"/>
    <w:rsid w:val="00936DAC"/>
    <w:rsid w:val="009448B4"/>
    <w:rsid w:val="00950067"/>
    <w:rsid w:val="00950BB0"/>
    <w:rsid w:val="00950F5D"/>
    <w:rsid w:val="00955C6D"/>
    <w:rsid w:val="00956B7E"/>
    <w:rsid w:val="009570F7"/>
    <w:rsid w:val="009660F0"/>
    <w:rsid w:val="009676E8"/>
    <w:rsid w:val="00967750"/>
    <w:rsid w:val="009703C4"/>
    <w:rsid w:val="009803D9"/>
    <w:rsid w:val="00991B17"/>
    <w:rsid w:val="0099212A"/>
    <w:rsid w:val="00996625"/>
    <w:rsid w:val="009A2545"/>
    <w:rsid w:val="009C1BDB"/>
    <w:rsid w:val="009C3D71"/>
    <w:rsid w:val="009D1471"/>
    <w:rsid w:val="009D54A0"/>
    <w:rsid w:val="009D6D4D"/>
    <w:rsid w:val="009F24E8"/>
    <w:rsid w:val="009F3392"/>
    <w:rsid w:val="009F436A"/>
    <w:rsid w:val="009F5FA8"/>
    <w:rsid w:val="00A016FA"/>
    <w:rsid w:val="00A07328"/>
    <w:rsid w:val="00A130FE"/>
    <w:rsid w:val="00A22E20"/>
    <w:rsid w:val="00A33950"/>
    <w:rsid w:val="00A34B11"/>
    <w:rsid w:val="00A3609B"/>
    <w:rsid w:val="00A455C6"/>
    <w:rsid w:val="00A46F62"/>
    <w:rsid w:val="00A60CFC"/>
    <w:rsid w:val="00A673E3"/>
    <w:rsid w:val="00A700D1"/>
    <w:rsid w:val="00A72574"/>
    <w:rsid w:val="00A743A1"/>
    <w:rsid w:val="00A8031B"/>
    <w:rsid w:val="00A87AEE"/>
    <w:rsid w:val="00A95804"/>
    <w:rsid w:val="00A95FF9"/>
    <w:rsid w:val="00AA2AF7"/>
    <w:rsid w:val="00AA3787"/>
    <w:rsid w:val="00AA4565"/>
    <w:rsid w:val="00AB24EC"/>
    <w:rsid w:val="00AB3575"/>
    <w:rsid w:val="00AB6BCB"/>
    <w:rsid w:val="00AB6F72"/>
    <w:rsid w:val="00AC50CC"/>
    <w:rsid w:val="00AD4060"/>
    <w:rsid w:val="00AD6CB2"/>
    <w:rsid w:val="00AE3294"/>
    <w:rsid w:val="00AE6E37"/>
    <w:rsid w:val="00B0398A"/>
    <w:rsid w:val="00B06DE5"/>
    <w:rsid w:val="00B06F61"/>
    <w:rsid w:val="00B125B2"/>
    <w:rsid w:val="00B1478E"/>
    <w:rsid w:val="00B3292B"/>
    <w:rsid w:val="00B378AB"/>
    <w:rsid w:val="00B50B88"/>
    <w:rsid w:val="00B524AB"/>
    <w:rsid w:val="00B54B04"/>
    <w:rsid w:val="00B57BAD"/>
    <w:rsid w:val="00B64B44"/>
    <w:rsid w:val="00B70C88"/>
    <w:rsid w:val="00B7410F"/>
    <w:rsid w:val="00B9077A"/>
    <w:rsid w:val="00B9743A"/>
    <w:rsid w:val="00BA357C"/>
    <w:rsid w:val="00BA5615"/>
    <w:rsid w:val="00BB1E71"/>
    <w:rsid w:val="00BB4848"/>
    <w:rsid w:val="00BB6889"/>
    <w:rsid w:val="00BC1078"/>
    <w:rsid w:val="00BC3731"/>
    <w:rsid w:val="00BC411E"/>
    <w:rsid w:val="00BC4174"/>
    <w:rsid w:val="00BC7D6A"/>
    <w:rsid w:val="00BD0FFC"/>
    <w:rsid w:val="00BD4D69"/>
    <w:rsid w:val="00BD7088"/>
    <w:rsid w:val="00BE6E3F"/>
    <w:rsid w:val="00BE74D4"/>
    <w:rsid w:val="00BF00E3"/>
    <w:rsid w:val="00BF5D87"/>
    <w:rsid w:val="00BF7D66"/>
    <w:rsid w:val="00C1096D"/>
    <w:rsid w:val="00C1191A"/>
    <w:rsid w:val="00C1725D"/>
    <w:rsid w:val="00C22EAC"/>
    <w:rsid w:val="00C23F17"/>
    <w:rsid w:val="00C255D0"/>
    <w:rsid w:val="00C27B7F"/>
    <w:rsid w:val="00C32A6A"/>
    <w:rsid w:val="00C4379D"/>
    <w:rsid w:val="00C439EC"/>
    <w:rsid w:val="00C44915"/>
    <w:rsid w:val="00C44C47"/>
    <w:rsid w:val="00C44F84"/>
    <w:rsid w:val="00C45226"/>
    <w:rsid w:val="00C50623"/>
    <w:rsid w:val="00C520C6"/>
    <w:rsid w:val="00C55907"/>
    <w:rsid w:val="00C57B6B"/>
    <w:rsid w:val="00C654D1"/>
    <w:rsid w:val="00C658F4"/>
    <w:rsid w:val="00C67DD4"/>
    <w:rsid w:val="00C7103E"/>
    <w:rsid w:val="00C73F9D"/>
    <w:rsid w:val="00C848C4"/>
    <w:rsid w:val="00C85687"/>
    <w:rsid w:val="00C85C6D"/>
    <w:rsid w:val="00C9511C"/>
    <w:rsid w:val="00CA3AFB"/>
    <w:rsid w:val="00CA72EE"/>
    <w:rsid w:val="00CB09E5"/>
    <w:rsid w:val="00CB45EE"/>
    <w:rsid w:val="00CB4E21"/>
    <w:rsid w:val="00CC40B9"/>
    <w:rsid w:val="00CD6E04"/>
    <w:rsid w:val="00CD795F"/>
    <w:rsid w:val="00CD7C03"/>
    <w:rsid w:val="00CF2210"/>
    <w:rsid w:val="00CF3927"/>
    <w:rsid w:val="00D00F3E"/>
    <w:rsid w:val="00D02FC3"/>
    <w:rsid w:val="00D05056"/>
    <w:rsid w:val="00D064A0"/>
    <w:rsid w:val="00D06B5E"/>
    <w:rsid w:val="00D12EBD"/>
    <w:rsid w:val="00D14662"/>
    <w:rsid w:val="00D16D6D"/>
    <w:rsid w:val="00D30998"/>
    <w:rsid w:val="00D31F13"/>
    <w:rsid w:val="00D32F0E"/>
    <w:rsid w:val="00D33D1B"/>
    <w:rsid w:val="00D36069"/>
    <w:rsid w:val="00D4552F"/>
    <w:rsid w:val="00D479A2"/>
    <w:rsid w:val="00D5124C"/>
    <w:rsid w:val="00D53080"/>
    <w:rsid w:val="00D555A8"/>
    <w:rsid w:val="00D8165E"/>
    <w:rsid w:val="00D81CF7"/>
    <w:rsid w:val="00D847D6"/>
    <w:rsid w:val="00D857E4"/>
    <w:rsid w:val="00D85923"/>
    <w:rsid w:val="00D87022"/>
    <w:rsid w:val="00D904ED"/>
    <w:rsid w:val="00D94043"/>
    <w:rsid w:val="00DA02E2"/>
    <w:rsid w:val="00DA0B08"/>
    <w:rsid w:val="00DA3121"/>
    <w:rsid w:val="00DA3B1B"/>
    <w:rsid w:val="00DA7F18"/>
    <w:rsid w:val="00DB62FB"/>
    <w:rsid w:val="00DD021A"/>
    <w:rsid w:val="00DD7AA8"/>
    <w:rsid w:val="00DE1154"/>
    <w:rsid w:val="00DE19AF"/>
    <w:rsid w:val="00DE36BB"/>
    <w:rsid w:val="00DF1041"/>
    <w:rsid w:val="00DF642B"/>
    <w:rsid w:val="00DF6B22"/>
    <w:rsid w:val="00E1708C"/>
    <w:rsid w:val="00E17482"/>
    <w:rsid w:val="00E20FBF"/>
    <w:rsid w:val="00E21F28"/>
    <w:rsid w:val="00E22D8D"/>
    <w:rsid w:val="00E26D45"/>
    <w:rsid w:val="00E340D6"/>
    <w:rsid w:val="00E35E35"/>
    <w:rsid w:val="00E3744B"/>
    <w:rsid w:val="00E42E3E"/>
    <w:rsid w:val="00E42EA8"/>
    <w:rsid w:val="00E433BE"/>
    <w:rsid w:val="00E43E2E"/>
    <w:rsid w:val="00E4474A"/>
    <w:rsid w:val="00E476F3"/>
    <w:rsid w:val="00E525BF"/>
    <w:rsid w:val="00E55F01"/>
    <w:rsid w:val="00E56E1F"/>
    <w:rsid w:val="00E57A08"/>
    <w:rsid w:val="00E57A86"/>
    <w:rsid w:val="00E57D6B"/>
    <w:rsid w:val="00E6040D"/>
    <w:rsid w:val="00E605C0"/>
    <w:rsid w:val="00E613C3"/>
    <w:rsid w:val="00E6482A"/>
    <w:rsid w:val="00E65D39"/>
    <w:rsid w:val="00E66BAF"/>
    <w:rsid w:val="00E66DCD"/>
    <w:rsid w:val="00E66EC3"/>
    <w:rsid w:val="00E675C6"/>
    <w:rsid w:val="00E70918"/>
    <w:rsid w:val="00E717A6"/>
    <w:rsid w:val="00E728E9"/>
    <w:rsid w:val="00E81423"/>
    <w:rsid w:val="00E835DB"/>
    <w:rsid w:val="00E849FD"/>
    <w:rsid w:val="00E9402C"/>
    <w:rsid w:val="00EA21A5"/>
    <w:rsid w:val="00EA3146"/>
    <w:rsid w:val="00EA3251"/>
    <w:rsid w:val="00EA5AA3"/>
    <w:rsid w:val="00EA61F0"/>
    <w:rsid w:val="00EB07D5"/>
    <w:rsid w:val="00EB0B8C"/>
    <w:rsid w:val="00EB2DF6"/>
    <w:rsid w:val="00EB3285"/>
    <w:rsid w:val="00EC7946"/>
    <w:rsid w:val="00ED17B6"/>
    <w:rsid w:val="00ED340F"/>
    <w:rsid w:val="00ED5DBD"/>
    <w:rsid w:val="00ED66FF"/>
    <w:rsid w:val="00EE0AA7"/>
    <w:rsid w:val="00EE0AF0"/>
    <w:rsid w:val="00EE28DD"/>
    <w:rsid w:val="00EE634A"/>
    <w:rsid w:val="00EF6058"/>
    <w:rsid w:val="00EF7C27"/>
    <w:rsid w:val="00F011ED"/>
    <w:rsid w:val="00F015A5"/>
    <w:rsid w:val="00F06E11"/>
    <w:rsid w:val="00F12367"/>
    <w:rsid w:val="00F160B5"/>
    <w:rsid w:val="00F171F2"/>
    <w:rsid w:val="00F202ED"/>
    <w:rsid w:val="00F227EC"/>
    <w:rsid w:val="00F409D2"/>
    <w:rsid w:val="00F446FE"/>
    <w:rsid w:val="00F515B8"/>
    <w:rsid w:val="00F606B3"/>
    <w:rsid w:val="00F651AB"/>
    <w:rsid w:val="00F7146E"/>
    <w:rsid w:val="00F729D9"/>
    <w:rsid w:val="00F73F8A"/>
    <w:rsid w:val="00F778CE"/>
    <w:rsid w:val="00F81E60"/>
    <w:rsid w:val="00F82604"/>
    <w:rsid w:val="00F94010"/>
    <w:rsid w:val="00F951AD"/>
    <w:rsid w:val="00F96AC3"/>
    <w:rsid w:val="00FA0D94"/>
    <w:rsid w:val="00FA6325"/>
    <w:rsid w:val="00FA76CB"/>
    <w:rsid w:val="00FB4921"/>
    <w:rsid w:val="00FB7925"/>
    <w:rsid w:val="00FC0E50"/>
    <w:rsid w:val="00FD12ED"/>
    <w:rsid w:val="00FD7A49"/>
    <w:rsid w:val="00FE278E"/>
    <w:rsid w:val="00FE2CE0"/>
    <w:rsid w:val="00FE612C"/>
    <w:rsid w:val="00FF74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2F377CD-7F31-4F2D-B1ED-D6A707C84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D66FF"/>
    <w:pPr>
      <w:widowControl w:val="0"/>
      <w:spacing w:line="500" w:lineRule="exact"/>
      <w:ind w:leftChars="200" w:left="566" w:firstLineChars="200" w:firstLine="566"/>
      <w:jc w:val="both"/>
    </w:pPr>
    <w:rPr>
      <w:rFonts w:eastAsia="標楷體"/>
      <w:snapToGrid w:val="0"/>
      <w:kern w:val="2"/>
      <w:sz w:val="28"/>
      <w:szCs w:val="24"/>
    </w:rPr>
  </w:style>
  <w:style w:type="paragraph" w:styleId="1">
    <w:name w:val="heading 1"/>
    <w:basedOn w:val="a"/>
    <w:next w:val="a"/>
    <w:link w:val="10"/>
    <w:uiPriority w:val="9"/>
    <w:qFormat/>
    <w:rsid w:val="00967750"/>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140"/>
    <w:rsid w:val="00E55F01"/>
    <w:pPr>
      <w:ind w:left="567" w:hanging="567"/>
      <w:outlineLvl w:val="0"/>
    </w:p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F015A5"/>
    <w:pPr>
      <w:ind w:leftChars="198" w:left="686" w:hangingChars="44" w:hanging="125"/>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0">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rsid w:val="00F015A5"/>
  </w:style>
  <w:style w:type="paragraph" w:styleId="11">
    <w:name w:val="toc 1"/>
    <w:basedOn w:val="a"/>
    <w:next w:val="a"/>
    <w:autoRedefine/>
    <w:uiPriority w:val="39"/>
    <w:rsid w:val="007755C8"/>
    <w:pPr>
      <w:tabs>
        <w:tab w:val="right" w:leader="hyphen" w:pos="8490"/>
      </w:tabs>
      <w:ind w:leftChars="0" w:hangingChars="200" w:hanging="200"/>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967750"/>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967750"/>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967750"/>
    <w:rPr>
      <w:color w:val="0563C1"/>
      <w:u w:val="single"/>
    </w:rPr>
  </w:style>
  <w:style w:type="character" w:styleId="af9">
    <w:name w:val="page number"/>
    <w:rsid w:val="00F015A5"/>
  </w:style>
  <w:style w:type="paragraph" w:customStyle="1" w:styleId="225">
    <w:name w:val="樣式 (一)下內文縮2 + 第一行:  2.5 字元"/>
    <w:basedOn w:val="2"/>
    <w:rsid w:val="008100C0"/>
    <w:pPr>
      <w:ind w:firstLineChars="250" w:firstLine="708"/>
    </w:pPr>
    <w:rPr>
      <w:rFonts w:cs="新細明體"/>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002E2-77EE-497C-BA3C-94EE7DDA2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8</Pages>
  <Words>460</Words>
  <Characters>2624</Characters>
  <Application>Microsoft Office Word</Application>
  <DocSecurity>0</DocSecurity>
  <Lines>21</Lines>
  <Paragraphs>6</Paragraphs>
  <ScaleCrop>false</ScaleCrop>
  <Company>HOME</Company>
  <LinksUpToDate>false</LinksUpToDate>
  <CharactersWithSpaces>3078</CharactersWithSpaces>
  <SharedDoc>false</SharedDoc>
  <HLinks>
    <vt:vector size="24" baseType="variant">
      <vt:variant>
        <vt:i4>1310774</vt:i4>
      </vt:variant>
      <vt:variant>
        <vt:i4>20</vt:i4>
      </vt:variant>
      <vt:variant>
        <vt:i4>0</vt:i4>
      </vt:variant>
      <vt:variant>
        <vt:i4>5</vt:i4>
      </vt:variant>
      <vt:variant>
        <vt:lpwstr/>
      </vt:variant>
      <vt:variant>
        <vt:lpwstr>_Toc163571317</vt:lpwstr>
      </vt:variant>
      <vt:variant>
        <vt:i4>1310774</vt:i4>
      </vt:variant>
      <vt:variant>
        <vt:i4>14</vt:i4>
      </vt:variant>
      <vt:variant>
        <vt:i4>0</vt:i4>
      </vt:variant>
      <vt:variant>
        <vt:i4>5</vt:i4>
      </vt:variant>
      <vt:variant>
        <vt:lpwstr/>
      </vt:variant>
      <vt:variant>
        <vt:lpwstr>_Toc163571316</vt:lpwstr>
      </vt:variant>
      <vt:variant>
        <vt:i4>1310774</vt:i4>
      </vt:variant>
      <vt:variant>
        <vt:i4>8</vt:i4>
      </vt:variant>
      <vt:variant>
        <vt:i4>0</vt:i4>
      </vt:variant>
      <vt:variant>
        <vt:i4>5</vt:i4>
      </vt:variant>
      <vt:variant>
        <vt:lpwstr/>
      </vt:variant>
      <vt:variant>
        <vt:lpwstr>_Toc163571315</vt:lpwstr>
      </vt:variant>
      <vt:variant>
        <vt:i4>1310774</vt:i4>
      </vt:variant>
      <vt:variant>
        <vt:i4>2</vt:i4>
      </vt:variant>
      <vt:variant>
        <vt:i4>0</vt:i4>
      </vt:variant>
      <vt:variant>
        <vt:i4>5</vt:i4>
      </vt:variant>
      <vt:variant>
        <vt:lpwstr/>
      </vt:variant>
      <vt:variant>
        <vt:lpwstr>_Toc163571314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2024-04-09T01:27:00Z</cp:lastPrinted>
  <dcterms:created xsi:type="dcterms:W3CDTF">2024-04-10T04:03:00Z</dcterms:created>
  <dcterms:modified xsi:type="dcterms:W3CDTF">2024-04-10T04:03:00Z</dcterms:modified>
</cp:coreProperties>
</file>