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F227EC" w:rsidRDefault="002231E6" w:rsidP="00ED66FF">
      <w:pPr>
        <w:adjustRightInd w:val="0"/>
        <w:ind w:leftChars="0" w:left="0" w:firstLineChars="0" w:firstLine="0"/>
        <w:rPr>
          <w:rFonts w:ascii="標楷體" w:hAnsi="標楷體"/>
          <w:b/>
          <w:color w:val="000000"/>
          <w:sz w:val="36"/>
          <w:szCs w:val="28"/>
        </w:rPr>
      </w:pPr>
      <w:bookmarkStart w:id="0" w:name="_Toc384304726"/>
      <w:r w:rsidRPr="002231E6">
        <w:rPr>
          <w:rFonts w:ascii="標楷體" w:hAnsi="標楷體" w:hint="eastAsia"/>
          <w:b/>
          <w:color w:val="000000"/>
          <w:sz w:val="36"/>
          <w:szCs w:val="28"/>
        </w:rPr>
        <w:t>國軍退除役官兵輔導委員會主管非營業基金111年度決算評估報告</w:t>
      </w:r>
    </w:p>
    <w:p w:rsidR="00E55F01" w:rsidRPr="00E55F01" w:rsidRDefault="00E55F01" w:rsidP="00E55F01">
      <w:pPr>
        <w:pStyle w:val="14"/>
        <w:rPr>
          <w:rFonts w:hint="eastAsia"/>
        </w:rPr>
      </w:pPr>
      <w:bookmarkStart w:id="1" w:name="_Toc87348622"/>
      <w:bookmarkStart w:id="2" w:name="_Toc163034953"/>
      <w:bookmarkStart w:id="3" w:name="_Toc163571317"/>
      <w:bookmarkEnd w:id="0"/>
      <w:r w:rsidRPr="00E55F01">
        <w:rPr>
          <w:rFonts w:hint="eastAsia"/>
        </w:rPr>
        <w:t>四、</w:t>
      </w:r>
      <w:bookmarkStart w:id="4" w:name="_Toc55459478"/>
      <w:r w:rsidRPr="00E55F01">
        <w:rPr>
          <w:rFonts w:hint="eastAsia"/>
        </w:rPr>
        <w:t>1</w:t>
      </w:r>
      <w:r w:rsidRPr="00E55F01">
        <w:t>11年度</w:t>
      </w:r>
      <w:r w:rsidRPr="00E55F01">
        <w:rPr>
          <w:rFonts w:hint="eastAsia"/>
        </w:rPr>
        <w:t>部分醫院「全民健康保險急性後期整合照護計畫」辦理結果占床率多呈下降，且占床率未及5</w:t>
      </w:r>
      <w:r w:rsidRPr="00E55F01">
        <w:t>成者達半數分院</w:t>
      </w:r>
      <w:r w:rsidRPr="00E55F01">
        <w:rPr>
          <w:rFonts w:hint="eastAsia"/>
        </w:rPr>
        <w:t>，允宜檢討原因並研謀改善</w:t>
      </w:r>
      <w:bookmarkEnd w:id="1"/>
      <w:bookmarkEnd w:id="2"/>
      <w:bookmarkEnd w:id="3"/>
      <w:bookmarkEnd w:id="4"/>
    </w:p>
    <w:p w:rsidR="00E55F01" w:rsidRPr="00E55F01" w:rsidRDefault="00E55F01" w:rsidP="00E55F01">
      <w:pPr>
        <w:rPr>
          <w:rFonts w:ascii="標楷體" w:hint="eastAsia"/>
          <w:snapToGrid/>
          <w:szCs w:val="28"/>
        </w:rPr>
      </w:pPr>
      <w:r w:rsidRPr="00E55F01">
        <w:rPr>
          <w:rFonts w:ascii="標楷體" w:hint="eastAsia"/>
          <w:snapToGrid/>
          <w:szCs w:val="28"/>
        </w:rPr>
        <w:t>榮民醫療作業基金111年度於「業務收入」科目之「其他業務收入」編列「其他補助收入」預算數26億63萬9千元，決算數2</w:t>
      </w:r>
      <w:r w:rsidRPr="00E55F01">
        <w:rPr>
          <w:rFonts w:ascii="標楷體"/>
          <w:snapToGrid/>
          <w:szCs w:val="28"/>
        </w:rPr>
        <w:t>6億</w:t>
      </w:r>
      <w:r w:rsidRPr="00E55F01">
        <w:rPr>
          <w:rFonts w:ascii="標楷體" w:hint="eastAsia"/>
          <w:snapToGrid/>
          <w:szCs w:val="28"/>
        </w:rPr>
        <w:t>7,</w:t>
      </w:r>
      <w:r w:rsidRPr="00E55F01">
        <w:rPr>
          <w:rFonts w:ascii="標楷體"/>
          <w:snapToGrid/>
          <w:szCs w:val="28"/>
        </w:rPr>
        <w:t>174</w:t>
      </w:r>
      <w:r w:rsidRPr="00E55F01">
        <w:rPr>
          <w:rFonts w:ascii="標楷體" w:hint="eastAsia"/>
          <w:snapToGrid/>
          <w:szCs w:val="28"/>
        </w:rPr>
        <w:t>萬6千元，執行率1</w:t>
      </w:r>
      <w:r w:rsidRPr="00E55F01">
        <w:rPr>
          <w:rFonts w:ascii="標楷體"/>
          <w:snapToGrid/>
          <w:szCs w:val="28"/>
        </w:rPr>
        <w:t>02</w:t>
      </w:r>
      <w:r w:rsidRPr="00E55F01">
        <w:rPr>
          <w:rFonts w:ascii="標楷體" w:hint="eastAsia"/>
          <w:snapToGrid/>
          <w:szCs w:val="28"/>
        </w:rPr>
        <w:t>.</w:t>
      </w:r>
      <w:r w:rsidRPr="00E55F01">
        <w:rPr>
          <w:rFonts w:ascii="標楷體"/>
          <w:snapToGrid/>
          <w:szCs w:val="28"/>
        </w:rPr>
        <w:t>73</w:t>
      </w:r>
      <w:r w:rsidRPr="00E55F01">
        <w:rPr>
          <w:rFonts w:ascii="標楷體" w:hint="eastAsia"/>
          <w:snapToGrid/>
          <w:szCs w:val="28"/>
        </w:rPr>
        <w:t>%，其中包括由退輔會公務預算補助各醫院高齡醫學發展與照護之經費，用以辦理全民健康保險急性後期整合照護等計畫。為因應高齡榮民之照護需求，避免因各種急性疾病後復原不佳而導致失能，榮民醫療作業基金轄下各醫院陸續辦理急性後期照護相關計畫，然部分醫院占床率呈下降趨勢。經查：</w:t>
      </w:r>
    </w:p>
    <w:p w:rsidR="00E55F01" w:rsidRPr="00E55F01" w:rsidRDefault="00E55F01" w:rsidP="00E55F01">
      <w:pPr>
        <w:ind w:left="849" w:hangingChars="100" w:hanging="283"/>
        <w:rPr>
          <w:rFonts w:ascii="標楷體" w:hint="eastAsia"/>
          <w:b/>
          <w:bCs/>
          <w:szCs w:val="28"/>
        </w:rPr>
      </w:pPr>
      <w:r w:rsidRPr="00E55F01">
        <w:rPr>
          <w:rFonts w:ascii="標楷體" w:hint="eastAsia"/>
          <w:b/>
          <w:bCs/>
          <w:szCs w:val="28"/>
        </w:rPr>
        <w:t>(一)1</w:t>
      </w:r>
      <w:r w:rsidRPr="00E55F01">
        <w:rPr>
          <w:rFonts w:ascii="標楷體"/>
          <w:b/>
          <w:bCs/>
          <w:szCs w:val="28"/>
        </w:rPr>
        <w:t>11年度</w:t>
      </w:r>
      <w:r w:rsidRPr="00E55F01">
        <w:rPr>
          <w:rFonts w:ascii="標楷體" w:hint="eastAsia"/>
          <w:b/>
          <w:bCs/>
          <w:szCs w:val="28"/>
        </w:rPr>
        <w:t>高雄榮總本院病患於急性治療並經評估後轉介承作急性後期照護醫院之比率未及</w:t>
      </w:r>
      <w:r w:rsidRPr="00E55F01">
        <w:rPr>
          <w:rFonts w:ascii="標楷體"/>
          <w:b/>
          <w:bCs/>
          <w:szCs w:val="28"/>
        </w:rPr>
        <w:t>9</w:t>
      </w:r>
      <w:r w:rsidRPr="00E55F01">
        <w:rPr>
          <w:rFonts w:ascii="標楷體" w:hint="eastAsia"/>
          <w:b/>
          <w:bCs/>
          <w:szCs w:val="28"/>
        </w:rPr>
        <w:t>成，尚待研謀策進</w:t>
      </w:r>
    </w:p>
    <w:p w:rsidR="00E55F01" w:rsidRPr="00E55F01" w:rsidRDefault="00E55F01" w:rsidP="00E55F01">
      <w:pPr>
        <w:adjustRightInd w:val="0"/>
        <w:ind w:leftChars="300" w:left="850"/>
        <w:rPr>
          <w:rFonts w:ascii="標楷體" w:hAnsi="標楷體" w:hint="eastAsia"/>
          <w:snapToGrid/>
        </w:rPr>
      </w:pPr>
      <w:r w:rsidRPr="00E55F01">
        <w:rPr>
          <w:rFonts w:ascii="標楷體" w:hAnsi="標楷體" w:hint="eastAsia"/>
          <w:snapToGrid/>
        </w:rPr>
        <w:t>為因應人口老化，愈多病患於急性醫療後可能出現失能情形，將大幅造成對醫療體系、家庭及社會照顧之負擔或依賴，榮民醫療作業基金轄下各醫院於1</w:t>
      </w:r>
      <w:r w:rsidRPr="00E55F01">
        <w:rPr>
          <w:rFonts w:ascii="標楷體" w:hAnsi="標楷體"/>
          <w:snapToGrid/>
        </w:rPr>
        <w:t>07年度參與</w:t>
      </w:r>
      <w:r w:rsidRPr="00E55F01">
        <w:rPr>
          <w:rFonts w:ascii="標楷體" w:hAnsi="標楷體" w:hint="eastAsia"/>
          <w:snapToGrid/>
        </w:rPr>
        <w:t>中央健康保險署(以下簡稱健保署)「全民健康保險急性後期整合照護計畫」</w:t>
      </w:r>
      <w:r w:rsidRPr="00E55F01">
        <w:rPr>
          <w:rFonts w:ascii="標楷體" w:hAnsi="標楷體"/>
          <w:snapToGrid/>
          <w:vertAlign w:val="superscript"/>
        </w:rPr>
        <w:footnoteReference w:id="1"/>
      </w:r>
      <w:r w:rsidRPr="00E55F01">
        <w:rPr>
          <w:rFonts w:ascii="標楷體" w:hAnsi="標楷體" w:hint="eastAsia"/>
          <w:snapToGrid/>
        </w:rPr>
        <w:t>(以下簡稱</w:t>
      </w:r>
      <w:bookmarkStart w:id="5" w:name="_Hlk148604252"/>
      <w:r w:rsidRPr="00E55F01">
        <w:rPr>
          <w:rFonts w:ascii="標楷體" w:hAnsi="標楷體" w:hint="eastAsia"/>
          <w:snapToGrid/>
        </w:rPr>
        <w:t>PAC計畫</w:t>
      </w:r>
      <w:bookmarkEnd w:id="5"/>
      <w:r w:rsidRPr="00E55F01">
        <w:rPr>
          <w:rFonts w:ascii="標楷體" w:hAnsi="標楷體" w:hint="eastAsia"/>
          <w:snapToGrid/>
        </w:rPr>
        <w:t>)，由臺北、臺中及高雄榮總負責急性治療並經評估後轉介承作急性後期照護之醫院，經健保署核定之各級榮院PAC收治項目詳表1。經檢視10</w:t>
      </w:r>
      <w:r w:rsidRPr="00E55F01">
        <w:rPr>
          <w:rFonts w:ascii="標楷體" w:hAnsi="標楷體"/>
          <w:snapToGrid/>
        </w:rPr>
        <w:t>7</w:t>
      </w:r>
      <w:r w:rsidRPr="00E55F01">
        <w:rPr>
          <w:rFonts w:ascii="標楷體" w:hAnsi="標楷體" w:hint="eastAsia"/>
          <w:snapToGrid/>
        </w:rPr>
        <w:t>至11</w:t>
      </w:r>
      <w:r w:rsidRPr="00E55F01">
        <w:rPr>
          <w:rFonts w:ascii="標楷體" w:hAnsi="標楷體"/>
          <w:snapToGrid/>
        </w:rPr>
        <w:t>1</w:t>
      </w:r>
      <w:r w:rsidRPr="00E55F01">
        <w:rPr>
          <w:rFonts w:ascii="標楷體" w:hAnsi="標楷體" w:hint="eastAsia"/>
          <w:snapToGrid/>
        </w:rPr>
        <w:t>年度3家榮總本院</w:t>
      </w:r>
      <w:r w:rsidRPr="00E55F01">
        <w:rPr>
          <w:rFonts w:ascii="標楷體" w:hAnsi="標楷體" w:hint="eastAsia"/>
          <w:snapToGrid/>
        </w:rPr>
        <w:lastRenderedPageBreak/>
        <w:t>辦理PAC計畫，病患於急性治療並經評估後轉介承作急性後期照護醫院之情形，1</w:t>
      </w:r>
      <w:r w:rsidRPr="00E55F01">
        <w:rPr>
          <w:rFonts w:ascii="標楷體" w:hAnsi="標楷體"/>
          <w:snapToGrid/>
        </w:rPr>
        <w:t>11年度各榮總本院</w:t>
      </w:r>
      <w:r w:rsidRPr="00E55F01">
        <w:rPr>
          <w:rFonts w:ascii="標楷體" w:hAnsi="標楷體" w:hint="eastAsia"/>
          <w:snapToGrid/>
        </w:rPr>
        <w:t>轉介率較以往年度皆有所提升，臺北榮總本院1</w:t>
      </w:r>
      <w:r w:rsidRPr="00E55F01">
        <w:rPr>
          <w:rFonts w:ascii="標楷體" w:hAnsi="標楷體"/>
          <w:snapToGrid/>
        </w:rPr>
        <w:t>11年度轉介率亦由</w:t>
      </w:r>
      <w:r w:rsidRPr="00E55F01">
        <w:rPr>
          <w:rFonts w:ascii="標楷體" w:hAnsi="標楷體" w:hint="eastAsia"/>
          <w:snapToGrid/>
        </w:rPr>
        <w:t>1</w:t>
      </w:r>
      <w:r w:rsidRPr="00E55F01">
        <w:rPr>
          <w:rFonts w:ascii="標楷體" w:hAnsi="標楷體"/>
          <w:snapToGrid/>
        </w:rPr>
        <w:t>10年度之</w:t>
      </w:r>
      <w:r w:rsidRPr="00E55F01">
        <w:rPr>
          <w:rFonts w:ascii="標楷體" w:hAnsi="標楷體" w:hint="eastAsia"/>
          <w:snapToGrid/>
        </w:rPr>
        <w:t>7</w:t>
      </w:r>
      <w:r w:rsidRPr="00E55F01">
        <w:rPr>
          <w:rFonts w:ascii="標楷體" w:hAnsi="標楷體"/>
          <w:snapToGrid/>
        </w:rPr>
        <w:t>8.19%上升至</w:t>
      </w:r>
      <w:r w:rsidRPr="00E55F01">
        <w:rPr>
          <w:rFonts w:ascii="標楷體" w:hAnsi="標楷體" w:hint="eastAsia"/>
          <w:snapToGrid/>
        </w:rPr>
        <w:t>9</w:t>
      </w:r>
      <w:r w:rsidRPr="00E55F01">
        <w:rPr>
          <w:rFonts w:ascii="標楷體" w:hAnsi="標楷體"/>
          <w:snapToGrid/>
        </w:rPr>
        <w:t>2.81%</w:t>
      </w:r>
      <w:r w:rsidRPr="00E55F01">
        <w:rPr>
          <w:rFonts w:ascii="標楷體" w:hAnsi="標楷體" w:hint="eastAsia"/>
          <w:snapToGrid/>
        </w:rPr>
        <w:t>，惟</w:t>
      </w:r>
      <w:r w:rsidRPr="00E55F01">
        <w:rPr>
          <w:rFonts w:ascii="標楷體" w:hAnsi="標楷體"/>
          <w:snapToGrid/>
        </w:rPr>
        <w:t>高雄榮總本院之轉介率仍未及</w:t>
      </w:r>
      <w:r w:rsidRPr="00E55F01">
        <w:rPr>
          <w:rFonts w:ascii="標楷體" w:hAnsi="標楷體" w:hint="eastAsia"/>
          <w:snapToGrid/>
        </w:rPr>
        <w:t>9</w:t>
      </w:r>
      <w:r w:rsidRPr="00E55F01">
        <w:rPr>
          <w:rFonts w:ascii="標楷體" w:hAnsi="標楷體"/>
          <w:snapToGrid/>
        </w:rPr>
        <w:t>成</w:t>
      </w:r>
      <w:r w:rsidRPr="00E55F01">
        <w:rPr>
          <w:rFonts w:ascii="標楷體" w:hAnsi="標楷體"/>
          <w:snapToGrid/>
          <w:vertAlign w:val="superscript"/>
        </w:rPr>
        <w:footnoteReference w:id="2"/>
      </w:r>
      <w:r w:rsidRPr="00E55F01">
        <w:rPr>
          <w:rFonts w:ascii="標楷體" w:hAnsi="標楷體" w:hint="eastAsia"/>
          <w:snapToGrid/>
        </w:rPr>
        <w:t>(詳表2)，尚待研謀策進。</w:t>
      </w:r>
    </w:p>
    <w:p w:rsidR="00E55F01" w:rsidRPr="00E55F01" w:rsidRDefault="00E55F01" w:rsidP="008D7DB1">
      <w:pPr>
        <w:adjustRightInd w:val="0"/>
        <w:ind w:leftChars="-148" w:left="800" w:rightChars="-152" w:right="-430" w:hangingChars="430" w:hanging="1219"/>
        <w:rPr>
          <w:rFonts w:ascii="標楷體" w:hAnsi="標楷體" w:hint="eastAsia"/>
          <w:b/>
        </w:rPr>
      </w:pPr>
      <w:r w:rsidRPr="00E55F01">
        <w:rPr>
          <w:rFonts w:ascii="標楷體" w:hAnsi="標楷體" w:hint="eastAsia"/>
          <w:b/>
        </w:rPr>
        <w:t>表1  榮民醫療作業基金所屬各醫院承作健保署核定PAC計畫收治項目表</w:t>
      </w:r>
    </w:p>
    <w:tbl>
      <w:tblPr>
        <w:tblW w:w="8930"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993"/>
        <w:gridCol w:w="992"/>
        <w:gridCol w:w="1276"/>
        <w:gridCol w:w="992"/>
        <w:gridCol w:w="850"/>
        <w:gridCol w:w="1701"/>
      </w:tblGrid>
      <w:tr w:rsidR="00E55F01" w:rsidRPr="00E55F01" w:rsidTr="008D7DB1">
        <w:trPr>
          <w:tblHeader/>
        </w:trPr>
        <w:tc>
          <w:tcPr>
            <w:tcW w:w="212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醫院名稱</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腦中風</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燒燙傷</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創傷性神經損傷</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脆弱性骨折</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心臟衰竭</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衰弱高齡病患</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臺北榮總本院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桃園分院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新竹分院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蘇澳分院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員山分院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玉里分院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鳳林分院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臺東分院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臺中榮總本院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嘉義分院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灣橋分院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埔里分院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高雄榮總本院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臺南分院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屏東榮總</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bl>
    <w:p w:rsidR="00E55F01" w:rsidRPr="00E55F01" w:rsidRDefault="00E55F01" w:rsidP="008D7DB1">
      <w:pPr>
        <w:spacing w:line="280" w:lineRule="exact"/>
        <w:ind w:leftChars="-150" w:left="1" w:hangingChars="175" w:hanging="426"/>
        <w:jc w:val="left"/>
        <w:rPr>
          <w:rFonts w:ascii="標楷體" w:hint="eastAsia"/>
          <w:snapToGrid/>
          <w:sz w:val="24"/>
          <w:szCs w:val="28"/>
        </w:rPr>
      </w:pPr>
      <w:r w:rsidRPr="00E55F01">
        <w:rPr>
          <w:rFonts w:ascii="標楷體" w:hint="eastAsia"/>
          <w:snapToGrid/>
          <w:sz w:val="24"/>
          <w:szCs w:val="28"/>
        </w:rPr>
        <w:t>資料來源：榮民醫療作業基金。</w:t>
      </w:r>
    </w:p>
    <w:p w:rsidR="00E55F01" w:rsidRPr="00E55F01" w:rsidRDefault="00E55F01" w:rsidP="008D7DB1">
      <w:pPr>
        <w:widowControl/>
        <w:tabs>
          <w:tab w:val="left" w:pos="567"/>
        </w:tabs>
        <w:spacing w:beforeLines="50" w:before="250" w:line="400" w:lineRule="exact"/>
        <w:ind w:leftChars="-163" w:left="641" w:rightChars="-81" w:right="-229" w:hangingChars="389" w:hanging="1103"/>
        <w:rPr>
          <w:rFonts w:ascii="標楷體" w:hAnsi="標楷體" w:hint="eastAsia"/>
          <w:b/>
        </w:rPr>
      </w:pPr>
      <w:r w:rsidRPr="00E55F01">
        <w:rPr>
          <w:rFonts w:ascii="標楷體" w:hAnsi="標楷體" w:hint="eastAsia"/>
          <w:b/>
          <w:szCs w:val="28"/>
        </w:rPr>
        <w:t xml:space="preserve">表2  </w:t>
      </w:r>
      <w:r w:rsidRPr="00E55F01">
        <w:rPr>
          <w:rFonts w:ascii="標楷體" w:hAnsi="標楷體" w:hint="eastAsia"/>
          <w:b/>
        </w:rPr>
        <w:t>3家榮總10</w:t>
      </w:r>
      <w:r w:rsidRPr="00E55F01">
        <w:rPr>
          <w:rFonts w:ascii="標楷體" w:hAnsi="標楷體"/>
          <w:b/>
        </w:rPr>
        <w:t>7</w:t>
      </w:r>
      <w:r w:rsidRPr="00E55F01">
        <w:rPr>
          <w:rFonts w:ascii="標楷體" w:hAnsi="標楷體" w:hint="eastAsia"/>
          <w:b/>
        </w:rPr>
        <w:t>至11</w:t>
      </w:r>
      <w:r w:rsidRPr="00E55F01">
        <w:rPr>
          <w:rFonts w:ascii="標楷體" w:hAnsi="標楷體"/>
          <w:b/>
        </w:rPr>
        <w:t>1</w:t>
      </w:r>
      <w:r w:rsidRPr="00E55F01">
        <w:rPr>
          <w:rFonts w:ascii="標楷體" w:hAnsi="標楷體" w:hint="eastAsia"/>
          <w:b/>
        </w:rPr>
        <w:t>年度接受急性醫療個案轉介情形表</w:t>
      </w:r>
      <w:r w:rsidRPr="00E55F01">
        <w:rPr>
          <w:rFonts w:ascii="標楷體" w:hint="eastAsia"/>
          <w:sz w:val="24"/>
          <w:szCs w:val="28"/>
        </w:rPr>
        <w:t>單位：個；%</w:t>
      </w:r>
    </w:p>
    <w:tbl>
      <w:tblPr>
        <w:tblW w:w="8903"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54"/>
        <w:gridCol w:w="1881"/>
        <w:gridCol w:w="1011"/>
        <w:gridCol w:w="1011"/>
        <w:gridCol w:w="1012"/>
        <w:gridCol w:w="1011"/>
        <w:gridCol w:w="1011"/>
        <w:gridCol w:w="1012"/>
      </w:tblGrid>
      <w:tr w:rsidR="00E55F01" w:rsidRPr="00E55F01" w:rsidTr="008D7DB1">
        <w:trPr>
          <w:tblHeader/>
        </w:trPr>
        <w:tc>
          <w:tcPr>
            <w:tcW w:w="954"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項目</w:t>
            </w:r>
          </w:p>
        </w:tc>
        <w:tc>
          <w:tcPr>
            <w:tcW w:w="1881"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醫院名稱</w:t>
            </w:r>
          </w:p>
        </w:tc>
        <w:tc>
          <w:tcPr>
            <w:tcW w:w="1011"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107年度</w:t>
            </w:r>
          </w:p>
        </w:tc>
        <w:tc>
          <w:tcPr>
            <w:tcW w:w="1011"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108年度</w:t>
            </w:r>
          </w:p>
        </w:tc>
        <w:tc>
          <w:tcPr>
            <w:tcW w:w="1012"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2"/>
                <w:szCs w:val="22"/>
              </w:rPr>
              <w:t>109年度</w:t>
            </w:r>
          </w:p>
        </w:tc>
        <w:tc>
          <w:tcPr>
            <w:tcW w:w="1011" w:type="dxa"/>
            <w:tcBorders>
              <w:top w:val="single" w:sz="12" w:space="0" w:color="auto"/>
            </w:tcBorders>
            <w:vAlign w:val="center"/>
          </w:tcPr>
          <w:p w:rsidR="00E55F01" w:rsidRPr="00E55F01" w:rsidRDefault="00E55F01" w:rsidP="00E55F01">
            <w:pPr>
              <w:spacing w:line="280" w:lineRule="exact"/>
              <w:ind w:leftChars="0" w:left="0" w:firstLineChars="0" w:firstLine="0"/>
              <w:jc w:val="center"/>
              <w:rPr>
                <w:rFonts w:ascii="標楷體" w:hint="eastAsia"/>
                <w:b/>
                <w:bCs/>
                <w:snapToGrid/>
                <w:sz w:val="22"/>
                <w:szCs w:val="22"/>
              </w:rPr>
            </w:pPr>
            <w:r w:rsidRPr="00E55F01">
              <w:rPr>
                <w:rFonts w:ascii="標楷體" w:hint="eastAsia"/>
                <w:b/>
                <w:bCs/>
                <w:snapToGrid/>
                <w:sz w:val="24"/>
                <w:szCs w:val="28"/>
              </w:rPr>
              <w:t>11</w:t>
            </w:r>
            <w:r w:rsidRPr="00E55F01">
              <w:rPr>
                <w:rFonts w:ascii="標楷體"/>
                <w:b/>
                <w:bCs/>
                <w:snapToGrid/>
                <w:sz w:val="24"/>
                <w:szCs w:val="28"/>
              </w:rPr>
              <w:t>0</w:t>
            </w:r>
            <w:r w:rsidRPr="00E55F01">
              <w:rPr>
                <w:rFonts w:ascii="標楷體" w:hint="eastAsia"/>
                <w:b/>
                <w:bCs/>
                <w:snapToGrid/>
                <w:sz w:val="24"/>
                <w:szCs w:val="28"/>
              </w:rPr>
              <w:t>年度</w:t>
            </w:r>
          </w:p>
        </w:tc>
        <w:tc>
          <w:tcPr>
            <w:tcW w:w="1011" w:type="dxa"/>
            <w:tcBorders>
              <w:top w:val="single" w:sz="12" w:space="0" w:color="auto"/>
            </w:tcBorders>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11</w:t>
            </w:r>
            <w:r w:rsidRPr="00E55F01">
              <w:rPr>
                <w:rFonts w:ascii="標楷體"/>
                <w:b/>
                <w:bCs/>
                <w:snapToGrid/>
                <w:sz w:val="24"/>
                <w:szCs w:val="28"/>
              </w:rPr>
              <w:t>1</w:t>
            </w:r>
            <w:r w:rsidRPr="00E55F01">
              <w:rPr>
                <w:rFonts w:ascii="標楷體" w:hint="eastAsia"/>
                <w:b/>
                <w:bCs/>
                <w:snapToGrid/>
                <w:sz w:val="24"/>
                <w:szCs w:val="28"/>
              </w:rPr>
              <w:t>年度</w:t>
            </w:r>
          </w:p>
        </w:tc>
        <w:tc>
          <w:tcPr>
            <w:tcW w:w="1012"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合計</w:t>
            </w:r>
          </w:p>
        </w:tc>
      </w:tr>
      <w:tr w:rsidR="00E55F01" w:rsidRPr="00E55F01" w:rsidTr="008D7DB1">
        <w:tc>
          <w:tcPr>
            <w:tcW w:w="954" w:type="dxa"/>
            <w:vMerge w:val="restart"/>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實際轉介個案數(A)</w:t>
            </w: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304</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517</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473</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355</w:t>
            </w:r>
          </w:p>
        </w:tc>
        <w:tc>
          <w:tcPr>
            <w:tcW w:w="10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413</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2,062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229</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263</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269</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277</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302</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1,340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186</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329</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352</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345</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345</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1,557 </w:t>
            </w:r>
          </w:p>
        </w:tc>
      </w:tr>
      <w:tr w:rsidR="00E55F01" w:rsidRPr="00E55F01" w:rsidTr="008D7DB1">
        <w:tc>
          <w:tcPr>
            <w:tcW w:w="954" w:type="dxa"/>
            <w:vMerge w:val="restart"/>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合適轉介個案數(B)</w:t>
            </w: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434</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659</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610</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454</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445</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2,602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323</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301</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301</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295</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317</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1,537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254</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417</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451</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431</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399</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1,952 </w:t>
            </w:r>
          </w:p>
        </w:tc>
      </w:tr>
      <w:tr w:rsidR="00E55F01" w:rsidRPr="00E55F01" w:rsidTr="008D7DB1">
        <w:tc>
          <w:tcPr>
            <w:tcW w:w="954" w:type="dxa"/>
            <w:vMerge w:val="restart"/>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轉介率</w:t>
            </w:r>
            <w:r w:rsidRPr="00E55F01">
              <w:rPr>
                <w:rFonts w:ascii="標楷體" w:hint="eastAsia"/>
                <w:b/>
                <w:bCs/>
                <w:snapToGrid/>
                <w:sz w:val="24"/>
                <w:szCs w:val="28"/>
              </w:rPr>
              <w:lastRenderedPageBreak/>
              <w:t>(A/B)</w:t>
            </w: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lastRenderedPageBreak/>
              <w:t>臺北榮總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70.05 </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78.45</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77.54 </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78.19 </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 xml:space="preserve">92.81 </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79.25 </w:t>
            </w:r>
          </w:p>
        </w:tc>
      </w:tr>
      <w:tr w:rsidR="00E55F01" w:rsidRPr="00E55F01" w:rsidTr="008D7DB1">
        <w:tc>
          <w:tcPr>
            <w:tcW w:w="954" w:type="dxa"/>
            <w:vMerge/>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70.90 </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87</w:t>
            </w:r>
            <w:r w:rsidRPr="00E55F01">
              <w:rPr>
                <w:rFonts w:ascii="標楷體" w:hint="eastAsia"/>
                <w:snapToGrid/>
                <w:sz w:val="24"/>
              </w:rPr>
              <w:t>.38</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89.37 </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93.90 </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 xml:space="preserve">95.27 </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87.18 </w:t>
            </w:r>
          </w:p>
        </w:tc>
      </w:tr>
      <w:tr w:rsidR="00E55F01" w:rsidRPr="00E55F01" w:rsidTr="008D7DB1">
        <w:tc>
          <w:tcPr>
            <w:tcW w:w="954" w:type="dxa"/>
            <w:vMerge/>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w:t>
            </w:r>
          </w:p>
        </w:tc>
        <w:tc>
          <w:tcPr>
            <w:tcW w:w="1011"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73.23 </w:t>
            </w:r>
          </w:p>
        </w:tc>
        <w:tc>
          <w:tcPr>
            <w:tcW w:w="1011"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7</w:t>
            </w:r>
            <w:r w:rsidRPr="00E55F01">
              <w:rPr>
                <w:rFonts w:ascii="標楷體" w:hint="eastAsia"/>
                <w:snapToGrid/>
                <w:sz w:val="24"/>
              </w:rPr>
              <w:t>8.90</w:t>
            </w:r>
          </w:p>
        </w:tc>
        <w:tc>
          <w:tcPr>
            <w:tcW w:w="1012"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78.05 </w:t>
            </w:r>
          </w:p>
        </w:tc>
        <w:tc>
          <w:tcPr>
            <w:tcW w:w="1011" w:type="dxa"/>
            <w:tcBorders>
              <w:bottom w:val="single" w:sz="12" w:space="0" w:color="auto"/>
            </w:tcBorders>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80.05 </w:t>
            </w:r>
          </w:p>
        </w:tc>
        <w:tc>
          <w:tcPr>
            <w:tcW w:w="1011" w:type="dxa"/>
            <w:tcBorders>
              <w:top w:val="nil"/>
              <w:left w:val="single" w:sz="4" w:space="0" w:color="000000"/>
              <w:bottom w:val="single" w:sz="12" w:space="0" w:color="auto"/>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 xml:space="preserve">86.47 </w:t>
            </w:r>
          </w:p>
        </w:tc>
        <w:tc>
          <w:tcPr>
            <w:tcW w:w="1012"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79.76 </w:t>
            </w:r>
          </w:p>
        </w:tc>
      </w:tr>
    </w:tbl>
    <w:p w:rsidR="00E55F01" w:rsidRPr="00E55F01" w:rsidRDefault="00E55F01" w:rsidP="008D7DB1">
      <w:pPr>
        <w:spacing w:line="280" w:lineRule="exact"/>
        <w:ind w:leftChars="-143" w:left="799" w:rightChars="12" w:right="34" w:hangingChars="495" w:hanging="1204"/>
        <w:rPr>
          <w:rFonts w:hint="eastAsia"/>
          <w:snapToGrid/>
          <w:sz w:val="24"/>
          <w:szCs w:val="28"/>
        </w:rPr>
      </w:pPr>
      <w:r w:rsidRPr="00E55F01">
        <w:rPr>
          <w:rFonts w:hint="eastAsia"/>
          <w:snapToGrid/>
          <w:sz w:val="24"/>
          <w:szCs w:val="28"/>
        </w:rPr>
        <w:t>說</w:t>
      </w:r>
      <w:r w:rsidRPr="00E55F01">
        <w:rPr>
          <w:rFonts w:hint="eastAsia"/>
          <w:snapToGrid/>
          <w:sz w:val="24"/>
          <w:szCs w:val="28"/>
        </w:rPr>
        <w:t xml:space="preserve">    </w:t>
      </w:r>
      <w:r w:rsidRPr="00E55F01">
        <w:rPr>
          <w:rFonts w:hint="eastAsia"/>
          <w:snapToGrid/>
          <w:sz w:val="24"/>
          <w:szCs w:val="28"/>
        </w:rPr>
        <w:t>明：</w:t>
      </w:r>
      <w:r w:rsidRPr="00E55F01">
        <w:rPr>
          <w:rFonts w:hint="eastAsia"/>
          <w:snapToGrid/>
          <w:sz w:val="24"/>
          <w:szCs w:val="28"/>
        </w:rPr>
        <w:t>(A)</w:t>
      </w:r>
      <w:r w:rsidRPr="00E55F01">
        <w:rPr>
          <w:rFonts w:hint="eastAsia"/>
          <w:snapToGrid/>
          <w:sz w:val="24"/>
          <w:szCs w:val="28"/>
        </w:rPr>
        <w:t>係截至各年</w:t>
      </w:r>
      <w:r w:rsidRPr="00E55F01">
        <w:rPr>
          <w:rFonts w:hint="eastAsia"/>
          <w:snapToGrid/>
          <w:sz w:val="24"/>
          <w:szCs w:val="28"/>
        </w:rPr>
        <w:t>(</w:t>
      </w:r>
      <w:r w:rsidRPr="00E55F01">
        <w:rPr>
          <w:rFonts w:hint="eastAsia"/>
          <w:snapToGrid/>
          <w:sz w:val="24"/>
          <w:szCs w:val="28"/>
        </w:rPr>
        <w:t>月</w:t>
      </w:r>
      <w:r w:rsidRPr="00E55F01">
        <w:rPr>
          <w:rFonts w:hint="eastAsia"/>
          <w:snapToGrid/>
          <w:sz w:val="24"/>
          <w:szCs w:val="28"/>
        </w:rPr>
        <w:t>)</w:t>
      </w:r>
      <w:r w:rsidRPr="00E55F01">
        <w:rPr>
          <w:rFonts w:hint="eastAsia"/>
          <w:snapToGrid/>
          <w:sz w:val="24"/>
          <w:szCs w:val="28"/>
        </w:rPr>
        <w:t>底止實際轉介至</w:t>
      </w:r>
      <w:r w:rsidRPr="00E55F01">
        <w:rPr>
          <w:rFonts w:hint="eastAsia"/>
          <w:snapToGrid/>
          <w:sz w:val="24"/>
          <w:szCs w:val="28"/>
        </w:rPr>
        <w:t>PAC</w:t>
      </w:r>
      <w:r w:rsidRPr="00E55F01">
        <w:rPr>
          <w:rFonts w:hint="eastAsia"/>
          <w:snapToGrid/>
          <w:sz w:val="24"/>
          <w:szCs w:val="28"/>
        </w:rPr>
        <w:t>照護床位個案數。</w:t>
      </w:r>
      <w:r w:rsidRPr="00E55F01">
        <w:rPr>
          <w:rFonts w:hint="eastAsia"/>
          <w:snapToGrid/>
          <w:sz w:val="24"/>
          <w:szCs w:val="28"/>
        </w:rPr>
        <w:t>(B)</w:t>
      </w:r>
      <w:r w:rsidRPr="00E55F01">
        <w:rPr>
          <w:rFonts w:hint="eastAsia"/>
          <w:snapToGrid/>
          <w:sz w:val="24"/>
          <w:szCs w:val="28"/>
        </w:rPr>
        <w:t>係截至各年</w:t>
      </w:r>
      <w:r w:rsidRPr="00E55F01">
        <w:rPr>
          <w:rFonts w:hint="eastAsia"/>
          <w:snapToGrid/>
          <w:sz w:val="24"/>
          <w:szCs w:val="28"/>
        </w:rPr>
        <w:t>(</w:t>
      </w:r>
      <w:r w:rsidRPr="00E55F01">
        <w:rPr>
          <w:rFonts w:hint="eastAsia"/>
          <w:snapToGrid/>
          <w:sz w:val="24"/>
          <w:szCs w:val="28"/>
        </w:rPr>
        <w:t>月</w:t>
      </w:r>
      <w:r w:rsidRPr="00E55F01">
        <w:rPr>
          <w:rFonts w:hint="eastAsia"/>
          <w:snapToGrid/>
          <w:sz w:val="24"/>
          <w:szCs w:val="28"/>
        </w:rPr>
        <w:t>)</w:t>
      </w:r>
      <w:r w:rsidRPr="00E55F01">
        <w:rPr>
          <w:rFonts w:hint="eastAsia"/>
          <w:snapToGrid/>
          <w:sz w:val="24"/>
          <w:szCs w:val="28"/>
        </w:rPr>
        <w:t>底止個案管理師評估合適轉介</w:t>
      </w:r>
      <w:r w:rsidRPr="00E55F01">
        <w:rPr>
          <w:rFonts w:hint="eastAsia"/>
          <w:snapToGrid/>
          <w:sz w:val="24"/>
          <w:szCs w:val="28"/>
        </w:rPr>
        <w:t>PAC</w:t>
      </w:r>
      <w:r w:rsidRPr="00E55F01">
        <w:rPr>
          <w:rFonts w:hint="eastAsia"/>
          <w:snapToGrid/>
          <w:sz w:val="24"/>
          <w:szCs w:val="28"/>
        </w:rPr>
        <w:t>床位個案數。</w:t>
      </w:r>
      <w:r w:rsidRPr="00E55F01">
        <w:rPr>
          <w:rFonts w:hint="eastAsia"/>
          <w:snapToGrid/>
          <w:sz w:val="24"/>
          <w:szCs w:val="28"/>
        </w:rPr>
        <w:t>(C=A/B)</w:t>
      </w:r>
      <w:r w:rsidRPr="00E55F01">
        <w:rPr>
          <w:rFonts w:hint="eastAsia"/>
          <w:snapToGrid/>
          <w:sz w:val="24"/>
          <w:szCs w:val="28"/>
        </w:rPr>
        <w:t>係截至各年</w:t>
      </w:r>
      <w:r w:rsidRPr="00E55F01">
        <w:rPr>
          <w:rFonts w:hint="eastAsia"/>
          <w:snapToGrid/>
          <w:sz w:val="24"/>
          <w:szCs w:val="28"/>
        </w:rPr>
        <w:t>(</w:t>
      </w:r>
      <w:r w:rsidRPr="00E55F01">
        <w:rPr>
          <w:rFonts w:hint="eastAsia"/>
          <w:snapToGrid/>
          <w:sz w:val="24"/>
          <w:szCs w:val="28"/>
        </w:rPr>
        <w:t>月</w:t>
      </w:r>
      <w:r w:rsidRPr="00E55F01">
        <w:rPr>
          <w:rFonts w:hint="eastAsia"/>
          <w:snapToGrid/>
          <w:sz w:val="24"/>
          <w:szCs w:val="28"/>
        </w:rPr>
        <w:t>)</w:t>
      </w:r>
      <w:r w:rsidRPr="00E55F01">
        <w:rPr>
          <w:rFonts w:hint="eastAsia"/>
          <w:snapToGrid/>
          <w:sz w:val="24"/>
          <w:szCs w:val="28"/>
        </w:rPr>
        <w:t>底止實際轉介至</w:t>
      </w:r>
      <w:r w:rsidRPr="00E55F01">
        <w:rPr>
          <w:rFonts w:hint="eastAsia"/>
          <w:snapToGrid/>
          <w:sz w:val="24"/>
          <w:szCs w:val="28"/>
        </w:rPr>
        <w:t>PAC</w:t>
      </w:r>
      <w:r w:rsidRPr="00E55F01">
        <w:rPr>
          <w:rFonts w:hint="eastAsia"/>
          <w:snapToGrid/>
          <w:sz w:val="24"/>
          <w:szCs w:val="28"/>
        </w:rPr>
        <w:t>照護床位個案數占評估合適轉介</w:t>
      </w:r>
      <w:r w:rsidRPr="00E55F01">
        <w:rPr>
          <w:rFonts w:hint="eastAsia"/>
          <w:snapToGrid/>
          <w:sz w:val="24"/>
          <w:szCs w:val="28"/>
        </w:rPr>
        <w:t>PAC</w:t>
      </w:r>
      <w:r w:rsidRPr="00E55F01">
        <w:rPr>
          <w:rFonts w:hint="eastAsia"/>
          <w:snapToGrid/>
          <w:sz w:val="24"/>
          <w:szCs w:val="28"/>
        </w:rPr>
        <w:t>床位個案數之比率。</w:t>
      </w:r>
    </w:p>
    <w:p w:rsidR="00E55F01" w:rsidRPr="00E55F01" w:rsidRDefault="00E55F01" w:rsidP="008D7DB1">
      <w:pPr>
        <w:spacing w:line="280" w:lineRule="exact"/>
        <w:ind w:leftChars="-143" w:left="799" w:rightChars="12" w:right="34" w:hangingChars="495" w:hanging="1204"/>
        <w:jc w:val="left"/>
        <w:rPr>
          <w:rFonts w:hint="eastAsia"/>
          <w:snapToGrid/>
          <w:sz w:val="24"/>
          <w:szCs w:val="28"/>
        </w:rPr>
      </w:pPr>
      <w:r w:rsidRPr="00E55F01">
        <w:rPr>
          <w:rFonts w:hint="eastAsia"/>
          <w:snapToGrid/>
          <w:sz w:val="24"/>
          <w:szCs w:val="28"/>
        </w:rPr>
        <w:t>資料來源：榮民醫療作業基金。</w:t>
      </w:r>
    </w:p>
    <w:p w:rsidR="00E55F01" w:rsidRPr="00E55F01" w:rsidRDefault="00E55F01" w:rsidP="00E55F01">
      <w:pPr>
        <w:ind w:left="849" w:hangingChars="100" w:hanging="283"/>
        <w:rPr>
          <w:rFonts w:ascii="標楷體" w:hint="eastAsia"/>
          <w:b/>
          <w:bCs/>
          <w:szCs w:val="28"/>
        </w:rPr>
      </w:pPr>
      <w:r w:rsidRPr="00E55F01">
        <w:rPr>
          <w:rFonts w:ascii="標楷體" w:hint="eastAsia"/>
          <w:szCs w:val="28"/>
        </w:rPr>
        <w:t xml:space="preserve"> </w:t>
      </w:r>
      <w:r w:rsidRPr="00E55F01">
        <w:rPr>
          <w:rFonts w:ascii="標楷體" w:hint="eastAsia"/>
          <w:b/>
          <w:bCs/>
          <w:szCs w:val="28"/>
        </w:rPr>
        <w:t>(二)</w:t>
      </w:r>
      <w:r w:rsidRPr="00E55F01">
        <w:rPr>
          <w:rFonts w:ascii="標楷體"/>
          <w:b/>
          <w:bCs/>
          <w:szCs w:val="28"/>
        </w:rPr>
        <w:t>111年度</w:t>
      </w:r>
      <w:r w:rsidRPr="00E55F01">
        <w:rPr>
          <w:rFonts w:ascii="標楷體" w:hint="eastAsia"/>
          <w:b/>
          <w:bCs/>
          <w:szCs w:val="28"/>
        </w:rPr>
        <w:t>部分醫院PAC計畫執行結果占床率較1</w:t>
      </w:r>
      <w:r w:rsidRPr="00E55F01">
        <w:rPr>
          <w:rFonts w:ascii="標楷體"/>
          <w:b/>
          <w:bCs/>
          <w:szCs w:val="28"/>
        </w:rPr>
        <w:t>10年度下降</w:t>
      </w:r>
      <w:r w:rsidRPr="00E55F01">
        <w:rPr>
          <w:rFonts w:ascii="標楷體" w:hint="eastAsia"/>
          <w:b/>
          <w:bCs/>
          <w:szCs w:val="28"/>
        </w:rPr>
        <w:t>，其中</w:t>
      </w:r>
      <w:r w:rsidRPr="00E55F01">
        <w:rPr>
          <w:rFonts w:ascii="標楷體"/>
          <w:b/>
          <w:bCs/>
          <w:szCs w:val="28"/>
        </w:rPr>
        <w:t>部分醫院更呈</w:t>
      </w:r>
      <w:r w:rsidRPr="00E55F01">
        <w:rPr>
          <w:rFonts w:ascii="標楷體" w:hint="eastAsia"/>
          <w:b/>
          <w:bCs/>
          <w:szCs w:val="28"/>
        </w:rPr>
        <w:t>逐年下降趨勢，該年度占床率未及5</w:t>
      </w:r>
      <w:r w:rsidRPr="00E55F01">
        <w:rPr>
          <w:rFonts w:ascii="標楷體"/>
          <w:b/>
          <w:bCs/>
          <w:szCs w:val="28"/>
        </w:rPr>
        <w:t>成者有</w:t>
      </w:r>
      <w:r w:rsidRPr="00E55F01">
        <w:rPr>
          <w:rFonts w:ascii="標楷體" w:hint="eastAsia"/>
          <w:b/>
          <w:bCs/>
          <w:szCs w:val="28"/>
        </w:rPr>
        <w:t>6</w:t>
      </w:r>
      <w:r w:rsidRPr="00E55F01">
        <w:rPr>
          <w:rFonts w:ascii="標楷體"/>
          <w:b/>
          <w:bCs/>
          <w:szCs w:val="28"/>
        </w:rPr>
        <w:t>家</w:t>
      </w:r>
    </w:p>
    <w:p w:rsidR="00E55F01" w:rsidRPr="00E55F01" w:rsidRDefault="00E55F01" w:rsidP="00E55F01">
      <w:pPr>
        <w:adjustRightInd w:val="0"/>
        <w:ind w:leftChars="300" w:left="850"/>
        <w:rPr>
          <w:rFonts w:ascii="標楷體" w:hAnsi="標楷體" w:hint="eastAsia"/>
          <w:snapToGrid/>
        </w:rPr>
      </w:pPr>
      <w:r w:rsidRPr="00E55F01">
        <w:rPr>
          <w:rFonts w:ascii="標楷體" w:hAnsi="標楷體" w:hint="eastAsia"/>
          <w:snapToGrid/>
        </w:rPr>
        <w:t>退輔會配合健保署自106年7月1日起實施擴大</w:t>
      </w:r>
      <w:r w:rsidRPr="00E55F01">
        <w:rPr>
          <w:rFonts w:ascii="標楷體" w:hAnsi="標楷體"/>
          <w:snapToGrid/>
        </w:rPr>
        <w:t>PAC收案</w:t>
      </w:r>
      <w:r w:rsidRPr="00E55F01">
        <w:rPr>
          <w:rFonts w:ascii="標楷體" w:hAnsi="標楷體" w:hint="eastAsia"/>
          <w:snapToGrid/>
        </w:rPr>
        <w:t>對象，除腦中風、燒燙傷外，亦納入創傷性神經損傷、脆弱性骨折、心臟衰竭及衰弱高齡病人，並提供較優惠之給付方案，鼓勵各榮總分院積極向該署爭取加入辦理PAC計畫。據該會提供10</w:t>
      </w:r>
      <w:r w:rsidRPr="00E55F01">
        <w:rPr>
          <w:rFonts w:ascii="標楷體" w:hAnsi="標楷體"/>
          <w:snapToGrid/>
        </w:rPr>
        <w:t>7</w:t>
      </w:r>
      <w:r w:rsidRPr="00E55F01">
        <w:rPr>
          <w:rFonts w:ascii="標楷體" w:hAnsi="標楷體" w:hint="eastAsia"/>
          <w:snapToGrid/>
        </w:rPr>
        <w:t>至11</w:t>
      </w:r>
      <w:r w:rsidRPr="00E55F01">
        <w:rPr>
          <w:rFonts w:ascii="標楷體" w:hAnsi="標楷體"/>
          <w:snapToGrid/>
        </w:rPr>
        <w:t>1</w:t>
      </w:r>
      <w:r w:rsidRPr="00E55F01">
        <w:rPr>
          <w:rFonts w:ascii="標楷體" w:hAnsi="標楷體" w:hint="eastAsia"/>
          <w:snapToGrid/>
        </w:rPr>
        <w:t>年度各分院PAC病床使用情形，11</w:t>
      </w:r>
      <w:r w:rsidRPr="00E55F01">
        <w:rPr>
          <w:rFonts w:ascii="標楷體" w:hAnsi="標楷體"/>
          <w:snapToGrid/>
        </w:rPr>
        <w:t>1</w:t>
      </w:r>
      <w:r w:rsidRPr="00E55F01">
        <w:rPr>
          <w:rFonts w:ascii="標楷體" w:hAnsi="標楷體" w:hint="eastAsia"/>
          <w:snapToGrid/>
        </w:rPr>
        <w:t>年度除臺北榮總桃園分院及玉里分院外，其餘分院</w:t>
      </w:r>
      <w:r w:rsidRPr="00E55F01">
        <w:rPr>
          <w:rFonts w:ascii="標楷體" w:hAnsi="標楷體"/>
          <w:snapToGrid/>
        </w:rPr>
        <w:t>占床率皆較</w:t>
      </w:r>
      <w:r w:rsidRPr="00E55F01">
        <w:rPr>
          <w:rFonts w:ascii="標楷體" w:hAnsi="標楷體" w:hint="eastAsia"/>
          <w:snapToGrid/>
        </w:rPr>
        <w:t>1</w:t>
      </w:r>
      <w:r w:rsidRPr="00E55F01">
        <w:rPr>
          <w:rFonts w:ascii="標楷體" w:hAnsi="標楷體"/>
          <w:snapToGrid/>
        </w:rPr>
        <w:t>10年度下降</w:t>
      </w:r>
      <w:r w:rsidRPr="00E55F01">
        <w:rPr>
          <w:rFonts w:ascii="標楷體" w:hAnsi="標楷體" w:hint="eastAsia"/>
          <w:snapToGrid/>
        </w:rPr>
        <w:t>，</w:t>
      </w:r>
      <w:r w:rsidRPr="00E55F01">
        <w:rPr>
          <w:rFonts w:ascii="標楷體" w:hAnsi="標楷體"/>
          <w:snapToGrid/>
        </w:rPr>
        <w:t>其中臺北榮總</w:t>
      </w:r>
      <w:r w:rsidRPr="00E55F01">
        <w:rPr>
          <w:rFonts w:ascii="標楷體" w:hAnsi="標楷體" w:hint="eastAsia"/>
          <w:snapToGrid/>
        </w:rPr>
        <w:t>蘇澳</w:t>
      </w:r>
      <w:r w:rsidRPr="00E55F01">
        <w:rPr>
          <w:rFonts w:ascii="標楷體" w:hAnsi="標楷體"/>
          <w:snapToGrid/>
        </w:rPr>
        <w:t>分院及臺東分院自</w:t>
      </w:r>
      <w:r w:rsidRPr="00E55F01">
        <w:rPr>
          <w:rFonts w:ascii="標楷體" w:hAnsi="標楷體" w:hint="eastAsia"/>
          <w:snapToGrid/>
        </w:rPr>
        <w:t>1</w:t>
      </w:r>
      <w:r w:rsidRPr="00E55F01">
        <w:rPr>
          <w:rFonts w:ascii="標楷體" w:hAnsi="標楷體"/>
          <w:snapToGrid/>
        </w:rPr>
        <w:t>10年度起連續</w:t>
      </w:r>
      <w:r w:rsidRPr="00E55F01">
        <w:rPr>
          <w:rFonts w:ascii="標楷體" w:hAnsi="標楷體" w:hint="eastAsia"/>
          <w:snapToGrid/>
        </w:rPr>
        <w:t>2</w:t>
      </w:r>
      <w:r w:rsidRPr="00E55F01">
        <w:rPr>
          <w:rFonts w:ascii="標楷體" w:hAnsi="標楷體"/>
          <w:snapToGrid/>
        </w:rPr>
        <w:t>年下降</w:t>
      </w:r>
      <w:r w:rsidRPr="00E55F01">
        <w:rPr>
          <w:rFonts w:ascii="標楷體" w:hAnsi="標楷體" w:hint="eastAsia"/>
          <w:snapToGrid/>
        </w:rPr>
        <w:t>，</w:t>
      </w:r>
      <w:r w:rsidRPr="00E55F01">
        <w:rPr>
          <w:rFonts w:ascii="標楷體" w:hAnsi="標楷體"/>
          <w:snapToGrid/>
        </w:rPr>
        <w:t>臺中榮總埔里分院則自</w:t>
      </w:r>
      <w:r w:rsidRPr="00E55F01">
        <w:rPr>
          <w:rFonts w:ascii="標楷體" w:hAnsi="標楷體" w:hint="eastAsia"/>
          <w:snapToGrid/>
        </w:rPr>
        <w:t>1</w:t>
      </w:r>
      <w:r w:rsidRPr="00E55F01">
        <w:rPr>
          <w:rFonts w:ascii="標楷體" w:hAnsi="標楷體"/>
          <w:snapToGrid/>
        </w:rPr>
        <w:t>09年度起連續</w:t>
      </w:r>
      <w:r w:rsidRPr="00E55F01">
        <w:rPr>
          <w:rFonts w:ascii="標楷體" w:hAnsi="標楷體" w:hint="eastAsia"/>
          <w:snapToGrid/>
        </w:rPr>
        <w:t>3</w:t>
      </w:r>
      <w:r w:rsidRPr="00E55F01">
        <w:rPr>
          <w:rFonts w:ascii="標楷體" w:hAnsi="標楷體"/>
          <w:snapToGrid/>
        </w:rPr>
        <w:t>年下降</w:t>
      </w:r>
      <w:r w:rsidRPr="00E55F01">
        <w:rPr>
          <w:rFonts w:ascii="標楷體" w:hAnsi="標楷體" w:hint="eastAsia"/>
          <w:snapToGrid/>
        </w:rPr>
        <w:t>；另臺北榮總員山、蘇澳、鳳林分院及臺中榮總灣橋分院連續5</w:t>
      </w:r>
      <w:r w:rsidRPr="00E55F01">
        <w:rPr>
          <w:rFonts w:ascii="標楷體" w:hAnsi="標楷體"/>
          <w:snapToGrid/>
        </w:rPr>
        <w:t>年</w:t>
      </w:r>
      <w:r w:rsidRPr="00E55F01">
        <w:rPr>
          <w:rFonts w:ascii="標楷體" w:hAnsi="標楷體" w:hint="eastAsia"/>
          <w:snapToGrid/>
        </w:rPr>
        <w:t>占床率皆未及5成，其餘1</w:t>
      </w:r>
      <w:r w:rsidRPr="00E55F01">
        <w:rPr>
          <w:rFonts w:ascii="標楷體" w:hAnsi="標楷體"/>
          <w:snapToGrid/>
        </w:rPr>
        <w:t>11年度占床率未及</w:t>
      </w:r>
      <w:r w:rsidRPr="00E55F01">
        <w:rPr>
          <w:rFonts w:ascii="標楷體" w:hAnsi="標楷體" w:hint="eastAsia"/>
          <w:snapToGrid/>
        </w:rPr>
        <w:t>5</w:t>
      </w:r>
      <w:r w:rsidRPr="00E55F01">
        <w:rPr>
          <w:rFonts w:ascii="標楷體" w:hAnsi="標楷體"/>
          <w:snapToGrid/>
        </w:rPr>
        <w:t>成者尚有臺中榮總埔里及嘉義分院</w:t>
      </w:r>
      <w:r w:rsidRPr="00E55F01">
        <w:rPr>
          <w:rFonts w:ascii="標楷體" w:hAnsi="標楷體" w:hint="eastAsia"/>
          <w:snapToGrid/>
        </w:rPr>
        <w:t>(詳表3)。</w:t>
      </w:r>
    </w:p>
    <w:p w:rsidR="00E55F01" w:rsidRPr="00E55F01" w:rsidRDefault="00E55F01" w:rsidP="00E55F01">
      <w:pPr>
        <w:tabs>
          <w:tab w:val="left" w:pos="567"/>
        </w:tabs>
        <w:spacing w:line="400" w:lineRule="exact"/>
        <w:ind w:leftChars="0" w:left="1470" w:rightChars="12" w:right="34" w:firstLineChars="0" w:hanging="812"/>
        <w:jc w:val="left"/>
        <w:rPr>
          <w:rFonts w:ascii="標楷體" w:hAnsi="標楷體" w:hint="eastAsia"/>
          <w:snapToGrid/>
          <w:spacing w:val="-5"/>
          <w:kern w:val="0"/>
          <w:sz w:val="24"/>
        </w:rPr>
      </w:pPr>
      <w:r w:rsidRPr="00E55F01">
        <w:rPr>
          <w:rFonts w:ascii="標楷體" w:hAnsi="標楷體" w:hint="eastAsia"/>
          <w:b/>
          <w:szCs w:val="28"/>
        </w:rPr>
        <w:t>表3  榮民醫療作業基金</w:t>
      </w:r>
      <w:r w:rsidRPr="00E55F01">
        <w:rPr>
          <w:rFonts w:ascii="標楷體" w:hAnsi="標楷體" w:hint="eastAsia"/>
          <w:b/>
        </w:rPr>
        <w:t>各分院10</w:t>
      </w:r>
      <w:r w:rsidRPr="00E55F01">
        <w:rPr>
          <w:rFonts w:ascii="標楷體" w:hAnsi="標楷體"/>
          <w:b/>
        </w:rPr>
        <w:t>7</w:t>
      </w:r>
      <w:r w:rsidRPr="00E55F01">
        <w:rPr>
          <w:rFonts w:ascii="標楷體" w:hAnsi="標楷體" w:hint="eastAsia"/>
          <w:b/>
        </w:rPr>
        <w:t>至11</w:t>
      </w:r>
      <w:r w:rsidRPr="00E55F01">
        <w:rPr>
          <w:rFonts w:ascii="標楷體" w:hAnsi="標楷體"/>
          <w:b/>
        </w:rPr>
        <w:t>1</w:t>
      </w:r>
      <w:r w:rsidRPr="00E55F01">
        <w:rPr>
          <w:rFonts w:ascii="標楷體" w:hAnsi="標楷體" w:hint="eastAsia"/>
          <w:b/>
        </w:rPr>
        <w:t>年度辦理PAC計畫病床占床率情形表</w:t>
      </w:r>
      <w:r w:rsidRPr="00E55F01">
        <w:rPr>
          <w:rFonts w:ascii="標楷體" w:hAnsi="標楷體" w:hint="eastAsia"/>
          <w:b/>
          <w:color w:val="FF0000"/>
        </w:rPr>
        <w:t xml:space="preserve">   </w:t>
      </w:r>
      <w:r w:rsidRPr="00E55F01">
        <w:rPr>
          <w:rFonts w:ascii="標楷體" w:hAnsi="標楷體"/>
          <w:b/>
          <w:color w:val="FF0000"/>
        </w:rPr>
        <w:t xml:space="preserve">     </w:t>
      </w:r>
      <w:r w:rsidRPr="00E55F01">
        <w:rPr>
          <w:rFonts w:ascii="標楷體" w:hAnsi="標楷體" w:hint="eastAsia"/>
          <w:b/>
          <w:color w:val="FF0000"/>
        </w:rPr>
        <w:t xml:space="preserve">                     </w:t>
      </w:r>
      <w:r w:rsidRPr="00E55F01">
        <w:rPr>
          <w:rFonts w:ascii="標楷體" w:hAnsi="標楷體" w:hint="eastAsia"/>
          <w:snapToGrid/>
          <w:spacing w:val="-5"/>
          <w:kern w:val="0"/>
          <w:sz w:val="24"/>
        </w:rPr>
        <w:t>單位：%</w:t>
      </w:r>
    </w:p>
    <w:tbl>
      <w:tblPr>
        <w:tblW w:w="7804" w:type="dxa"/>
        <w:tblInd w:w="7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72"/>
        <w:gridCol w:w="1126"/>
        <w:gridCol w:w="1127"/>
        <w:gridCol w:w="1126"/>
        <w:gridCol w:w="1127"/>
        <w:gridCol w:w="1126"/>
      </w:tblGrid>
      <w:tr w:rsidR="00E55F01" w:rsidRPr="00E55F01" w:rsidTr="00606DEA">
        <w:trPr>
          <w:tblHeader/>
        </w:trPr>
        <w:tc>
          <w:tcPr>
            <w:tcW w:w="217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醫院名稱</w:t>
            </w:r>
          </w:p>
        </w:tc>
        <w:tc>
          <w:tcPr>
            <w:tcW w:w="112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107</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7"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108</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6" w:type="dxa"/>
            <w:shd w:val="clear" w:color="auto" w:fill="auto"/>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109年</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7"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w:t>
            </w:r>
            <w:r w:rsidRPr="00E55F01">
              <w:rPr>
                <w:rFonts w:ascii="標楷體"/>
                <w:b/>
                <w:bCs/>
                <w:snapToGrid/>
                <w:sz w:val="24"/>
                <w:szCs w:val="28"/>
              </w:rPr>
              <w:t>10</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6" w:type="dxa"/>
            <w:shd w:val="clear" w:color="auto" w:fill="auto"/>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w:t>
            </w:r>
            <w:r w:rsidRPr="00E55F01">
              <w:rPr>
                <w:rFonts w:ascii="標楷體"/>
                <w:b/>
                <w:bCs/>
                <w:snapToGrid/>
                <w:sz w:val="24"/>
                <w:szCs w:val="28"/>
              </w:rPr>
              <w:t>11</w:t>
            </w:r>
            <w:r w:rsidRPr="00E55F01">
              <w:rPr>
                <w:rFonts w:ascii="標楷體" w:hint="eastAsia"/>
                <w:b/>
                <w:bCs/>
                <w:snapToGrid/>
                <w:sz w:val="24"/>
                <w:szCs w:val="28"/>
              </w:rPr>
              <w:t>年</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臺北榮總員山分院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20.10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40.10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43.10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46.10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42.93</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臺北榮總蘇澳分院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24.60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39.60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43.20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38.80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32.16</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臺北榮總桃園分院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19.70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50.08</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57.13</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37.24</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71.89</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臺北榮總新竹分院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25.51</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35.90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49.29</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65.11</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62.41</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臺北榮總玉里分院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15.26</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37.60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15.60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57.37</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57.59</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臺北榮總鳳林分院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2.80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43.60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14.90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31.20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19.55</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lastRenderedPageBreak/>
              <w:t>臺北榮總臺東分院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20.40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67.80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87.60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84.60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65.30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臺中榮總埔里分院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24.80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61.90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54.20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36.30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31.40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臺中榮總嘉義分院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32.40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45.40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35.50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76.00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33.20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臺中榮總灣橋分院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3.40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10.40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34.10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26.60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高雄榮總臺南分院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36.60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50.90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70.40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71.10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70.00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b/>
                <w:bCs/>
                <w:snapToGrid/>
                <w:sz w:val="24"/>
                <w:szCs w:val="28"/>
              </w:rPr>
            </w:pPr>
            <w:r w:rsidRPr="00E55F01">
              <w:rPr>
                <w:rFonts w:ascii="標楷體" w:hint="eastAsia"/>
                <w:b/>
                <w:bCs/>
                <w:snapToGrid/>
                <w:sz w:val="24"/>
                <w:szCs w:val="28"/>
              </w:rPr>
              <w:t>高雄榮總屏東分院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22.20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38.80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52.50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70.78</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64.48</w:t>
            </w:r>
          </w:p>
        </w:tc>
      </w:tr>
    </w:tbl>
    <w:p w:rsidR="00E55F01" w:rsidRPr="00E55F01" w:rsidRDefault="00E55F01" w:rsidP="00E55F01">
      <w:pPr>
        <w:spacing w:line="280" w:lineRule="exact"/>
        <w:ind w:leftChars="199" w:left="564" w:firstLineChars="39" w:firstLine="95"/>
        <w:jc w:val="left"/>
        <w:rPr>
          <w:rFonts w:ascii="標楷體" w:hAnsi="標楷體" w:hint="eastAsia"/>
          <w:snapToGrid/>
          <w:sz w:val="24"/>
          <w:szCs w:val="28"/>
        </w:rPr>
      </w:pPr>
      <w:r w:rsidRPr="00E55F01">
        <w:rPr>
          <w:rFonts w:ascii="標楷體" w:hAnsi="標楷體" w:hint="eastAsia"/>
          <w:snapToGrid/>
          <w:sz w:val="24"/>
          <w:szCs w:val="28"/>
        </w:rPr>
        <w:t>資料來源：榮民醫療作業基金提供，本中心整理。</w:t>
      </w:r>
    </w:p>
    <w:p w:rsidR="00E55F01" w:rsidRPr="00E55F01" w:rsidRDefault="00E55F01" w:rsidP="00E55F01">
      <w:pPr>
        <w:rPr>
          <w:rFonts w:ascii="標楷體" w:hint="eastAsia"/>
          <w:szCs w:val="28"/>
        </w:rPr>
      </w:pPr>
      <w:r w:rsidRPr="00E55F01">
        <w:rPr>
          <w:rFonts w:ascii="標楷體" w:hint="eastAsia"/>
          <w:szCs w:val="28"/>
        </w:rPr>
        <w:t>綜上，PAC計畫實施目的係為強化急性醫療資源配置效率，對治療黃金期之病人給予積極性整合性照護，將有助其恢復功能或減輕失能程度，減少後續再住院醫療支出，惟111年度該基金所屬部分醫院PAC計畫執行結果占床率較110年度下降，其中部分醫院更呈逐年下降趨勢，該年度占床率未及5成者有6家，占總分院數5</w:t>
      </w:r>
      <w:r w:rsidRPr="00E55F01">
        <w:rPr>
          <w:rFonts w:ascii="標楷體"/>
          <w:szCs w:val="28"/>
        </w:rPr>
        <w:t>0%</w:t>
      </w:r>
      <w:r w:rsidRPr="00E55F01">
        <w:rPr>
          <w:rFonts w:ascii="標楷體" w:hint="eastAsia"/>
          <w:szCs w:val="28"/>
        </w:rPr>
        <w:t>，該基金允宜檢討原因並研謀改善。</w:t>
      </w:r>
    </w:p>
    <w:p w:rsidR="00E55F01" w:rsidRPr="00E55F01" w:rsidRDefault="00E55F01" w:rsidP="00E55F01">
      <w:pPr>
        <w:ind w:leftChars="0" w:left="0" w:firstLineChars="0" w:firstLine="0"/>
        <w:jc w:val="right"/>
        <w:rPr>
          <w:rFonts w:ascii="標楷體" w:hAnsi="標楷體" w:hint="eastAsia"/>
          <w:sz w:val="24"/>
          <w:szCs w:val="28"/>
        </w:rPr>
      </w:pPr>
      <w:r w:rsidRPr="00E55F01">
        <w:rPr>
          <w:rFonts w:ascii="標楷體" w:hint="eastAsia"/>
          <w:sz w:val="24"/>
          <w:szCs w:val="28"/>
        </w:rPr>
        <w:t>(分機：1939 陳燕玲)</w:t>
      </w:r>
      <w:bookmarkStart w:id="6" w:name="_GoBack"/>
      <w:bookmarkEnd w:id="6"/>
    </w:p>
    <w:sectPr w:rsidR="00E55F01" w:rsidRPr="00E55F0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C80" w:rsidRDefault="00580C80" w:rsidP="00ED66FF">
      <w:pPr>
        <w:ind w:left="560" w:firstLine="560"/>
      </w:pPr>
      <w:r>
        <w:separator/>
      </w:r>
    </w:p>
  </w:endnote>
  <w:endnote w:type="continuationSeparator" w:id="0">
    <w:p w:rsidR="00580C80" w:rsidRDefault="00580C80" w:rsidP="00ED66F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3F" w:rsidRPr="00F015A5" w:rsidRDefault="0079163F" w:rsidP="00F015A5">
    <w:pPr>
      <w:pStyle w:val="ae"/>
      <w:ind w:leftChars="0" w:left="0" w:firstLineChars="0" w:firstLine="0"/>
      <w:jc w:val="center"/>
      <w:rPr>
        <w:rStyle w:val="af9"/>
        <w:rFonts w:ascii="標楷體" w:hAnsi="標楷體"/>
      </w:rPr>
    </w:pPr>
    <w:r w:rsidRPr="00F015A5">
      <w:rPr>
        <w:rStyle w:val="af9"/>
        <w:rFonts w:ascii="標楷體" w:hAnsi="標楷體"/>
      </w:rPr>
      <w:fldChar w:fldCharType="begin"/>
    </w:r>
    <w:r w:rsidRPr="00F015A5">
      <w:rPr>
        <w:rStyle w:val="af9"/>
        <w:rFonts w:ascii="標楷體" w:hAnsi="標楷體"/>
      </w:rPr>
      <w:instrText>PAGE   \* MERGEFORMAT</w:instrText>
    </w:r>
    <w:r w:rsidRPr="00F015A5">
      <w:rPr>
        <w:rStyle w:val="af9"/>
        <w:rFonts w:ascii="標楷體" w:hAnsi="標楷體"/>
      </w:rPr>
      <w:fldChar w:fldCharType="separate"/>
    </w:r>
    <w:r w:rsidR="000A722A">
      <w:rPr>
        <w:rStyle w:val="af9"/>
        <w:rFonts w:ascii="標楷體" w:hAnsi="標楷體"/>
        <w:noProof/>
      </w:rPr>
      <w:t>4</w:t>
    </w:r>
    <w:r w:rsidRPr="00F015A5">
      <w:rPr>
        <w:rStyle w:val="af9"/>
        <w:rFonts w:ascii="標楷體" w:hAnsi="標楷體"/>
      </w:rPr>
      <w:fldChar w:fldCharType="end"/>
    </w:r>
  </w:p>
  <w:p w:rsidR="00E340D6" w:rsidRDefault="00E340D6" w:rsidP="00ED66FF">
    <w:pPr>
      <w:pStyle w:val="ae"/>
      <w:ind w:left="560" w:firstLine="40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Pr="007E5D97" w:rsidRDefault="00E340D6" w:rsidP="007E5D97">
    <w:pPr>
      <w:pStyle w:val="ae"/>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C80" w:rsidRDefault="00580C80" w:rsidP="00ED66FF">
      <w:pPr>
        <w:ind w:left="560" w:firstLine="560"/>
      </w:pPr>
      <w:r>
        <w:separator/>
      </w:r>
    </w:p>
  </w:footnote>
  <w:footnote w:type="continuationSeparator" w:id="0">
    <w:p w:rsidR="00580C80" w:rsidRDefault="00580C80" w:rsidP="00ED66FF">
      <w:pPr>
        <w:ind w:left="560" w:firstLine="560"/>
      </w:pPr>
      <w:r>
        <w:continuationSeparator/>
      </w:r>
    </w:p>
  </w:footnote>
  <w:footnote w:id="1">
    <w:p w:rsidR="00E55F01" w:rsidRDefault="00E55F01" w:rsidP="00E55F01">
      <w:pPr>
        <w:pStyle w:val="142"/>
        <w:ind w:left="224" w:hangingChars="92" w:hanging="224"/>
        <w:jc w:val="both"/>
        <w:rPr>
          <w:rFonts w:hint="eastAsia"/>
        </w:rPr>
      </w:pPr>
      <w:r>
        <w:rPr>
          <w:rStyle w:val="af6"/>
        </w:rPr>
        <w:footnoteRef/>
      </w:r>
      <w:r>
        <w:t xml:space="preserve"> </w:t>
      </w:r>
      <w:r w:rsidRPr="00A6560E">
        <w:rPr>
          <w:rFonts w:hint="eastAsia"/>
        </w:rPr>
        <w:t>「全民健康保險急性後期整合照護計畫」</w:t>
      </w:r>
      <w:r>
        <w:rPr>
          <w:rFonts w:hint="eastAsia"/>
        </w:rPr>
        <w:t>係</w:t>
      </w:r>
      <w:r w:rsidRPr="00A6560E">
        <w:rPr>
          <w:rFonts w:hint="eastAsia"/>
        </w:rPr>
        <w:t>建構急性後期照護模式與病人垂直整合轉銜系統，依個別病人失能程度，在治療黃金期內立即給予積極性之整合性照護，使其恢復功能，將可減少後續再住院醫療費用、減輕家庭及社會照顧之負擔，亦可強化急性醫療資源配置效率，與長期照護服務無縫接軌</w:t>
      </w:r>
      <w:r>
        <w:rPr>
          <w:rFonts w:hint="eastAsia"/>
        </w:rPr>
        <w:t>。</w:t>
      </w:r>
    </w:p>
  </w:footnote>
  <w:footnote w:id="2">
    <w:p w:rsidR="00E55F01" w:rsidRDefault="00E55F01" w:rsidP="00E55F01">
      <w:pPr>
        <w:pStyle w:val="142"/>
        <w:ind w:left="168" w:hangingChars="69" w:hanging="168"/>
        <w:rPr>
          <w:rFonts w:hint="eastAsia"/>
        </w:rPr>
      </w:pPr>
      <w:r>
        <w:rPr>
          <w:rStyle w:val="af6"/>
        </w:rPr>
        <w:footnoteRef/>
      </w:r>
      <w:r>
        <w:t xml:space="preserve"> </w:t>
      </w:r>
      <w:r>
        <w:rPr>
          <w:rFonts w:hint="eastAsia"/>
        </w:rPr>
        <w:t>據該基金稱除因個案</w:t>
      </w:r>
      <w:r w:rsidRPr="002D2CD3">
        <w:rPr>
          <w:rFonts w:hint="eastAsia"/>
        </w:rPr>
        <w:t>拒絕</w:t>
      </w:r>
      <w:r w:rsidRPr="002D2CD3">
        <w:rPr>
          <w:rFonts w:hint="eastAsia"/>
        </w:rPr>
        <w:t>PAC</w:t>
      </w:r>
      <w:r w:rsidRPr="002D2CD3">
        <w:rPr>
          <w:rFonts w:hint="eastAsia"/>
        </w:rPr>
        <w:t>相關安排</w:t>
      </w:r>
      <w:r>
        <w:rPr>
          <w:rFonts w:hint="eastAsia"/>
        </w:rPr>
        <w:t>外，亦有部分</w:t>
      </w:r>
      <w:r w:rsidRPr="002D2CD3">
        <w:rPr>
          <w:rFonts w:hint="eastAsia"/>
        </w:rPr>
        <w:t>個案</w:t>
      </w:r>
      <w:r>
        <w:rPr>
          <w:rFonts w:hint="eastAsia"/>
        </w:rPr>
        <w:t>因不同</w:t>
      </w:r>
      <w:r w:rsidRPr="002D2CD3">
        <w:rPr>
          <w:rFonts w:hint="eastAsia"/>
        </w:rPr>
        <w:t>需求</w:t>
      </w:r>
      <w:r>
        <w:rPr>
          <w:rFonts w:hint="eastAsia"/>
        </w:rPr>
        <w:t>而改為</w:t>
      </w:r>
      <w:r w:rsidRPr="002D2CD3">
        <w:rPr>
          <w:rFonts w:hint="eastAsia"/>
        </w:rPr>
        <w:t>提供其他形式復建或復能</w:t>
      </w:r>
      <w:r>
        <w:rPr>
          <w:rFonts w:hint="eastAsia"/>
        </w:rPr>
        <w:t>等</w:t>
      </w:r>
      <w:r w:rsidRPr="002D2CD3">
        <w:rPr>
          <w:rFonts w:hint="eastAsia"/>
        </w:rPr>
        <w:t>持續性服務</w:t>
      </w:r>
      <w:r>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1AF8"/>
    <w:rsid w:val="00001BD0"/>
    <w:rsid w:val="00005DCF"/>
    <w:rsid w:val="0000644D"/>
    <w:rsid w:val="00012292"/>
    <w:rsid w:val="000173A5"/>
    <w:rsid w:val="000225A5"/>
    <w:rsid w:val="00022FA9"/>
    <w:rsid w:val="00031835"/>
    <w:rsid w:val="0003209A"/>
    <w:rsid w:val="0003531C"/>
    <w:rsid w:val="00043507"/>
    <w:rsid w:val="00046D47"/>
    <w:rsid w:val="00054A4C"/>
    <w:rsid w:val="00056396"/>
    <w:rsid w:val="00072D88"/>
    <w:rsid w:val="00073AAF"/>
    <w:rsid w:val="00075DE2"/>
    <w:rsid w:val="00077951"/>
    <w:rsid w:val="000850E1"/>
    <w:rsid w:val="000962CE"/>
    <w:rsid w:val="000965EB"/>
    <w:rsid w:val="00096C9E"/>
    <w:rsid w:val="00096D55"/>
    <w:rsid w:val="000A5AD7"/>
    <w:rsid w:val="000A722A"/>
    <w:rsid w:val="000B2FD6"/>
    <w:rsid w:val="000B6868"/>
    <w:rsid w:val="000B6A72"/>
    <w:rsid w:val="000C075D"/>
    <w:rsid w:val="000C61EE"/>
    <w:rsid w:val="000D0990"/>
    <w:rsid w:val="000D4C16"/>
    <w:rsid w:val="000D6F76"/>
    <w:rsid w:val="000F1AA1"/>
    <w:rsid w:val="001019AA"/>
    <w:rsid w:val="001111A0"/>
    <w:rsid w:val="00113CB5"/>
    <w:rsid w:val="001211E4"/>
    <w:rsid w:val="0013654F"/>
    <w:rsid w:val="0013744E"/>
    <w:rsid w:val="00142441"/>
    <w:rsid w:val="00142959"/>
    <w:rsid w:val="00146276"/>
    <w:rsid w:val="00160C22"/>
    <w:rsid w:val="001624F4"/>
    <w:rsid w:val="00173951"/>
    <w:rsid w:val="001742C8"/>
    <w:rsid w:val="00174AA6"/>
    <w:rsid w:val="00175CAD"/>
    <w:rsid w:val="00176038"/>
    <w:rsid w:val="0017614D"/>
    <w:rsid w:val="001812EE"/>
    <w:rsid w:val="00181D59"/>
    <w:rsid w:val="00181E03"/>
    <w:rsid w:val="001821CF"/>
    <w:rsid w:val="00186C8E"/>
    <w:rsid w:val="00186FD2"/>
    <w:rsid w:val="0019155B"/>
    <w:rsid w:val="001927F2"/>
    <w:rsid w:val="00193A12"/>
    <w:rsid w:val="00194A54"/>
    <w:rsid w:val="0019783E"/>
    <w:rsid w:val="001A2AFF"/>
    <w:rsid w:val="001B60B2"/>
    <w:rsid w:val="001B6CC8"/>
    <w:rsid w:val="001C05A6"/>
    <w:rsid w:val="001C53E1"/>
    <w:rsid w:val="001C6480"/>
    <w:rsid w:val="001C7290"/>
    <w:rsid w:val="001D059F"/>
    <w:rsid w:val="001D1870"/>
    <w:rsid w:val="001D280A"/>
    <w:rsid w:val="001D56E8"/>
    <w:rsid w:val="001E0A69"/>
    <w:rsid w:val="001E24D0"/>
    <w:rsid w:val="001E4347"/>
    <w:rsid w:val="001E48A7"/>
    <w:rsid w:val="001E4CB6"/>
    <w:rsid w:val="001E773E"/>
    <w:rsid w:val="001F5735"/>
    <w:rsid w:val="001F714C"/>
    <w:rsid w:val="00213897"/>
    <w:rsid w:val="00217375"/>
    <w:rsid w:val="00217A37"/>
    <w:rsid w:val="002231E6"/>
    <w:rsid w:val="00225006"/>
    <w:rsid w:val="00232707"/>
    <w:rsid w:val="00233ABE"/>
    <w:rsid w:val="00233E5E"/>
    <w:rsid w:val="00246743"/>
    <w:rsid w:val="00247831"/>
    <w:rsid w:val="002507C9"/>
    <w:rsid w:val="00254E43"/>
    <w:rsid w:val="002633AB"/>
    <w:rsid w:val="002642AD"/>
    <w:rsid w:val="002676DB"/>
    <w:rsid w:val="00271F2E"/>
    <w:rsid w:val="002733FA"/>
    <w:rsid w:val="00277636"/>
    <w:rsid w:val="00277A2D"/>
    <w:rsid w:val="002810F6"/>
    <w:rsid w:val="00284A5E"/>
    <w:rsid w:val="0028544D"/>
    <w:rsid w:val="00290714"/>
    <w:rsid w:val="0029732B"/>
    <w:rsid w:val="002A069E"/>
    <w:rsid w:val="002A139D"/>
    <w:rsid w:val="002A6CFE"/>
    <w:rsid w:val="002B5C16"/>
    <w:rsid w:val="002B7D74"/>
    <w:rsid w:val="002C3FC6"/>
    <w:rsid w:val="002C5BBC"/>
    <w:rsid w:val="002E0552"/>
    <w:rsid w:val="00302DAB"/>
    <w:rsid w:val="003052C4"/>
    <w:rsid w:val="00314DC6"/>
    <w:rsid w:val="00316ABE"/>
    <w:rsid w:val="00317157"/>
    <w:rsid w:val="00321B9F"/>
    <w:rsid w:val="003258CD"/>
    <w:rsid w:val="003333A4"/>
    <w:rsid w:val="00334BD9"/>
    <w:rsid w:val="00336419"/>
    <w:rsid w:val="00340403"/>
    <w:rsid w:val="003466C9"/>
    <w:rsid w:val="00346939"/>
    <w:rsid w:val="0035229E"/>
    <w:rsid w:val="00355C14"/>
    <w:rsid w:val="0036120E"/>
    <w:rsid w:val="00361A7D"/>
    <w:rsid w:val="003620AD"/>
    <w:rsid w:val="00362309"/>
    <w:rsid w:val="00371645"/>
    <w:rsid w:val="00383493"/>
    <w:rsid w:val="00383682"/>
    <w:rsid w:val="003A002C"/>
    <w:rsid w:val="003A1B5E"/>
    <w:rsid w:val="003B7D12"/>
    <w:rsid w:val="003C0543"/>
    <w:rsid w:val="003C31D3"/>
    <w:rsid w:val="003D383E"/>
    <w:rsid w:val="003D58F6"/>
    <w:rsid w:val="003E20F2"/>
    <w:rsid w:val="003E2140"/>
    <w:rsid w:val="003F0A86"/>
    <w:rsid w:val="003F0B40"/>
    <w:rsid w:val="003F5110"/>
    <w:rsid w:val="00403547"/>
    <w:rsid w:val="00412B9A"/>
    <w:rsid w:val="00412BEB"/>
    <w:rsid w:val="00412DDB"/>
    <w:rsid w:val="00416797"/>
    <w:rsid w:val="00420E48"/>
    <w:rsid w:val="0043417D"/>
    <w:rsid w:val="00450E07"/>
    <w:rsid w:val="00454607"/>
    <w:rsid w:val="00465FA1"/>
    <w:rsid w:val="00475A21"/>
    <w:rsid w:val="00482670"/>
    <w:rsid w:val="00486687"/>
    <w:rsid w:val="004870D6"/>
    <w:rsid w:val="00493406"/>
    <w:rsid w:val="00493C75"/>
    <w:rsid w:val="0049400F"/>
    <w:rsid w:val="00495E10"/>
    <w:rsid w:val="00497127"/>
    <w:rsid w:val="004A06B5"/>
    <w:rsid w:val="004A0C04"/>
    <w:rsid w:val="004A32B9"/>
    <w:rsid w:val="004B3C1D"/>
    <w:rsid w:val="004C0AF4"/>
    <w:rsid w:val="004C3450"/>
    <w:rsid w:val="004D3939"/>
    <w:rsid w:val="004D4ADA"/>
    <w:rsid w:val="004D50E3"/>
    <w:rsid w:val="004E0278"/>
    <w:rsid w:val="004E0305"/>
    <w:rsid w:val="004E096F"/>
    <w:rsid w:val="004E3F3B"/>
    <w:rsid w:val="004E4BEA"/>
    <w:rsid w:val="004E7F48"/>
    <w:rsid w:val="004F5C3B"/>
    <w:rsid w:val="00503937"/>
    <w:rsid w:val="00503972"/>
    <w:rsid w:val="00506600"/>
    <w:rsid w:val="0050779D"/>
    <w:rsid w:val="00521244"/>
    <w:rsid w:val="00530614"/>
    <w:rsid w:val="00532463"/>
    <w:rsid w:val="00533C75"/>
    <w:rsid w:val="0053401B"/>
    <w:rsid w:val="00536D0F"/>
    <w:rsid w:val="00547D7B"/>
    <w:rsid w:val="00564E3F"/>
    <w:rsid w:val="00570AA7"/>
    <w:rsid w:val="00580C80"/>
    <w:rsid w:val="0058758B"/>
    <w:rsid w:val="00587FE4"/>
    <w:rsid w:val="005C0EB0"/>
    <w:rsid w:val="005C4F82"/>
    <w:rsid w:val="005D5282"/>
    <w:rsid w:val="005D542C"/>
    <w:rsid w:val="005D76D1"/>
    <w:rsid w:val="005E4F61"/>
    <w:rsid w:val="005F1A75"/>
    <w:rsid w:val="00602D1D"/>
    <w:rsid w:val="006034D0"/>
    <w:rsid w:val="00605A85"/>
    <w:rsid w:val="00606DEA"/>
    <w:rsid w:val="0061478C"/>
    <w:rsid w:val="006261C4"/>
    <w:rsid w:val="00631271"/>
    <w:rsid w:val="00634A62"/>
    <w:rsid w:val="00635A8C"/>
    <w:rsid w:val="00646765"/>
    <w:rsid w:val="00646866"/>
    <w:rsid w:val="006523C2"/>
    <w:rsid w:val="00654E43"/>
    <w:rsid w:val="0066079B"/>
    <w:rsid w:val="00661C39"/>
    <w:rsid w:val="006628B2"/>
    <w:rsid w:val="0067666C"/>
    <w:rsid w:val="00676F26"/>
    <w:rsid w:val="0068220D"/>
    <w:rsid w:val="00693BF5"/>
    <w:rsid w:val="00696FB9"/>
    <w:rsid w:val="006B00D9"/>
    <w:rsid w:val="006B47EF"/>
    <w:rsid w:val="006B54F1"/>
    <w:rsid w:val="006B7101"/>
    <w:rsid w:val="006C6B1E"/>
    <w:rsid w:val="006C6DA9"/>
    <w:rsid w:val="006D07BF"/>
    <w:rsid w:val="006E1D40"/>
    <w:rsid w:val="006F223C"/>
    <w:rsid w:val="006F4021"/>
    <w:rsid w:val="007015A1"/>
    <w:rsid w:val="00713FBC"/>
    <w:rsid w:val="00721C55"/>
    <w:rsid w:val="007227E9"/>
    <w:rsid w:val="00723E7D"/>
    <w:rsid w:val="00724DCB"/>
    <w:rsid w:val="0072513D"/>
    <w:rsid w:val="00725B4B"/>
    <w:rsid w:val="00730A30"/>
    <w:rsid w:val="00732354"/>
    <w:rsid w:val="00732511"/>
    <w:rsid w:val="007331BF"/>
    <w:rsid w:val="00744408"/>
    <w:rsid w:val="00746A20"/>
    <w:rsid w:val="00750AE3"/>
    <w:rsid w:val="00751EBC"/>
    <w:rsid w:val="0075302F"/>
    <w:rsid w:val="00753F43"/>
    <w:rsid w:val="00756ECE"/>
    <w:rsid w:val="00760784"/>
    <w:rsid w:val="00761E85"/>
    <w:rsid w:val="00763673"/>
    <w:rsid w:val="007755C8"/>
    <w:rsid w:val="00776F97"/>
    <w:rsid w:val="0078166A"/>
    <w:rsid w:val="00782AC6"/>
    <w:rsid w:val="00786FC3"/>
    <w:rsid w:val="00790DBC"/>
    <w:rsid w:val="0079163F"/>
    <w:rsid w:val="00791A7F"/>
    <w:rsid w:val="00793420"/>
    <w:rsid w:val="007A2434"/>
    <w:rsid w:val="007A27A9"/>
    <w:rsid w:val="007A3CB1"/>
    <w:rsid w:val="007A4797"/>
    <w:rsid w:val="007B043B"/>
    <w:rsid w:val="007B0C3A"/>
    <w:rsid w:val="007B1BC6"/>
    <w:rsid w:val="007B27A5"/>
    <w:rsid w:val="007B56C1"/>
    <w:rsid w:val="007B61A9"/>
    <w:rsid w:val="007B686C"/>
    <w:rsid w:val="007B7766"/>
    <w:rsid w:val="007C0FD4"/>
    <w:rsid w:val="007C2EEB"/>
    <w:rsid w:val="007E0F7C"/>
    <w:rsid w:val="007E4801"/>
    <w:rsid w:val="007E5D97"/>
    <w:rsid w:val="007F0FF7"/>
    <w:rsid w:val="007F27ED"/>
    <w:rsid w:val="008100C0"/>
    <w:rsid w:val="008133FC"/>
    <w:rsid w:val="00820FC5"/>
    <w:rsid w:val="008210A7"/>
    <w:rsid w:val="00832BE9"/>
    <w:rsid w:val="0083501B"/>
    <w:rsid w:val="00836A4A"/>
    <w:rsid w:val="0083708A"/>
    <w:rsid w:val="00843F3C"/>
    <w:rsid w:val="00845818"/>
    <w:rsid w:val="00847D13"/>
    <w:rsid w:val="00855093"/>
    <w:rsid w:val="00856B5F"/>
    <w:rsid w:val="00861290"/>
    <w:rsid w:val="008631BF"/>
    <w:rsid w:val="0086690A"/>
    <w:rsid w:val="00872AEA"/>
    <w:rsid w:val="00872C42"/>
    <w:rsid w:val="008746F2"/>
    <w:rsid w:val="00880C2B"/>
    <w:rsid w:val="00880CB5"/>
    <w:rsid w:val="008857F5"/>
    <w:rsid w:val="008866CA"/>
    <w:rsid w:val="00887387"/>
    <w:rsid w:val="008922E6"/>
    <w:rsid w:val="008975DC"/>
    <w:rsid w:val="008A1D60"/>
    <w:rsid w:val="008A29A1"/>
    <w:rsid w:val="008A39E4"/>
    <w:rsid w:val="008B0977"/>
    <w:rsid w:val="008B09D9"/>
    <w:rsid w:val="008B14C3"/>
    <w:rsid w:val="008B7483"/>
    <w:rsid w:val="008C1E3F"/>
    <w:rsid w:val="008C28B3"/>
    <w:rsid w:val="008C2C15"/>
    <w:rsid w:val="008C6DAD"/>
    <w:rsid w:val="008D7DB1"/>
    <w:rsid w:val="008E2664"/>
    <w:rsid w:val="008E7210"/>
    <w:rsid w:val="008F03C2"/>
    <w:rsid w:val="008F325F"/>
    <w:rsid w:val="00904A42"/>
    <w:rsid w:val="009065D5"/>
    <w:rsid w:val="00914DFB"/>
    <w:rsid w:val="00915EDE"/>
    <w:rsid w:val="00917248"/>
    <w:rsid w:val="0092684D"/>
    <w:rsid w:val="0092747B"/>
    <w:rsid w:val="009332C8"/>
    <w:rsid w:val="009332E7"/>
    <w:rsid w:val="00935985"/>
    <w:rsid w:val="00936DAC"/>
    <w:rsid w:val="009448B4"/>
    <w:rsid w:val="00950067"/>
    <w:rsid w:val="00950BB0"/>
    <w:rsid w:val="00950F5D"/>
    <w:rsid w:val="00955C6D"/>
    <w:rsid w:val="00956B7E"/>
    <w:rsid w:val="009570F7"/>
    <w:rsid w:val="009660F0"/>
    <w:rsid w:val="009676E8"/>
    <w:rsid w:val="00967750"/>
    <w:rsid w:val="009703C4"/>
    <w:rsid w:val="009803D9"/>
    <w:rsid w:val="00991B17"/>
    <w:rsid w:val="0099212A"/>
    <w:rsid w:val="00996625"/>
    <w:rsid w:val="009A2545"/>
    <w:rsid w:val="009C1BDB"/>
    <w:rsid w:val="009C3D71"/>
    <w:rsid w:val="009D1471"/>
    <w:rsid w:val="009D54A0"/>
    <w:rsid w:val="009D6D4D"/>
    <w:rsid w:val="009F24E8"/>
    <w:rsid w:val="009F3392"/>
    <w:rsid w:val="009F436A"/>
    <w:rsid w:val="009F5FA8"/>
    <w:rsid w:val="00A016FA"/>
    <w:rsid w:val="00A07328"/>
    <w:rsid w:val="00A130FE"/>
    <w:rsid w:val="00A22E20"/>
    <w:rsid w:val="00A33950"/>
    <w:rsid w:val="00A34B11"/>
    <w:rsid w:val="00A3609B"/>
    <w:rsid w:val="00A455C6"/>
    <w:rsid w:val="00A46F62"/>
    <w:rsid w:val="00A60CFC"/>
    <w:rsid w:val="00A673E3"/>
    <w:rsid w:val="00A700D1"/>
    <w:rsid w:val="00A72574"/>
    <w:rsid w:val="00A743A1"/>
    <w:rsid w:val="00A8031B"/>
    <w:rsid w:val="00A87AEE"/>
    <w:rsid w:val="00A95804"/>
    <w:rsid w:val="00A95FF9"/>
    <w:rsid w:val="00AA2AF7"/>
    <w:rsid w:val="00AA3787"/>
    <w:rsid w:val="00AA4565"/>
    <w:rsid w:val="00AB24EC"/>
    <w:rsid w:val="00AB3575"/>
    <w:rsid w:val="00AB6BCB"/>
    <w:rsid w:val="00AB6F72"/>
    <w:rsid w:val="00AC50CC"/>
    <w:rsid w:val="00AD4060"/>
    <w:rsid w:val="00AD6CB2"/>
    <w:rsid w:val="00AE3294"/>
    <w:rsid w:val="00AE6E37"/>
    <w:rsid w:val="00B0398A"/>
    <w:rsid w:val="00B06DE5"/>
    <w:rsid w:val="00B06F61"/>
    <w:rsid w:val="00B125B2"/>
    <w:rsid w:val="00B1478E"/>
    <w:rsid w:val="00B3292B"/>
    <w:rsid w:val="00B378AB"/>
    <w:rsid w:val="00B50B88"/>
    <w:rsid w:val="00B524AB"/>
    <w:rsid w:val="00B54B04"/>
    <w:rsid w:val="00B57BAD"/>
    <w:rsid w:val="00B64B44"/>
    <w:rsid w:val="00B70C88"/>
    <w:rsid w:val="00B7410F"/>
    <w:rsid w:val="00B9077A"/>
    <w:rsid w:val="00B9743A"/>
    <w:rsid w:val="00BA357C"/>
    <w:rsid w:val="00BA5615"/>
    <w:rsid w:val="00BB1E71"/>
    <w:rsid w:val="00BB4848"/>
    <w:rsid w:val="00BB6889"/>
    <w:rsid w:val="00BC1078"/>
    <w:rsid w:val="00BC3731"/>
    <w:rsid w:val="00BC411E"/>
    <w:rsid w:val="00BC4174"/>
    <w:rsid w:val="00BC7D6A"/>
    <w:rsid w:val="00BD0FFC"/>
    <w:rsid w:val="00BD4D69"/>
    <w:rsid w:val="00BD7088"/>
    <w:rsid w:val="00BE6E3F"/>
    <w:rsid w:val="00BE74D4"/>
    <w:rsid w:val="00BF00E3"/>
    <w:rsid w:val="00BF5D87"/>
    <w:rsid w:val="00BF7D66"/>
    <w:rsid w:val="00C1096D"/>
    <w:rsid w:val="00C1191A"/>
    <w:rsid w:val="00C1725D"/>
    <w:rsid w:val="00C22EAC"/>
    <w:rsid w:val="00C23F17"/>
    <w:rsid w:val="00C255D0"/>
    <w:rsid w:val="00C27B7F"/>
    <w:rsid w:val="00C32A6A"/>
    <w:rsid w:val="00C4379D"/>
    <w:rsid w:val="00C439EC"/>
    <w:rsid w:val="00C44915"/>
    <w:rsid w:val="00C44C47"/>
    <w:rsid w:val="00C44F84"/>
    <w:rsid w:val="00C45226"/>
    <w:rsid w:val="00C50623"/>
    <w:rsid w:val="00C520C6"/>
    <w:rsid w:val="00C55907"/>
    <w:rsid w:val="00C57B6B"/>
    <w:rsid w:val="00C654D1"/>
    <w:rsid w:val="00C658F4"/>
    <w:rsid w:val="00C67DD4"/>
    <w:rsid w:val="00C7103E"/>
    <w:rsid w:val="00C73F9D"/>
    <w:rsid w:val="00C848C4"/>
    <w:rsid w:val="00C85687"/>
    <w:rsid w:val="00C85C6D"/>
    <w:rsid w:val="00C9511C"/>
    <w:rsid w:val="00CA3AFB"/>
    <w:rsid w:val="00CA72EE"/>
    <w:rsid w:val="00CB09E5"/>
    <w:rsid w:val="00CB45EE"/>
    <w:rsid w:val="00CB4E21"/>
    <w:rsid w:val="00CC40B9"/>
    <w:rsid w:val="00CD6E04"/>
    <w:rsid w:val="00CD795F"/>
    <w:rsid w:val="00CD7C03"/>
    <w:rsid w:val="00CF2210"/>
    <w:rsid w:val="00CF3927"/>
    <w:rsid w:val="00D00F3E"/>
    <w:rsid w:val="00D02FC3"/>
    <w:rsid w:val="00D05056"/>
    <w:rsid w:val="00D064A0"/>
    <w:rsid w:val="00D06B5E"/>
    <w:rsid w:val="00D12EBD"/>
    <w:rsid w:val="00D14662"/>
    <w:rsid w:val="00D16D6D"/>
    <w:rsid w:val="00D30998"/>
    <w:rsid w:val="00D31F13"/>
    <w:rsid w:val="00D32F0E"/>
    <w:rsid w:val="00D33D1B"/>
    <w:rsid w:val="00D36069"/>
    <w:rsid w:val="00D4552F"/>
    <w:rsid w:val="00D479A2"/>
    <w:rsid w:val="00D5124C"/>
    <w:rsid w:val="00D53080"/>
    <w:rsid w:val="00D555A8"/>
    <w:rsid w:val="00D8165E"/>
    <w:rsid w:val="00D81CF7"/>
    <w:rsid w:val="00D847D6"/>
    <w:rsid w:val="00D857E4"/>
    <w:rsid w:val="00D85923"/>
    <w:rsid w:val="00D87022"/>
    <w:rsid w:val="00D904ED"/>
    <w:rsid w:val="00D94043"/>
    <w:rsid w:val="00DA02E2"/>
    <w:rsid w:val="00DA0B08"/>
    <w:rsid w:val="00DA3121"/>
    <w:rsid w:val="00DA3B1B"/>
    <w:rsid w:val="00DA7F18"/>
    <w:rsid w:val="00DB62FB"/>
    <w:rsid w:val="00DD021A"/>
    <w:rsid w:val="00DD7AA8"/>
    <w:rsid w:val="00DE1154"/>
    <w:rsid w:val="00DE19AF"/>
    <w:rsid w:val="00DE36BB"/>
    <w:rsid w:val="00DF1041"/>
    <w:rsid w:val="00DF642B"/>
    <w:rsid w:val="00DF6B22"/>
    <w:rsid w:val="00E1708C"/>
    <w:rsid w:val="00E17482"/>
    <w:rsid w:val="00E20FBF"/>
    <w:rsid w:val="00E21F28"/>
    <w:rsid w:val="00E22D8D"/>
    <w:rsid w:val="00E26D45"/>
    <w:rsid w:val="00E340D6"/>
    <w:rsid w:val="00E35E35"/>
    <w:rsid w:val="00E3744B"/>
    <w:rsid w:val="00E42E3E"/>
    <w:rsid w:val="00E42EA8"/>
    <w:rsid w:val="00E433BE"/>
    <w:rsid w:val="00E43E2E"/>
    <w:rsid w:val="00E4474A"/>
    <w:rsid w:val="00E476F3"/>
    <w:rsid w:val="00E525BF"/>
    <w:rsid w:val="00E55F01"/>
    <w:rsid w:val="00E56E1F"/>
    <w:rsid w:val="00E57A08"/>
    <w:rsid w:val="00E57A86"/>
    <w:rsid w:val="00E57D6B"/>
    <w:rsid w:val="00E6040D"/>
    <w:rsid w:val="00E605C0"/>
    <w:rsid w:val="00E613C3"/>
    <w:rsid w:val="00E6482A"/>
    <w:rsid w:val="00E65D39"/>
    <w:rsid w:val="00E66BAF"/>
    <w:rsid w:val="00E66DCD"/>
    <w:rsid w:val="00E66EC3"/>
    <w:rsid w:val="00E675C6"/>
    <w:rsid w:val="00E70918"/>
    <w:rsid w:val="00E717A6"/>
    <w:rsid w:val="00E728E9"/>
    <w:rsid w:val="00E81423"/>
    <w:rsid w:val="00E835DB"/>
    <w:rsid w:val="00E849FD"/>
    <w:rsid w:val="00E9402C"/>
    <w:rsid w:val="00EA21A5"/>
    <w:rsid w:val="00EA3146"/>
    <w:rsid w:val="00EA3251"/>
    <w:rsid w:val="00EA5AA3"/>
    <w:rsid w:val="00EA61F0"/>
    <w:rsid w:val="00EB07D5"/>
    <w:rsid w:val="00EB0B8C"/>
    <w:rsid w:val="00EB2DF6"/>
    <w:rsid w:val="00EB3285"/>
    <w:rsid w:val="00EC7946"/>
    <w:rsid w:val="00ED17B6"/>
    <w:rsid w:val="00ED340F"/>
    <w:rsid w:val="00ED5DBD"/>
    <w:rsid w:val="00ED66FF"/>
    <w:rsid w:val="00EE0AA7"/>
    <w:rsid w:val="00EE0AF0"/>
    <w:rsid w:val="00EE28DD"/>
    <w:rsid w:val="00EE634A"/>
    <w:rsid w:val="00EF6058"/>
    <w:rsid w:val="00EF7C27"/>
    <w:rsid w:val="00F011ED"/>
    <w:rsid w:val="00F015A5"/>
    <w:rsid w:val="00F06E11"/>
    <w:rsid w:val="00F12367"/>
    <w:rsid w:val="00F160B5"/>
    <w:rsid w:val="00F171F2"/>
    <w:rsid w:val="00F202ED"/>
    <w:rsid w:val="00F227EC"/>
    <w:rsid w:val="00F409D2"/>
    <w:rsid w:val="00F446FE"/>
    <w:rsid w:val="00F515B8"/>
    <w:rsid w:val="00F606B3"/>
    <w:rsid w:val="00F651AB"/>
    <w:rsid w:val="00F7146E"/>
    <w:rsid w:val="00F729D9"/>
    <w:rsid w:val="00F73F8A"/>
    <w:rsid w:val="00F778CE"/>
    <w:rsid w:val="00F81E60"/>
    <w:rsid w:val="00F82604"/>
    <w:rsid w:val="00F94010"/>
    <w:rsid w:val="00F951AD"/>
    <w:rsid w:val="00F96AC3"/>
    <w:rsid w:val="00FA0D94"/>
    <w:rsid w:val="00FA6325"/>
    <w:rsid w:val="00FA76CB"/>
    <w:rsid w:val="00FB4921"/>
    <w:rsid w:val="00FB7925"/>
    <w:rsid w:val="00FC0E50"/>
    <w:rsid w:val="00FD12ED"/>
    <w:rsid w:val="00FD7A49"/>
    <w:rsid w:val="00FE278E"/>
    <w:rsid w:val="00FE2CE0"/>
    <w:rsid w:val="00FE612C"/>
    <w:rsid w:val="00FF74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DAC0EEE-F7F4-4801-A8A9-693DF496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D66FF"/>
    <w:pPr>
      <w:widowControl w:val="0"/>
      <w:spacing w:line="500" w:lineRule="exact"/>
      <w:ind w:leftChars="200" w:left="566" w:firstLineChars="200" w:firstLine="566"/>
      <w:jc w:val="both"/>
    </w:pPr>
    <w:rPr>
      <w:rFonts w:eastAsia="標楷體"/>
      <w:snapToGrid w:val="0"/>
      <w:kern w:val="2"/>
      <w:sz w:val="28"/>
      <w:szCs w:val="24"/>
    </w:rPr>
  </w:style>
  <w:style w:type="paragraph" w:styleId="1">
    <w:name w:val="heading 1"/>
    <w:basedOn w:val="a"/>
    <w:next w:val="a"/>
    <w:link w:val="10"/>
    <w:uiPriority w:val="9"/>
    <w:qFormat/>
    <w:rsid w:val="00967750"/>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140"/>
    <w:rsid w:val="00E55F01"/>
    <w:pPr>
      <w:ind w:left="567" w:hanging="567"/>
      <w:outlineLvl w:val="0"/>
    </w:p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F015A5"/>
    <w:pPr>
      <w:ind w:leftChars="198" w:left="686" w:hangingChars="44" w:hanging="125"/>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0">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rsid w:val="00F015A5"/>
  </w:style>
  <w:style w:type="paragraph" w:styleId="11">
    <w:name w:val="toc 1"/>
    <w:basedOn w:val="a"/>
    <w:next w:val="a"/>
    <w:autoRedefine/>
    <w:uiPriority w:val="39"/>
    <w:rsid w:val="007755C8"/>
    <w:pPr>
      <w:tabs>
        <w:tab w:val="right" w:leader="hyphen" w:pos="8490"/>
      </w:tabs>
      <w:ind w:leftChars="0" w:hangingChars="200" w:hanging="200"/>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967750"/>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967750"/>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967750"/>
    <w:rPr>
      <w:color w:val="0563C1"/>
      <w:u w:val="single"/>
    </w:rPr>
  </w:style>
  <w:style w:type="character" w:styleId="af9">
    <w:name w:val="page number"/>
    <w:rsid w:val="00F015A5"/>
  </w:style>
  <w:style w:type="paragraph" w:customStyle="1" w:styleId="225">
    <w:name w:val="樣式 (一)下內文縮2 + 第一行:  2.5 字元"/>
    <w:basedOn w:val="2"/>
    <w:rsid w:val="008100C0"/>
    <w:pPr>
      <w:ind w:firstLineChars="250" w:firstLine="708"/>
    </w:pPr>
    <w:rPr>
      <w:rFonts w:cs="新細明體"/>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9E673-4805-406B-B8F0-7A440E742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4</Pages>
  <Words>417</Words>
  <Characters>2383</Characters>
  <Application>Microsoft Office Word</Application>
  <DocSecurity>0</DocSecurity>
  <Lines>19</Lines>
  <Paragraphs>5</Paragraphs>
  <ScaleCrop>false</ScaleCrop>
  <Company>HOME</Company>
  <LinksUpToDate>false</LinksUpToDate>
  <CharactersWithSpaces>2795</CharactersWithSpaces>
  <SharedDoc>false</SharedDoc>
  <HLinks>
    <vt:vector size="24" baseType="variant">
      <vt:variant>
        <vt:i4>1310774</vt:i4>
      </vt:variant>
      <vt:variant>
        <vt:i4>20</vt:i4>
      </vt:variant>
      <vt:variant>
        <vt:i4>0</vt:i4>
      </vt:variant>
      <vt:variant>
        <vt:i4>5</vt:i4>
      </vt:variant>
      <vt:variant>
        <vt:lpwstr/>
      </vt:variant>
      <vt:variant>
        <vt:lpwstr>_Toc163571317</vt:lpwstr>
      </vt:variant>
      <vt:variant>
        <vt:i4>1310774</vt:i4>
      </vt:variant>
      <vt:variant>
        <vt:i4>14</vt:i4>
      </vt:variant>
      <vt:variant>
        <vt:i4>0</vt:i4>
      </vt:variant>
      <vt:variant>
        <vt:i4>5</vt:i4>
      </vt:variant>
      <vt:variant>
        <vt:lpwstr/>
      </vt:variant>
      <vt:variant>
        <vt:lpwstr>_Toc163571316</vt:lpwstr>
      </vt:variant>
      <vt:variant>
        <vt:i4>1310774</vt:i4>
      </vt:variant>
      <vt:variant>
        <vt:i4>8</vt:i4>
      </vt:variant>
      <vt:variant>
        <vt:i4>0</vt:i4>
      </vt:variant>
      <vt:variant>
        <vt:i4>5</vt:i4>
      </vt:variant>
      <vt:variant>
        <vt:lpwstr/>
      </vt:variant>
      <vt:variant>
        <vt:lpwstr>_Toc163571315</vt:lpwstr>
      </vt:variant>
      <vt:variant>
        <vt:i4>1310774</vt:i4>
      </vt:variant>
      <vt:variant>
        <vt:i4>2</vt:i4>
      </vt:variant>
      <vt:variant>
        <vt:i4>0</vt:i4>
      </vt:variant>
      <vt:variant>
        <vt:i4>5</vt:i4>
      </vt:variant>
      <vt:variant>
        <vt:lpwstr/>
      </vt:variant>
      <vt:variant>
        <vt:lpwstr>_Toc163571314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2024-04-09T01:27:00Z</cp:lastPrinted>
  <dcterms:created xsi:type="dcterms:W3CDTF">2024-04-10T04:04:00Z</dcterms:created>
  <dcterms:modified xsi:type="dcterms:W3CDTF">2024-04-10T04:04:00Z</dcterms:modified>
</cp:coreProperties>
</file>