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5F4C81" w:rsidRDefault="00535ADA" w:rsidP="004C34F1">
      <w:pPr>
        <w:pStyle w:val="ab"/>
        <w:rPr>
          <w:rFonts w:hAnsi="標楷體" w:hint="eastAsia"/>
          <w:color w:val="000000"/>
        </w:rPr>
      </w:pPr>
      <w:bookmarkStart w:id="0" w:name="_GoBack"/>
      <w:bookmarkEnd w:id="0"/>
      <w:r w:rsidRPr="005F4C81">
        <w:rPr>
          <w:rFonts w:hAnsi="標楷體" w:hint="eastAsia"/>
          <w:color w:val="000000"/>
        </w:rPr>
        <w:t>台灣中油股份有限公司1</w:t>
      </w:r>
      <w:r w:rsidR="00230994" w:rsidRPr="005F4C81">
        <w:rPr>
          <w:rFonts w:hAnsi="標楷體" w:hint="eastAsia"/>
          <w:color w:val="000000"/>
        </w:rPr>
        <w:t>1</w:t>
      </w:r>
      <w:r w:rsidR="00060DDA" w:rsidRPr="005F4C81">
        <w:rPr>
          <w:rFonts w:hAnsi="標楷體" w:hint="eastAsia"/>
          <w:color w:val="000000"/>
        </w:rPr>
        <w:t>1</w:t>
      </w:r>
      <w:r w:rsidRPr="005F4C81">
        <w:rPr>
          <w:rFonts w:hAnsi="標楷體" w:hint="eastAsia"/>
          <w:color w:val="000000"/>
        </w:rPr>
        <w:t>年度營業</w:t>
      </w:r>
      <w:r w:rsidR="007F1315" w:rsidRPr="005F4C81">
        <w:rPr>
          <w:rFonts w:hAnsi="標楷體" w:hint="eastAsia"/>
          <w:color w:val="000000"/>
        </w:rPr>
        <w:t>決</w:t>
      </w:r>
      <w:r w:rsidRPr="005F4C81">
        <w:rPr>
          <w:rFonts w:hAnsi="標楷體" w:hint="eastAsia"/>
          <w:color w:val="000000"/>
        </w:rPr>
        <w:t>算評估報告</w:t>
      </w:r>
    </w:p>
    <w:p w:rsidR="007F1315" w:rsidRPr="005F4C81" w:rsidRDefault="007F1315" w:rsidP="007F1315">
      <w:pPr>
        <w:pStyle w:val="a9"/>
        <w:ind w:firstLine="567"/>
        <w:rPr>
          <w:rFonts w:hAnsi="標楷體" w:hint="eastAsia"/>
        </w:rPr>
      </w:pPr>
      <w:r w:rsidRPr="005F4C81">
        <w:rPr>
          <w:rFonts w:hAnsi="標楷體" w:hint="eastAsia"/>
        </w:rPr>
        <w:t>台灣中油股份有限公司(下稱台灣中油公司)1</w:t>
      </w:r>
      <w:r w:rsidR="00813129" w:rsidRPr="005F4C81">
        <w:rPr>
          <w:rFonts w:hAnsi="標楷體" w:hint="eastAsia"/>
        </w:rPr>
        <w:t>1</w:t>
      </w:r>
      <w:r w:rsidR="00060DDA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年度決算審定(以下同)淨</w:t>
      </w:r>
      <w:r w:rsidR="005D70DB" w:rsidRPr="005F4C81">
        <w:rPr>
          <w:rFonts w:hAnsi="標楷體" w:hint="eastAsia"/>
        </w:rPr>
        <w:t>損</w:t>
      </w:r>
      <w:r w:rsidR="00C75BAE" w:rsidRPr="005F4C81">
        <w:rPr>
          <w:rFonts w:hAnsi="標楷體"/>
        </w:rPr>
        <w:t>1,861</w:t>
      </w:r>
      <w:r w:rsidRPr="005F4C81">
        <w:rPr>
          <w:rFonts w:hAnsi="標楷體" w:hint="eastAsia"/>
        </w:rPr>
        <w:t>億</w:t>
      </w:r>
      <w:r w:rsidR="00C75BAE" w:rsidRPr="005F4C81">
        <w:rPr>
          <w:rFonts w:hAnsi="標楷體"/>
        </w:rPr>
        <w:t>5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901</w:t>
      </w:r>
      <w:r w:rsidRPr="005F4C81">
        <w:rPr>
          <w:rFonts w:hAnsi="標楷體" w:hint="eastAsia"/>
        </w:rPr>
        <w:t>萬</w:t>
      </w:r>
      <w:r w:rsidR="00C75BAE" w:rsidRPr="005F4C81">
        <w:rPr>
          <w:rFonts w:hAnsi="標楷體"/>
        </w:rPr>
        <w:t>5</w:t>
      </w:r>
      <w:r w:rsidRPr="005F4C81">
        <w:rPr>
          <w:rFonts w:hAnsi="標楷體" w:hint="eastAsia"/>
        </w:rPr>
        <w:t>千元，較預算淨利</w:t>
      </w:r>
      <w:r w:rsidR="00C75BAE" w:rsidRPr="005F4C81">
        <w:rPr>
          <w:rFonts w:hAnsi="標楷體"/>
        </w:rPr>
        <w:t>82</w:t>
      </w:r>
      <w:r w:rsidRPr="005F4C81">
        <w:rPr>
          <w:rFonts w:hAnsi="標楷體" w:hint="eastAsia"/>
        </w:rPr>
        <w:t>億</w:t>
      </w:r>
      <w:r w:rsidR="00813129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273</w:t>
      </w:r>
      <w:r w:rsidRPr="005F4C81">
        <w:rPr>
          <w:rFonts w:hAnsi="標楷體" w:hint="eastAsia"/>
        </w:rPr>
        <w:t>萬</w:t>
      </w:r>
      <w:r w:rsidR="00C75BAE" w:rsidRPr="005F4C81">
        <w:rPr>
          <w:rFonts w:hAnsi="標楷體"/>
        </w:rPr>
        <w:t>5</w:t>
      </w:r>
      <w:r w:rsidR="00813129" w:rsidRPr="005F4C81">
        <w:rPr>
          <w:rFonts w:hAnsi="標楷體" w:hint="eastAsia"/>
        </w:rPr>
        <w:t>千</w:t>
      </w:r>
      <w:r w:rsidRPr="005F4C81">
        <w:rPr>
          <w:rFonts w:hAnsi="標楷體" w:hint="eastAsia"/>
        </w:rPr>
        <w:t>元，</w:t>
      </w:r>
      <w:r w:rsidR="005D70DB" w:rsidRPr="005F4C81">
        <w:rPr>
          <w:rFonts w:hAnsi="標楷體" w:hint="eastAsia"/>
        </w:rPr>
        <w:t>減少</w:t>
      </w:r>
      <w:r w:rsidR="00C77E77">
        <w:rPr>
          <w:rFonts w:hAnsi="標楷體" w:hint="eastAsia"/>
        </w:rPr>
        <w:t>淨利</w:t>
      </w:r>
      <w:r w:rsidR="00C75BAE" w:rsidRPr="005F4C81">
        <w:rPr>
          <w:rFonts w:hAnsi="標楷體"/>
        </w:rPr>
        <w:t>1,943</w:t>
      </w:r>
      <w:r w:rsidRPr="005F4C81">
        <w:rPr>
          <w:rFonts w:hAnsi="標楷體" w:hint="eastAsia"/>
        </w:rPr>
        <w:t>億</w:t>
      </w:r>
      <w:r w:rsidR="00C75BAE" w:rsidRPr="005F4C81">
        <w:rPr>
          <w:rFonts w:hAnsi="標楷體"/>
        </w:rPr>
        <w:t>7</w:t>
      </w:r>
      <w:r w:rsidRPr="005F4C81">
        <w:rPr>
          <w:rFonts w:hAnsi="標楷體" w:hint="eastAsia"/>
        </w:rPr>
        <w:t>,</w:t>
      </w:r>
      <w:r w:rsidR="00C75BAE" w:rsidRPr="005F4C81">
        <w:rPr>
          <w:rFonts w:hAnsi="標楷體"/>
        </w:rPr>
        <w:t>175</w:t>
      </w:r>
      <w:r w:rsidRPr="005F4C81">
        <w:rPr>
          <w:rFonts w:hAnsi="標楷體" w:hint="eastAsia"/>
        </w:rPr>
        <w:t>萬元</w:t>
      </w:r>
      <w:r w:rsidR="006F02BF" w:rsidRPr="005F4C81">
        <w:rPr>
          <w:rFonts w:hAnsi="標楷體" w:hint="eastAsia"/>
        </w:rPr>
        <w:t>，</w:t>
      </w:r>
      <w:r w:rsidRPr="005F4C81">
        <w:rPr>
          <w:rFonts w:hAnsi="標楷體" w:hint="eastAsia"/>
        </w:rPr>
        <w:t>主要係因</w:t>
      </w:r>
      <w:r w:rsidR="00813129" w:rsidRPr="005F4C81">
        <w:rPr>
          <w:rFonts w:hAnsi="標楷體" w:hint="eastAsia"/>
        </w:rPr>
        <w:t>進口原油暨凝結油</w:t>
      </w:r>
      <w:r w:rsidR="006F3DBB" w:rsidRPr="005F4C81">
        <w:rPr>
          <w:rFonts w:hAnsi="標楷體" w:hint="eastAsia"/>
        </w:rPr>
        <w:t>及天然氣</w:t>
      </w:r>
      <w:r w:rsidR="00813129" w:rsidRPr="005F4C81">
        <w:rPr>
          <w:rFonts w:hAnsi="標楷體" w:hint="eastAsia"/>
        </w:rPr>
        <w:t>成本增加及</w:t>
      </w:r>
      <w:r w:rsidR="006F3DBB" w:rsidRPr="005F4C81">
        <w:rPr>
          <w:rFonts w:hAnsi="標楷體" w:hint="eastAsia"/>
        </w:rPr>
        <w:t>配合穩定物價政策，售價未配合油、氣價公式足額調整所致</w:t>
      </w:r>
      <w:r w:rsidRPr="005F4C81">
        <w:rPr>
          <w:rFonts w:hAnsi="標楷體" w:hint="eastAsia"/>
        </w:rPr>
        <w:t>。有關</w:t>
      </w:r>
      <w:r w:rsidR="003F1CF1" w:rsidRPr="005F4C81">
        <w:rPr>
          <w:rFonts w:hAnsi="標楷體" w:hint="eastAsia"/>
        </w:rPr>
        <w:t>台灣中油公司</w:t>
      </w:r>
      <w:r w:rsidRPr="005F4C81">
        <w:rPr>
          <w:rFonts w:hAnsi="標楷體" w:hint="eastAsia"/>
        </w:rPr>
        <w:t>1</w:t>
      </w:r>
      <w:r w:rsidR="00813129" w:rsidRPr="005F4C81">
        <w:rPr>
          <w:rFonts w:hAnsi="標楷體" w:hint="eastAsia"/>
        </w:rPr>
        <w:t>1</w:t>
      </w:r>
      <w:r w:rsidR="00C75BAE" w:rsidRPr="005F4C81">
        <w:rPr>
          <w:rFonts w:hAnsi="標楷體" w:hint="eastAsia"/>
        </w:rPr>
        <w:t>1</w:t>
      </w:r>
      <w:r w:rsidRPr="005F4C81">
        <w:rPr>
          <w:rFonts w:hAnsi="標楷體" w:hint="eastAsia"/>
        </w:rPr>
        <w:t>年度營業預算執行狀況評析如下：</w:t>
      </w:r>
    </w:p>
    <w:p w:rsidR="00700B45" w:rsidRPr="005F4C81" w:rsidRDefault="00700B45" w:rsidP="00D53BEE">
      <w:pPr>
        <w:pStyle w:val="14"/>
        <w:ind w:left="567" w:hanging="567"/>
        <w:rPr>
          <w:rFonts w:hAnsi="標楷體"/>
          <w:color w:val="000000"/>
        </w:rPr>
      </w:pPr>
      <w:bookmarkStart w:id="1" w:name="_Toc3170791"/>
      <w:bookmarkStart w:id="2" w:name="_Toc60137822"/>
      <w:bookmarkStart w:id="3" w:name="_Toc60137826"/>
      <w:bookmarkStart w:id="4" w:name="_Toc307216978"/>
      <w:bookmarkStart w:id="5" w:name="_Toc307218028"/>
      <w:bookmarkStart w:id="6" w:name="_Toc307218166"/>
      <w:bookmarkStart w:id="7" w:name="_Toc433707924"/>
      <w:bookmarkStart w:id="8" w:name="_Toc467171356"/>
      <w:bookmarkStart w:id="9" w:name="_Toc531338051"/>
      <w:bookmarkStart w:id="10" w:name="_Toc56673973"/>
      <w:bookmarkStart w:id="11" w:name="_Toc119058820"/>
      <w:bookmarkStart w:id="12" w:name="_Toc34832111"/>
      <w:bookmarkStart w:id="13" w:name="_Toc119058804"/>
      <w:bookmarkStart w:id="14" w:name="_Toc164257071"/>
      <w:r w:rsidRPr="005F4C81">
        <w:rPr>
          <w:rFonts w:hAnsi="標楷體" w:hint="eastAsia"/>
          <w:color w:val="000000"/>
        </w:rPr>
        <w:t>一、111年度決算淨損逾</w:t>
      </w:r>
      <w:r w:rsidRPr="005F4C81">
        <w:rPr>
          <w:rFonts w:hAnsi="標楷體"/>
          <w:color w:val="000000"/>
        </w:rPr>
        <w:t>1,861</w:t>
      </w:r>
      <w:r w:rsidRPr="005F4C81">
        <w:rPr>
          <w:rFonts w:hAnsi="標楷體" w:hint="eastAsia"/>
          <w:color w:val="000000"/>
        </w:rPr>
        <w:t>億元，且累積虧損高達6</w:t>
      </w:r>
      <w:r w:rsidRPr="005F4C81">
        <w:rPr>
          <w:rFonts w:hAnsi="標楷體"/>
          <w:color w:val="000000"/>
        </w:rPr>
        <w:t>49</w:t>
      </w:r>
      <w:r w:rsidRPr="005F4C81">
        <w:rPr>
          <w:rFonts w:hAnsi="標楷體" w:hint="eastAsia"/>
          <w:color w:val="000000"/>
        </w:rPr>
        <w:t>億餘元</w:t>
      </w:r>
      <w:r w:rsidR="00EC029C">
        <w:rPr>
          <w:rFonts w:hAnsi="標楷體" w:hint="eastAsia"/>
          <w:color w:val="000000"/>
        </w:rPr>
        <w:t>，</w:t>
      </w:r>
      <w:r w:rsidR="00C77E77">
        <w:rPr>
          <w:rFonts w:hAnsi="標楷體" w:hint="eastAsia"/>
          <w:color w:val="000000"/>
        </w:rPr>
        <w:t>影響盈餘繳庫及財務結構健全</w:t>
      </w:r>
      <w:r w:rsidRPr="005F4C81">
        <w:rPr>
          <w:rFonts w:hAnsi="標楷體" w:hint="eastAsia"/>
          <w:color w:val="000000"/>
        </w:rPr>
        <w:t>，允宜妥謀改善</w:t>
      </w:r>
      <w:bookmarkEnd w:id="13"/>
      <w:bookmarkEnd w:id="14"/>
    </w:p>
    <w:p w:rsidR="00700B45" w:rsidRPr="005F4C81" w:rsidRDefault="00700B45" w:rsidP="00D53BEE">
      <w:pPr>
        <w:ind w:left="567" w:firstLine="567"/>
        <w:rPr>
          <w:rFonts w:hAnsi="標楷體"/>
          <w:color w:val="000000"/>
        </w:rPr>
      </w:pPr>
      <w:r w:rsidRPr="005F4C81">
        <w:rPr>
          <w:rFonts w:hAnsi="標楷體" w:hint="eastAsia"/>
          <w:color w:val="000000"/>
        </w:rPr>
        <w:t>台灣中油公司111年度決算營業收入1兆2</w:t>
      </w:r>
      <w:r w:rsidRPr="005F4C81">
        <w:rPr>
          <w:rFonts w:hAnsi="標楷體"/>
          <w:color w:val="000000"/>
        </w:rPr>
        <w:t>,218</w:t>
      </w:r>
      <w:r w:rsidRPr="005F4C81">
        <w:rPr>
          <w:rFonts w:hAnsi="標楷體" w:hint="eastAsia"/>
          <w:color w:val="000000"/>
        </w:rPr>
        <w:t>億</w:t>
      </w:r>
      <w:r w:rsidRPr="005F4C81">
        <w:rPr>
          <w:rFonts w:hAnsi="標楷體"/>
          <w:color w:val="000000"/>
        </w:rPr>
        <w:t>5,684</w:t>
      </w:r>
      <w:r w:rsidRPr="005F4C81">
        <w:rPr>
          <w:rFonts w:hAnsi="標楷體" w:hint="eastAsia"/>
          <w:color w:val="000000"/>
        </w:rPr>
        <w:t>萬2千元較預算數</w:t>
      </w:r>
      <w:r w:rsidRPr="005F4C81">
        <w:rPr>
          <w:rFonts w:hAnsi="標楷體"/>
          <w:color w:val="000000"/>
        </w:rPr>
        <w:t>8</w:t>
      </w:r>
      <w:r w:rsidRPr="005F4C81">
        <w:rPr>
          <w:rFonts w:hAnsi="標楷體" w:hint="eastAsia"/>
          <w:color w:val="000000"/>
        </w:rPr>
        <w:t>,</w:t>
      </w:r>
      <w:r w:rsidRPr="005F4C81">
        <w:rPr>
          <w:rFonts w:hAnsi="標楷體"/>
          <w:color w:val="000000"/>
        </w:rPr>
        <w:t>058</w:t>
      </w:r>
      <w:r w:rsidRPr="005F4C81">
        <w:rPr>
          <w:rFonts w:hAnsi="標楷體" w:hint="eastAsia"/>
          <w:color w:val="000000"/>
        </w:rPr>
        <w:t>億</w:t>
      </w:r>
      <w:r w:rsidRPr="005F4C81">
        <w:rPr>
          <w:rFonts w:hAnsi="標楷體"/>
          <w:color w:val="000000"/>
        </w:rPr>
        <w:t>9,797</w:t>
      </w:r>
      <w:r w:rsidRPr="005F4C81">
        <w:rPr>
          <w:rFonts w:hAnsi="標楷體" w:hint="eastAsia"/>
          <w:color w:val="000000"/>
        </w:rPr>
        <w:t>萬</w:t>
      </w:r>
      <w:r w:rsidRPr="005F4C81">
        <w:rPr>
          <w:rFonts w:hAnsi="標楷體"/>
          <w:color w:val="000000"/>
        </w:rPr>
        <w:t>6</w:t>
      </w:r>
      <w:r w:rsidRPr="005F4C81">
        <w:rPr>
          <w:rFonts w:hAnsi="標楷體" w:hint="eastAsia"/>
          <w:color w:val="000000"/>
        </w:rPr>
        <w:t>千元，增加</w:t>
      </w:r>
      <w:r w:rsidRPr="005F4C81">
        <w:rPr>
          <w:rFonts w:hAnsi="標楷體"/>
          <w:color w:val="000000"/>
        </w:rPr>
        <w:t>4,159</w:t>
      </w:r>
      <w:r w:rsidRPr="005F4C81">
        <w:rPr>
          <w:rFonts w:hAnsi="標楷體" w:hint="eastAsia"/>
          <w:color w:val="000000"/>
        </w:rPr>
        <w:t>億</w:t>
      </w:r>
      <w:r w:rsidRPr="005F4C81">
        <w:rPr>
          <w:rFonts w:hAnsi="標楷體"/>
          <w:color w:val="000000"/>
        </w:rPr>
        <w:t>5,886</w:t>
      </w:r>
      <w:r w:rsidRPr="005F4C81">
        <w:rPr>
          <w:rFonts w:hAnsi="標楷體" w:hint="eastAsia"/>
          <w:color w:val="000000"/>
        </w:rPr>
        <w:t>萬</w:t>
      </w:r>
      <w:r w:rsidRPr="005F4C81">
        <w:rPr>
          <w:rFonts w:hAnsi="標楷體"/>
          <w:color w:val="000000"/>
        </w:rPr>
        <w:t>6</w:t>
      </w:r>
      <w:r w:rsidRPr="005F4C81">
        <w:rPr>
          <w:rFonts w:hAnsi="標楷體" w:hint="eastAsia"/>
          <w:color w:val="000000"/>
        </w:rPr>
        <w:t>千元(增幅</w:t>
      </w:r>
      <w:r w:rsidRPr="005F4C81">
        <w:rPr>
          <w:rFonts w:hAnsi="標楷體"/>
          <w:color w:val="000000"/>
        </w:rPr>
        <w:t>51.61</w:t>
      </w:r>
      <w:r w:rsidRPr="005F4C81">
        <w:rPr>
          <w:rFonts w:hAnsi="標楷體" w:hint="eastAsia"/>
          <w:color w:val="000000"/>
        </w:rPr>
        <w:t>%)；營業成本1兆</w:t>
      </w:r>
      <w:r w:rsidRPr="005F4C81">
        <w:rPr>
          <w:rFonts w:hAnsi="標楷體"/>
          <w:color w:val="000000"/>
        </w:rPr>
        <w:t>4,025</w:t>
      </w:r>
      <w:r w:rsidRPr="005F4C81">
        <w:rPr>
          <w:rFonts w:hAnsi="標楷體" w:hint="eastAsia"/>
          <w:color w:val="000000"/>
        </w:rPr>
        <w:t>億</w:t>
      </w:r>
      <w:r w:rsidRPr="005F4C81">
        <w:rPr>
          <w:rFonts w:hAnsi="標楷體"/>
          <w:color w:val="000000"/>
        </w:rPr>
        <w:t>3,</w:t>
      </w:r>
      <w:r w:rsidRPr="005F4C81">
        <w:rPr>
          <w:rFonts w:hAnsi="標楷體" w:hint="eastAsia"/>
          <w:color w:val="000000"/>
        </w:rPr>
        <w:t>5</w:t>
      </w:r>
      <w:r w:rsidRPr="005F4C81">
        <w:rPr>
          <w:rFonts w:hAnsi="標楷體"/>
          <w:color w:val="000000"/>
        </w:rPr>
        <w:t>95</w:t>
      </w:r>
      <w:r w:rsidRPr="005F4C81">
        <w:rPr>
          <w:rFonts w:hAnsi="標楷體" w:hint="eastAsia"/>
          <w:color w:val="000000"/>
        </w:rPr>
        <w:t>萬7千元較預算數7,659億2</w:t>
      </w:r>
      <w:r w:rsidRPr="005F4C81">
        <w:rPr>
          <w:rFonts w:hAnsi="標楷體"/>
          <w:color w:val="000000"/>
        </w:rPr>
        <w:t>,4</w:t>
      </w:r>
      <w:r w:rsidRPr="005F4C81">
        <w:rPr>
          <w:rFonts w:hAnsi="標楷體" w:hint="eastAsia"/>
          <w:color w:val="000000"/>
        </w:rPr>
        <w:t>01萬3千元，增加6</w:t>
      </w:r>
      <w:r w:rsidRPr="005F4C81">
        <w:rPr>
          <w:rFonts w:hAnsi="標楷體"/>
          <w:color w:val="000000"/>
        </w:rPr>
        <w:t>,3</w:t>
      </w:r>
      <w:r w:rsidRPr="005F4C81">
        <w:rPr>
          <w:rFonts w:hAnsi="標楷體" w:hint="eastAsia"/>
          <w:color w:val="000000"/>
        </w:rPr>
        <w:t>66億1</w:t>
      </w:r>
      <w:r w:rsidRPr="005F4C81">
        <w:rPr>
          <w:rFonts w:hAnsi="標楷體"/>
          <w:color w:val="000000"/>
        </w:rPr>
        <w:t>,1</w:t>
      </w:r>
      <w:r w:rsidRPr="005F4C81">
        <w:rPr>
          <w:rFonts w:hAnsi="標楷體" w:hint="eastAsia"/>
          <w:color w:val="000000"/>
        </w:rPr>
        <w:t>94萬4千元(增幅83.12%)；決算淨損</w:t>
      </w:r>
      <w:r w:rsidRPr="005F4C81">
        <w:rPr>
          <w:rFonts w:hAnsi="標楷體"/>
        </w:rPr>
        <w:t>1,861</w:t>
      </w:r>
      <w:r w:rsidRPr="005F4C81">
        <w:rPr>
          <w:rFonts w:hAnsi="標楷體" w:hint="eastAsia"/>
        </w:rPr>
        <w:t>億</w:t>
      </w:r>
      <w:r w:rsidRPr="005F4C81">
        <w:rPr>
          <w:rFonts w:hAnsi="標楷體"/>
        </w:rPr>
        <w:t>5</w:t>
      </w:r>
      <w:r w:rsidRPr="005F4C81">
        <w:rPr>
          <w:rFonts w:hAnsi="標楷體" w:hint="eastAsia"/>
        </w:rPr>
        <w:t>,</w:t>
      </w:r>
      <w:r w:rsidRPr="005F4C81">
        <w:rPr>
          <w:rFonts w:hAnsi="標楷體"/>
        </w:rPr>
        <w:t>901</w:t>
      </w:r>
      <w:r w:rsidRPr="005F4C81">
        <w:rPr>
          <w:rFonts w:hAnsi="標楷體" w:hint="eastAsia"/>
        </w:rPr>
        <w:t>萬</w:t>
      </w:r>
      <w:r w:rsidRPr="005F4C81">
        <w:rPr>
          <w:rFonts w:hAnsi="標楷體"/>
        </w:rPr>
        <w:t>5</w:t>
      </w:r>
      <w:r w:rsidRPr="005F4C81">
        <w:rPr>
          <w:rFonts w:hAnsi="標楷體" w:hint="eastAsia"/>
        </w:rPr>
        <w:t>千元，較預算淨利</w:t>
      </w:r>
      <w:r w:rsidRPr="005F4C81">
        <w:rPr>
          <w:rFonts w:hAnsi="標楷體"/>
        </w:rPr>
        <w:t>82</w:t>
      </w:r>
      <w:r w:rsidRPr="005F4C81">
        <w:rPr>
          <w:rFonts w:hAnsi="標楷體" w:hint="eastAsia"/>
        </w:rPr>
        <w:t>億1,</w:t>
      </w:r>
      <w:r w:rsidRPr="005F4C81">
        <w:rPr>
          <w:rFonts w:hAnsi="標楷體"/>
        </w:rPr>
        <w:t>273</w:t>
      </w:r>
      <w:r w:rsidRPr="005F4C81">
        <w:rPr>
          <w:rFonts w:hAnsi="標楷體" w:hint="eastAsia"/>
        </w:rPr>
        <w:t>萬</w:t>
      </w:r>
      <w:r w:rsidRPr="005F4C81">
        <w:rPr>
          <w:rFonts w:hAnsi="標楷體"/>
        </w:rPr>
        <w:t>5</w:t>
      </w:r>
      <w:r w:rsidRPr="005F4C81">
        <w:rPr>
          <w:rFonts w:hAnsi="標楷體" w:hint="eastAsia"/>
        </w:rPr>
        <w:t>千元，減少</w:t>
      </w:r>
      <w:r w:rsidRPr="005F4C81">
        <w:rPr>
          <w:rFonts w:hAnsi="標楷體"/>
        </w:rPr>
        <w:t>1,943</w:t>
      </w:r>
      <w:r w:rsidRPr="005F4C81">
        <w:rPr>
          <w:rFonts w:hAnsi="標楷體" w:hint="eastAsia"/>
        </w:rPr>
        <w:t>億</w:t>
      </w:r>
      <w:r w:rsidRPr="005F4C81">
        <w:rPr>
          <w:rFonts w:hAnsi="標楷體"/>
        </w:rPr>
        <w:t>7</w:t>
      </w:r>
      <w:r w:rsidRPr="005F4C81">
        <w:rPr>
          <w:rFonts w:hAnsi="標楷體" w:hint="eastAsia"/>
        </w:rPr>
        <w:t>,</w:t>
      </w:r>
      <w:r w:rsidRPr="005F4C81">
        <w:rPr>
          <w:rFonts w:hAnsi="標楷體"/>
        </w:rPr>
        <w:t>175</w:t>
      </w:r>
      <w:r w:rsidRPr="005F4C81">
        <w:rPr>
          <w:rFonts w:hAnsi="標楷體" w:hint="eastAsia"/>
        </w:rPr>
        <w:t>萬元</w:t>
      </w:r>
      <w:r w:rsidRPr="005F4C81">
        <w:rPr>
          <w:rFonts w:hAnsi="標楷體" w:hint="eastAsia"/>
          <w:color w:val="000000"/>
        </w:rPr>
        <w:t>(減幅23.67倍)。經查：</w:t>
      </w:r>
    </w:p>
    <w:p w:rsidR="00700B45" w:rsidRPr="005F4C81" w:rsidRDefault="00700B45" w:rsidP="00A70266">
      <w:pPr>
        <w:pStyle w:val="a5"/>
        <w:ind w:left="851" w:hanging="284"/>
        <w:rPr>
          <w:rFonts w:hAnsi="標楷體" w:hint="eastAsia"/>
          <w:b/>
          <w:color w:val="000000"/>
        </w:rPr>
      </w:pPr>
      <w:r w:rsidRPr="005F4C81">
        <w:rPr>
          <w:rFonts w:hAnsi="標楷體" w:hint="eastAsia"/>
          <w:b/>
          <w:color w:val="000000"/>
        </w:rPr>
        <w:t>(一)111年度決算淨損</w:t>
      </w:r>
      <w:r w:rsidRPr="005F4C81">
        <w:rPr>
          <w:rFonts w:hAnsi="標楷體"/>
          <w:b/>
          <w:color w:val="000000"/>
        </w:rPr>
        <w:t>1,861</w:t>
      </w:r>
      <w:r w:rsidRPr="005F4C81">
        <w:rPr>
          <w:rFonts w:hAnsi="標楷體" w:hint="eastAsia"/>
          <w:b/>
          <w:color w:val="000000"/>
        </w:rPr>
        <w:t>億餘元，累積虧損高達6</w:t>
      </w:r>
      <w:r w:rsidRPr="005F4C81">
        <w:rPr>
          <w:rFonts w:hAnsi="標楷體"/>
          <w:b/>
          <w:color w:val="000000"/>
        </w:rPr>
        <w:t>49</w:t>
      </w:r>
      <w:r w:rsidRPr="005F4C81">
        <w:rPr>
          <w:rFonts w:hAnsi="標楷體" w:hint="eastAsia"/>
          <w:b/>
          <w:color w:val="000000"/>
        </w:rPr>
        <w:t>億餘元，占資本總額之49.88%</w:t>
      </w:r>
    </w:p>
    <w:p w:rsidR="00700B45" w:rsidRPr="005F4C81" w:rsidRDefault="00700B45" w:rsidP="006820B9">
      <w:pPr>
        <w:pStyle w:val="22"/>
        <w:ind w:left="850" w:firstLine="567"/>
        <w:rPr>
          <w:rFonts w:hAnsi="標楷體"/>
        </w:rPr>
      </w:pPr>
      <w:r w:rsidRPr="005F4C81">
        <w:rPr>
          <w:rFonts w:hAnsi="標楷體" w:hint="eastAsia"/>
        </w:rPr>
        <w:t>受</w:t>
      </w:r>
      <w:r w:rsidRPr="005F4C81">
        <w:rPr>
          <w:rFonts w:hAnsi="標楷體"/>
        </w:rPr>
        <w:t>COVID-19</w:t>
      </w:r>
      <w:r w:rsidRPr="005F4C81">
        <w:rPr>
          <w:rFonts w:hAnsi="標楷體" w:hint="eastAsia"/>
        </w:rPr>
        <w:t>疫情、烏俄戰爭及全球通貨膨脹等影響，台灣中油公司109至111年度原油採購每桶平均價格均高於預算估列之金額</w:t>
      </w:r>
      <w:r w:rsidRPr="005F4C81">
        <w:rPr>
          <w:rFonts w:hAnsi="標楷體"/>
        </w:rPr>
        <w:t>，</w:t>
      </w:r>
      <w:r w:rsidRPr="005F4C81">
        <w:rPr>
          <w:rFonts w:hAnsi="標楷體" w:hint="eastAsia"/>
        </w:rPr>
        <w:t>111年度決算營</w:t>
      </w:r>
      <w:r w:rsidR="00AA275C">
        <w:rPr>
          <w:rFonts w:hAnsi="標楷體" w:hint="eastAsia"/>
        </w:rPr>
        <w:t>運</w:t>
      </w:r>
      <w:r w:rsidRPr="005F4C81">
        <w:rPr>
          <w:rFonts w:hAnsi="標楷體" w:hint="eastAsia"/>
        </w:rPr>
        <w:t>成本率</w:t>
      </w:r>
      <w:r w:rsidR="00AA275C">
        <w:rPr>
          <w:rStyle w:val="af5"/>
          <w:rFonts w:hAnsi="標楷體"/>
        </w:rPr>
        <w:footnoteReference w:id="1"/>
      </w:r>
      <w:r w:rsidRPr="005F4C81">
        <w:rPr>
          <w:rFonts w:hAnsi="標楷體" w:hint="eastAsia"/>
        </w:rPr>
        <w:t>11</w:t>
      </w:r>
      <w:r w:rsidRPr="005F4C81">
        <w:rPr>
          <w:rFonts w:hAnsi="標楷體"/>
        </w:rPr>
        <w:t>6.69</w:t>
      </w:r>
      <w:r w:rsidRPr="005F4C81">
        <w:rPr>
          <w:rFonts w:hAnsi="標楷體" w:hint="eastAsia"/>
        </w:rPr>
        <w:t>%較</w:t>
      </w:r>
      <w:r w:rsidR="0051095C">
        <w:rPr>
          <w:rFonts w:hAnsi="標楷體" w:hint="eastAsia"/>
        </w:rPr>
        <w:t>該年度</w:t>
      </w:r>
      <w:r w:rsidRPr="005F4C81">
        <w:rPr>
          <w:rFonts w:hAnsi="標楷體" w:hint="eastAsia"/>
        </w:rPr>
        <w:t>法定預算</w:t>
      </w:r>
      <w:r w:rsidR="0051095C">
        <w:rPr>
          <w:rFonts w:hAnsi="標楷體" w:hint="eastAsia"/>
        </w:rPr>
        <w:t>之98.09%</w:t>
      </w:r>
      <w:r w:rsidRPr="005F4C81">
        <w:rPr>
          <w:rFonts w:hAnsi="標楷體" w:hint="eastAsia"/>
        </w:rPr>
        <w:t>增加</w:t>
      </w:r>
      <w:r w:rsidRPr="005F4C81">
        <w:rPr>
          <w:rFonts w:hAnsi="標楷體"/>
        </w:rPr>
        <w:t>18.6</w:t>
      </w:r>
      <w:r w:rsidRPr="005F4C81">
        <w:rPr>
          <w:rFonts w:hAnsi="標楷體" w:hint="eastAsia"/>
        </w:rPr>
        <w:t>個百分點，營業利益並由</w:t>
      </w:r>
      <w:r w:rsidR="0051095C">
        <w:rPr>
          <w:rFonts w:hAnsi="標楷體" w:hint="eastAsia"/>
        </w:rPr>
        <w:t>預計利益</w:t>
      </w:r>
      <w:r w:rsidRPr="005F4C81">
        <w:rPr>
          <w:rFonts w:hAnsi="標楷體" w:hint="eastAsia"/>
        </w:rPr>
        <w:t>轉為虧損2</w:t>
      </w:r>
      <w:r w:rsidRPr="005F4C81">
        <w:rPr>
          <w:rFonts w:hAnsi="標楷體"/>
        </w:rPr>
        <w:t>,039</w:t>
      </w:r>
      <w:r w:rsidRPr="005F4C81">
        <w:rPr>
          <w:rFonts w:hAnsi="標楷體" w:hint="eastAsia"/>
        </w:rPr>
        <w:t>億3</w:t>
      </w:r>
      <w:r w:rsidRPr="005F4C81">
        <w:rPr>
          <w:rFonts w:hAnsi="標楷體"/>
        </w:rPr>
        <w:t>,921</w:t>
      </w:r>
      <w:r w:rsidRPr="005F4C81">
        <w:rPr>
          <w:rFonts w:hAnsi="標楷體" w:hint="eastAsia"/>
        </w:rPr>
        <w:t>萬6千元，本期稅後淨損</w:t>
      </w:r>
      <w:r w:rsidRPr="005F4C81">
        <w:rPr>
          <w:rFonts w:hAnsi="標楷體"/>
        </w:rPr>
        <w:t>1,861</w:t>
      </w:r>
      <w:r w:rsidRPr="005F4C81">
        <w:rPr>
          <w:rFonts w:hAnsi="標楷體" w:hint="eastAsia"/>
        </w:rPr>
        <w:t>億5</w:t>
      </w:r>
      <w:r w:rsidRPr="005F4C81">
        <w:rPr>
          <w:rFonts w:hAnsi="標楷體"/>
        </w:rPr>
        <w:t>,</w:t>
      </w:r>
      <w:r w:rsidRPr="005F4C81">
        <w:rPr>
          <w:rFonts w:hAnsi="標楷體" w:hint="eastAsia"/>
        </w:rPr>
        <w:t>901萬5千元</w:t>
      </w:r>
      <w:r w:rsidR="0051095C">
        <w:rPr>
          <w:rFonts w:hAnsi="標楷體" w:hint="eastAsia"/>
        </w:rPr>
        <w:t>，爰</w:t>
      </w:r>
      <w:r w:rsidRPr="005F4C81">
        <w:rPr>
          <w:rFonts w:hAnsi="標楷體" w:hint="eastAsia"/>
        </w:rPr>
        <w:t>待填補虧損</w:t>
      </w:r>
      <w:r w:rsidR="0051095C">
        <w:rPr>
          <w:rFonts w:hAnsi="標楷體" w:hint="eastAsia"/>
        </w:rPr>
        <w:t>增加至</w:t>
      </w:r>
      <w:r w:rsidRPr="005F4C81">
        <w:rPr>
          <w:rFonts w:hAnsi="標楷體" w:hint="eastAsia"/>
        </w:rPr>
        <w:t>2</w:t>
      </w:r>
      <w:r w:rsidRPr="005F4C81">
        <w:rPr>
          <w:rFonts w:hAnsi="標楷體"/>
        </w:rPr>
        <w:t>,</w:t>
      </w:r>
      <w:r w:rsidRPr="005F4C81">
        <w:rPr>
          <w:rFonts w:hAnsi="標楷體" w:hint="eastAsia"/>
        </w:rPr>
        <w:t>281億8</w:t>
      </w:r>
      <w:r w:rsidRPr="005F4C81">
        <w:rPr>
          <w:rFonts w:hAnsi="標楷體"/>
        </w:rPr>
        <w:t>,965</w:t>
      </w:r>
      <w:r w:rsidRPr="005F4C81">
        <w:rPr>
          <w:rFonts w:hAnsi="標楷體" w:hint="eastAsia"/>
        </w:rPr>
        <w:t>萬1千元，經以無實質營運所得或現金流入之「首次採用國際財務報導準則調整數」1</w:t>
      </w:r>
      <w:r w:rsidRPr="005F4C81">
        <w:rPr>
          <w:rFonts w:hAnsi="標楷體"/>
        </w:rPr>
        <w:t>,632</w:t>
      </w:r>
      <w:r w:rsidRPr="005F4C81">
        <w:rPr>
          <w:rFonts w:hAnsi="標楷體" w:hint="eastAsia"/>
        </w:rPr>
        <w:t>億8</w:t>
      </w:r>
      <w:r w:rsidRPr="005F4C81">
        <w:rPr>
          <w:rFonts w:hAnsi="標楷體"/>
        </w:rPr>
        <w:t>,</w:t>
      </w:r>
      <w:r w:rsidRPr="005F4C81">
        <w:rPr>
          <w:rFonts w:hAnsi="標楷體" w:hint="eastAsia"/>
        </w:rPr>
        <w:t>920萬5千元全數填補虧損後，尚有累積虧損</w:t>
      </w:r>
      <w:r w:rsidRPr="005F4C81">
        <w:rPr>
          <w:rFonts w:hAnsi="標楷體" w:hint="eastAsia"/>
        </w:rPr>
        <w:lastRenderedPageBreak/>
        <w:t>6</w:t>
      </w:r>
      <w:r w:rsidRPr="005F4C81">
        <w:rPr>
          <w:rFonts w:hAnsi="標楷體"/>
        </w:rPr>
        <w:t>49</w:t>
      </w:r>
      <w:r w:rsidRPr="005F4C81">
        <w:rPr>
          <w:rFonts w:hAnsi="標楷體" w:hint="eastAsia"/>
        </w:rPr>
        <w:t>億</w:t>
      </w:r>
      <w:r w:rsidR="0051095C" w:rsidRPr="0051095C">
        <w:rPr>
          <w:rFonts w:hAnsi="標楷體" w:hint="eastAsia"/>
        </w:rPr>
        <w:t>4</w:t>
      </w:r>
      <w:r w:rsidRPr="0051095C">
        <w:rPr>
          <w:rFonts w:hAnsi="標楷體" w:hint="eastAsia"/>
        </w:rPr>
        <w:t>4</w:t>
      </w:r>
      <w:r w:rsidRPr="005F4C81">
        <w:rPr>
          <w:rFonts w:hAnsi="標楷體" w:hint="eastAsia"/>
        </w:rPr>
        <w:t>萬5千元，達資本總額</w:t>
      </w:r>
      <w:r w:rsidRPr="005F4C81">
        <w:rPr>
          <w:rFonts w:hAnsi="標楷體"/>
        </w:rPr>
        <w:t>1</w:t>
      </w:r>
      <w:r w:rsidRPr="005F4C81">
        <w:rPr>
          <w:rFonts w:hAnsi="標楷體" w:hint="eastAsia"/>
        </w:rPr>
        <w:t>,</w:t>
      </w:r>
      <w:r w:rsidRPr="005F4C81">
        <w:rPr>
          <w:rFonts w:hAnsi="標楷體"/>
        </w:rPr>
        <w:t>301億元</w:t>
      </w:r>
      <w:r w:rsidRPr="005F4C81">
        <w:rPr>
          <w:rFonts w:hAnsi="標楷體" w:hint="eastAsia"/>
        </w:rPr>
        <w:t>之49.88%。該公司近年虧損嚴重已影響盈餘繳庫</w:t>
      </w:r>
      <w:r w:rsidR="0051095C">
        <w:rPr>
          <w:rStyle w:val="af5"/>
          <w:rFonts w:hAnsi="標楷體"/>
        </w:rPr>
        <w:footnoteReference w:id="2"/>
      </w:r>
      <w:r w:rsidRPr="005F4C81">
        <w:rPr>
          <w:rFonts w:hAnsi="標楷體" w:hint="eastAsia"/>
        </w:rPr>
        <w:t>及財務結構之健全，實有必要全面檢討其營運狀況。</w:t>
      </w:r>
    </w:p>
    <w:p w:rsidR="00700B45" w:rsidRPr="005F4C81" w:rsidRDefault="00700B45" w:rsidP="00462937">
      <w:pPr>
        <w:pStyle w:val="a5"/>
        <w:ind w:left="851" w:hanging="284"/>
        <w:rPr>
          <w:rFonts w:hAnsi="標楷體" w:hint="eastAsia"/>
          <w:color w:val="000000"/>
        </w:rPr>
      </w:pPr>
      <w:r w:rsidRPr="005F4C81">
        <w:rPr>
          <w:rFonts w:hAnsi="標楷體" w:hint="eastAsia"/>
          <w:b/>
          <w:color w:val="000000"/>
        </w:rPr>
        <w:t>(二)近年營運產生鉅額虧損造成資金短缺，遂以舉債支應營運及投資所需資金，導致負債比率持續上升</w:t>
      </w:r>
    </w:p>
    <w:p w:rsidR="00700B45" w:rsidRPr="005F4C81" w:rsidRDefault="00700B45" w:rsidP="00462937">
      <w:pPr>
        <w:pStyle w:val="22"/>
        <w:ind w:left="850" w:firstLine="567"/>
        <w:rPr>
          <w:rFonts w:hAnsi="標楷體" w:hint="eastAsia"/>
          <w:color w:val="000000"/>
        </w:rPr>
      </w:pPr>
      <w:r w:rsidRPr="005F4C81">
        <w:rPr>
          <w:rFonts w:hAnsi="標楷體" w:hint="eastAsia"/>
          <w:color w:val="000000"/>
        </w:rPr>
        <w:t>台灣中油公司近年營運產生鉅額虧損造成資金短缺，係以舉債支應固定資產之建設改良及擴充、轉投資及營運資金等，致財務結構逐漸惡化。111年底負債總額9,000.27億元，負債比率攀升</w:t>
      </w:r>
      <w:r w:rsidR="002F283B">
        <w:rPr>
          <w:rFonts w:hAnsi="標楷體" w:hint="eastAsia"/>
          <w:color w:val="000000"/>
        </w:rPr>
        <w:t>至</w:t>
      </w:r>
      <w:r w:rsidRPr="005F4C81">
        <w:rPr>
          <w:rFonts w:hAnsi="標楷體" w:hint="eastAsia"/>
          <w:color w:val="000000"/>
        </w:rPr>
        <w:t>92.31%，較110年底</w:t>
      </w:r>
      <w:r w:rsidRPr="005F4C81">
        <w:rPr>
          <w:rFonts w:hAnsi="標楷體"/>
          <w:color w:val="000000"/>
        </w:rPr>
        <w:t>6</w:t>
      </w:r>
      <w:r w:rsidRPr="005F4C81">
        <w:rPr>
          <w:rFonts w:hAnsi="標楷體" w:hint="eastAsia"/>
          <w:color w:val="000000"/>
        </w:rPr>
        <w:t>8.88</w:t>
      </w:r>
      <w:r w:rsidRPr="005F4C81">
        <w:rPr>
          <w:rFonts w:hAnsi="標楷體"/>
          <w:color w:val="000000"/>
        </w:rPr>
        <w:t>%</w:t>
      </w:r>
      <w:r w:rsidRPr="005F4C81">
        <w:rPr>
          <w:rFonts w:hAnsi="標楷體" w:hint="eastAsia"/>
          <w:color w:val="000000"/>
        </w:rPr>
        <w:t>增加23.43個百分點(詳表1)，</w:t>
      </w:r>
      <w:r w:rsidRPr="005F4C81">
        <w:rPr>
          <w:rFonts w:hAnsi="標楷體" w:hint="eastAsia"/>
          <w:color w:val="000000"/>
          <w:kern w:val="0"/>
        </w:rPr>
        <w:t>財務結構</w:t>
      </w:r>
      <w:r w:rsidR="002F283B">
        <w:rPr>
          <w:rFonts w:hAnsi="標楷體" w:hint="eastAsia"/>
          <w:color w:val="000000"/>
          <w:kern w:val="0"/>
        </w:rPr>
        <w:t>明顯劣</w:t>
      </w:r>
      <w:r w:rsidRPr="005F4C81">
        <w:rPr>
          <w:rFonts w:hAnsi="標楷體" w:hint="eastAsia"/>
          <w:color w:val="000000"/>
          <w:kern w:val="0"/>
        </w:rPr>
        <w:t>化</w:t>
      </w:r>
      <w:r w:rsidRPr="005F4C81">
        <w:rPr>
          <w:rFonts w:hAnsi="標楷體" w:hint="eastAsia"/>
          <w:color w:val="000000"/>
        </w:rPr>
        <w:t>。</w:t>
      </w:r>
    </w:p>
    <w:p w:rsidR="00700B45" w:rsidRPr="005F4C81" w:rsidRDefault="00700B45" w:rsidP="00D53BEE">
      <w:pPr>
        <w:ind w:left="567" w:firstLine="567"/>
        <w:rPr>
          <w:rFonts w:hAnsi="標楷體"/>
          <w:color w:val="000000"/>
          <w:kern w:val="0"/>
        </w:rPr>
      </w:pPr>
      <w:r w:rsidRPr="005F4C81">
        <w:rPr>
          <w:rFonts w:hAnsi="標楷體" w:hint="eastAsia"/>
          <w:color w:val="000000"/>
        </w:rPr>
        <w:t>綜上，台灣中油公司自109年起轉盈為虧，111年度決算虧損擴大為1</w:t>
      </w:r>
      <w:r w:rsidRPr="005F4C81">
        <w:rPr>
          <w:rFonts w:hAnsi="標楷體"/>
          <w:color w:val="000000"/>
        </w:rPr>
        <w:t>,</w:t>
      </w:r>
      <w:r w:rsidRPr="005F4C81">
        <w:rPr>
          <w:rFonts w:hAnsi="標楷體" w:hint="eastAsia"/>
          <w:color w:val="000000"/>
        </w:rPr>
        <w:t>861.59億元，負債比率上升至</w:t>
      </w:r>
      <w:r w:rsidRPr="005F4C81">
        <w:rPr>
          <w:rFonts w:hAnsi="標楷體"/>
          <w:color w:val="000000"/>
        </w:rPr>
        <w:t>92.31</w:t>
      </w:r>
      <w:r w:rsidR="002F283B">
        <w:rPr>
          <w:rFonts w:hAnsi="標楷體" w:hint="eastAsia"/>
          <w:color w:val="000000"/>
        </w:rPr>
        <w:t>%</w:t>
      </w:r>
      <w:r w:rsidRPr="005F4C81">
        <w:rPr>
          <w:rFonts w:hAnsi="標楷體" w:hint="eastAsia"/>
          <w:color w:val="000000"/>
        </w:rPr>
        <w:t>，累積虧損已高達</w:t>
      </w:r>
      <w:r w:rsidRPr="005F4C81">
        <w:rPr>
          <w:rFonts w:hAnsi="標楷體"/>
          <w:color w:val="000000"/>
        </w:rPr>
        <w:t>649</w:t>
      </w:r>
      <w:r w:rsidRPr="005F4C81">
        <w:rPr>
          <w:rFonts w:hAnsi="標楷體" w:hint="eastAsia"/>
          <w:color w:val="000000"/>
        </w:rPr>
        <w:t>億</w:t>
      </w:r>
      <w:r w:rsidR="002F283B">
        <w:rPr>
          <w:rFonts w:hAnsi="標楷體" w:hint="eastAsia"/>
          <w:color w:val="000000"/>
        </w:rPr>
        <w:t>餘</w:t>
      </w:r>
      <w:r w:rsidRPr="005F4C81">
        <w:rPr>
          <w:rFonts w:hAnsi="標楷體" w:hint="eastAsia"/>
          <w:color w:val="000000"/>
          <w:kern w:val="0"/>
        </w:rPr>
        <w:t>元，占該</w:t>
      </w:r>
      <w:r w:rsidRPr="005F4C81">
        <w:rPr>
          <w:rFonts w:hAnsi="標楷體"/>
          <w:color w:val="000000"/>
          <w:kern w:val="0"/>
        </w:rPr>
        <w:t>公司資本額</w:t>
      </w:r>
      <w:r w:rsidRPr="005F4C81">
        <w:rPr>
          <w:rFonts w:hAnsi="標楷體" w:hint="eastAsia"/>
          <w:color w:val="000000"/>
          <w:kern w:val="0"/>
        </w:rPr>
        <w:t>之</w:t>
      </w:r>
      <w:r w:rsidRPr="005F4C81">
        <w:rPr>
          <w:rFonts w:hAnsi="標楷體"/>
          <w:color w:val="000000"/>
          <w:kern w:val="0"/>
        </w:rPr>
        <w:t>49.88%</w:t>
      </w:r>
      <w:r w:rsidRPr="005F4C81">
        <w:rPr>
          <w:rFonts w:hAnsi="標楷體" w:hint="eastAsia"/>
          <w:color w:val="000000"/>
          <w:kern w:val="0"/>
        </w:rPr>
        <w:t>，財務結構</w:t>
      </w:r>
      <w:r w:rsidR="002F283B">
        <w:rPr>
          <w:rFonts w:hAnsi="標楷體" w:hint="eastAsia"/>
          <w:color w:val="000000"/>
          <w:kern w:val="0"/>
        </w:rPr>
        <w:t>趨劣</w:t>
      </w:r>
      <w:r w:rsidRPr="005F4C81">
        <w:rPr>
          <w:rFonts w:hAnsi="標楷體" w:hint="eastAsia"/>
          <w:color w:val="000000"/>
          <w:kern w:val="0"/>
        </w:rPr>
        <w:t>化，允應積極研謀</w:t>
      </w:r>
      <w:r w:rsidRPr="005F4C81">
        <w:rPr>
          <w:rFonts w:hAnsi="標楷體" w:hint="eastAsia"/>
          <w:color w:val="000000"/>
        </w:rPr>
        <w:t>提升營運績效及獲利能力</w:t>
      </w:r>
      <w:r w:rsidRPr="005F4C81">
        <w:rPr>
          <w:rFonts w:hAnsi="標楷體" w:hint="eastAsia"/>
          <w:color w:val="000000"/>
          <w:kern w:val="0"/>
        </w:rPr>
        <w:t>，檢討並落實執行開源節流措施，以改善經營體質及財務狀況。</w:t>
      </w:r>
    </w:p>
    <w:p w:rsidR="00700B45" w:rsidRPr="005F4C81" w:rsidRDefault="00700B45" w:rsidP="00462937">
      <w:pPr>
        <w:pStyle w:val="a5"/>
        <w:ind w:leftChars="193" w:left="838" w:hangingChars="107" w:hanging="291"/>
        <w:rPr>
          <w:rFonts w:hAnsi="標楷體"/>
          <w:b/>
          <w:color w:val="000000"/>
          <w:spacing w:val="-6"/>
        </w:rPr>
      </w:pPr>
      <w:r w:rsidRPr="005F4C81">
        <w:rPr>
          <w:rFonts w:hAnsi="標楷體" w:hint="eastAsia"/>
          <w:b/>
          <w:color w:val="000000"/>
          <w:spacing w:val="-6"/>
        </w:rPr>
        <w:t>表1  台灣中油公司109</w:t>
      </w:r>
      <w:r w:rsidR="002F283B">
        <w:rPr>
          <w:rFonts w:hAnsi="標楷體" w:hint="eastAsia"/>
          <w:b/>
          <w:color w:val="000000"/>
          <w:spacing w:val="-6"/>
        </w:rPr>
        <w:t>至</w:t>
      </w:r>
      <w:r w:rsidRPr="005F4C81">
        <w:rPr>
          <w:rFonts w:hAnsi="標楷體" w:hint="eastAsia"/>
          <w:b/>
          <w:color w:val="000000"/>
          <w:spacing w:val="-6"/>
        </w:rPr>
        <w:t>111年度收支及重要財務指標彙整表</w:t>
      </w:r>
    </w:p>
    <w:p w:rsidR="00700B45" w:rsidRPr="005F4C81" w:rsidRDefault="00700B45" w:rsidP="00462937">
      <w:pPr>
        <w:pStyle w:val="a5"/>
        <w:spacing w:line="280" w:lineRule="exact"/>
        <w:ind w:leftChars="193" w:left="547" w:firstLineChars="0" w:firstLine="0"/>
        <w:jc w:val="right"/>
        <w:rPr>
          <w:rFonts w:hAnsi="標楷體" w:hint="eastAsia"/>
          <w:b/>
          <w:color w:val="000000"/>
        </w:rPr>
      </w:pPr>
      <w:r w:rsidRPr="005F4C81">
        <w:rPr>
          <w:rFonts w:hAnsi="標楷體" w:hint="eastAsia"/>
          <w:b/>
          <w:color w:val="000000"/>
        </w:rPr>
        <w:t xml:space="preserve">   </w:t>
      </w:r>
      <w:r w:rsidRPr="005F4C81">
        <w:rPr>
          <w:rFonts w:hAnsi="標楷體" w:hint="eastAsia"/>
          <w:color w:val="000000"/>
          <w:sz w:val="24"/>
        </w:rPr>
        <w:t>單位:新臺幣億元；%</w:t>
      </w:r>
    </w:p>
    <w:tbl>
      <w:tblPr>
        <w:tblW w:w="7993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8"/>
        <w:gridCol w:w="1998"/>
        <w:gridCol w:w="1998"/>
        <w:gridCol w:w="1999"/>
      </w:tblGrid>
      <w:tr w:rsidR="00700B45" w:rsidRPr="005F4C81" w:rsidTr="00ED5F42">
        <w:trPr>
          <w:tblHeader/>
        </w:trPr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項目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109年度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110年度</w:t>
            </w:r>
          </w:p>
        </w:tc>
        <w:tc>
          <w:tcPr>
            <w:tcW w:w="1999" w:type="dxa"/>
            <w:shd w:val="clear" w:color="auto" w:fill="auto"/>
          </w:tcPr>
          <w:p w:rsidR="00700B45" w:rsidRPr="005F4C81" w:rsidRDefault="00700B45" w:rsidP="00440C00">
            <w:pPr>
              <w:pStyle w:val="142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11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1</w:t>
            </w: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年度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總收入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,314.26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,088.71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2,318.25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總支出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,387.66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,481.55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4,</w:t>
            </w: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179.84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稅後淨利(淨損)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73.4</w:t>
            </w: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392.84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1,861.59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營業利益率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1.49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3.25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16.69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累積盈餘(虧損)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-25.38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-418.99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-649.00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總資產報酬率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-0.68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-4.77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20.49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業主權益報酬率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-2.45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-14.13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/>
                <w:color w:val="000000"/>
                <w:sz w:val="22"/>
                <w:szCs w:val="22"/>
              </w:rPr>
              <w:t>-110.46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期末負債總額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,431.80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5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,801.64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ind w:leftChars="-50" w:left="-142" w:rightChars="-20" w:right="-57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,000.27</w:t>
            </w:r>
          </w:p>
        </w:tc>
      </w:tr>
      <w:tr w:rsidR="00700B45" w:rsidRPr="005F4C81" w:rsidTr="00E84B1F">
        <w:tc>
          <w:tcPr>
            <w:tcW w:w="1998" w:type="dxa"/>
            <w:shd w:val="clear" w:color="auto" w:fill="auto"/>
          </w:tcPr>
          <w:p w:rsidR="00700B45" w:rsidRPr="005F4C81" w:rsidRDefault="00700B45" w:rsidP="00440C00">
            <w:pPr>
              <w:pStyle w:val="142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負債占資產比率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0.11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8.88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700B45" w:rsidRPr="005F4C81" w:rsidRDefault="00700B45" w:rsidP="00440C00">
            <w:pPr>
              <w:pStyle w:val="142"/>
              <w:jc w:val="right"/>
              <w:rPr>
                <w:rFonts w:hAnsi="標楷體" w:hint="eastAsia"/>
                <w:color w:val="000000"/>
                <w:sz w:val="22"/>
                <w:szCs w:val="22"/>
              </w:rPr>
            </w:pPr>
            <w:r w:rsidRPr="005F4C81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5F4C81">
              <w:rPr>
                <w:rFonts w:hAnsi="標楷體"/>
                <w:color w:val="000000"/>
                <w:sz w:val="22"/>
                <w:szCs w:val="22"/>
              </w:rPr>
              <w:t>2.31</w:t>
            </w:r>
          </w:p>
        </w:tc>
      </w:tr>
    </w:tbl>
    <w:p w:rsidR="00654DFA" w:rsidRPr="005F4C81" w:rsidRDefault="00700B45" w:rsidP="00FA3BFC">
      <w:pPr>
        <w:spacing w:line="280" w:lineRule="exact"/>
        <w:ind w:left="1541" w:hangingChars="400" w:hanging="974"/>
        <w:rPr>
          <w:rFonts w:hAnsi="標楷體"/>
        </w:rPr>
      </w:pPr>
      <w:r w:rsidRPr="005F4C81">
        <w:rPr>
          <w:rFonts w:hAnsi="標楷體" w:hint="eastAsia"/>
          <w:color w:val="000000"/>
          <w:sz w:val="24"/>
          <w:szCs w:val="24"/>
        </w:rPr>
        <w:t>資料來源：台灣中油公司各年度預、決算書。</w:t>
      </w:r>
      <w:bookmarkEnd w:id="12"/>
      <w:bookmarkEnd w:id="10"/>
      <w:bookmarkEnd w:id="1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654DFA" w:rsidRPr="005F4C81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253" w:rsidRDefault="00D85253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85253" w:rsidRDefault="00D85253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A3BFC" w:rsidRPr="00FA3BF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253" w:rsidRDefault="00D85253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85253" w:rsidRDefault="00D85253" w:rsidP="00E10E5E">
      <w:pPr>
        <w:spacing w:line="240" w:lineRule="auto"/>
        <w:ind w:left="560" w:firstLine="560"/>
      </w:pPr>
      <w:r>
        <w:continuationSeparator/>
      </w:r>
    </w:p>
  </w:footnote>
  <w:footnote w:id="1">
    <w:p w:rsidR="00AA275C" w:rsidRPr="00AA275C" w:rsidRDefault="00AA275C" w:rsidP="00AA275C">
      <w:pPr>
        <w:pStyle w:val="af3"/>
        <w:spacing w:line="280" w:lineRule="exact"/>
        <w:ind w:leftChars="0" w:left="0" w:firstLineChars="0" w:firstLine="0"/>
        <w:jc w:val="both"/>
        <w:rPr>
          <w:rFonts w:hint="eastAsia"/>
          <w:sz w:val="24"/>
          <w:szCs w:val="24"/>
        </w:rPr>
      </w:pPr>
      <w:r w:rsidRPr="00AA275C">
        <w:rPr>
          <w:rStyle w:val="af5"/>
          <w:sz w:val="24"/>
          <w:szCs w:val="24"/>
        </w:rPr>
        <w:footnoteRef/>
      </w:r>
      <w:r w:rsidRPr="00AA275C">
        <w:rPr>
          <w:rFonts w:hint="eastAsia"/>
          <w:sz w:val="24"/>
          <w:szCs w:val="24"/>
        </w:rPr>
        <w:t>營運成本率=(營業成本+營業費用)/營業收入。</w:t>
      </w:r>
    </w:p>
  </w:footnote>
  <w:footnote w:id="2">
    <w:p w:rsidR="0051095C" w:rsidRPr="0051095C" w:rsidRDefault="0051095C" w:rsidP="0051095C">
      <w:pPr>
        <w:pStyle w:val="af3"/>
        <w:spacing w:line="280" w:lineRule="exact"/>
        <w:ind w:leftChars="0" w:left="90" w:hangingChars="37" w:hanging="90"/>
        <w:jc w:val="both"/>
        <w:rPr>
          <w:rFonts w:hint="eastAsia"/>
          <w:sz w:val="24"/>
          <w:szCs w:val="24"/>
        </w:rPr>
      </w:pPr>
      <w:r w:rsidRPr="0051095C">
        <w:rPr>
          <w:rStyle w:val="af5"/>
          <w:sz w:val="24"/>
          <w:szCs w:val="24"/>
        </w:rPr>
        <w:footnoteRef/>
      </w:r>
      <w:r w:rsidRPr="0051095C">
        <w:rPr>
          <w:rFonts w:hint="eastAsia"/>
          <w:sz w:val="24"/>
          <w:szCs w:val="24"/>
        </w:rPr>
        <w:t>台灣中油公司因決算虧損已連續3年(109至111年度)未辦理繳庫，爰</w:t>
      </w:r>
      <w:r w:rsidR="002F283B">
        <w:rPr>
          <w:rFonts w:hint="eastAsia"/>
          <w:sz w:val="24"/>
          <w:szCs w:val="24"/>
        </w:rPr>
        <w:t>所編盈餘繳庫預算數各為45.47億元、5</w:t>
      </w:r>
      <w:r w:rsidR="00317DEA">
        <w:rPr>
          <w:rFonts w:hint="eastAsia"/>
          <w:sz w:val="24"/>
          <w:szCs w:val="24"/>
        </w:rPr>
        <w:t>6.55</w:t>
      </w:r>
      <w:r w:rsidR="002F283B">
        <w:rPr>
          <w:rFonts w:hint="eastAsia"/>
          <w:sz w:val="24"/>
          <w:szCs w:val="24"/>
        </w:rPr>
        <w:t>億元及30.32億元均未執行。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44E7"/>
    <w:rsid w:val="00004682"/>
    <w:rsid w:val="00004E14"/>
    <w:rsid w:val="0000508F"/>
    <w:rsid w:val="00005106"/>
    <w:rsid w:val="0000766D"/>
    <w:rsid w:val="00010547"/>
    <w:rsid w:val="00010818"/>
    <w:rsid w:val="00010B46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DF8"/>
    <w:rsid w:val="00021EF5"/>
    <w:rsid w:val="00022102"/>
    <w:rsid w:val="00022B64"/>
    <w:rsid w:val="00022D87"/>
    <w:rsid w:val="000236E6"/>
    <w:rsid w:val="00023722"/>
    <w:rsid w:val="00023DE2"/>
    <w:rsid w:val="0002425C"/>
    <w:rsid w:val="00024445"/>
    <w:rsid w:val="00024F59"/>
    <w:rsid w:val="00025436"/>
    <w:rsid w:val="0002663F"/>
    <w:rsid w:val="00026B0E"/>
    <w:rsid w:val="00026DB4"/>
    <w:rsid w:val="00027CBF"/>
    <w:rsid w:val="00030363"/>
    <w:rsid w:val="0003083E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32DF"/>
    <w:rsid w:val="00054A57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676A"/>
    <w:rsid w:val="00086B14"/>
    <w:rsid w:val="00086E2D"/>
    <w:rsid w:val="00086E93"/>
    <w:rsid w:val="0008745E"/>
    <w:rsid w:val="000874C0"/>
    <w:rsid w:val="00087506"/>
    <w:rsid w:val="00087A68"/>
    <w:rsid w:val="00087C55"/>
    <w:rsid w:val="000903CA"/>
    <w:rsid w:val="000929EF"/>
    <w:rsid w:val="00094C04"/>
    <w:rsid w:val="00096A1C"/>
    <w:rsid w:val="0009746D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F7B"/>
    <w:rsid w:val="000D0092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28E9"/>
    <w:rsid w:val="000F2CFB"/>
    <w:rsid w:val="000F365C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20A96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3346"/>
    <w:rsid w:val="001439D9"/>
    <w:rsid w:val="00144857"/>
    <w:rsid w:val="00144CA5"/>
    <w:rsid w:val="00145D85"/>
    <w:rsid w:val="00146490"/>
    <w:rsid w:val="00146EA2"/>
    <w:rsid w:val="0015133A"/>
    <w:rsid w:val="0015248B"/>
    <w:rsid w:val="00153A4A"/>
    <w:rsid w:val="00153F87"/>
    <w:rsid w:val="00154356"/>
    <w:rsid w:val="001543CF"/>
    <w:rsid w:val="00155441"/>
    <w:rsid w:val="001561D8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BB0"/>
    <w:rsid w:val="00170AC5"/>
    <w:rsid w:val="00170D6F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2141"/>
    <w:rsid w:val="0018265A"/>
    <w:rsid w:val="0018379F"/>
    <w:rsid w:val="001840E0"/>
    <w:rsid w:val="0018733B"/>
    <w:rsid w:val="00187F3C"/>
    <w:rsid w:val="00187F7F"/>
    <w:rsid w:val="001907FA"/>
    <w:rsid w:val="00190C03"/>
    <w:rsid w:val="00191293"/>
    <w:rsid w:val="00192338"/>
    <w:rsid w:val="0019247F"/>
    <w:rsid w:val="001928A0"/>
    <w:rsid w:val="00192C17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FC9"/>
    <w:rsid w:val="001A460B"/>
    <w:rsid w:val="001A5AB0"/>
    <w:rsid w:val="001A7B36"/>
    <w:rsid w:val="001B0E3B"/>
    <w:rsid w:val="001B1DE1"/>
    <w:rsid w:val="001B2E6C"/>
    <w:rsid w:val="001B308D"/>
    <w:rsid w:val="001B4BAF"/>
    <w:rsid w:val="001B4E54"/>
    <w:rsid w:val="001B5F8A"/>
    <w:rsid w:val="001B6E44"/>
    <w:rsid w:val="001C21CB"/>
    <w:rsid w:val="001C283A"/>
    <w:rsid w:val="001C532D"/>
    <w:rsid w:val="001C54EA"/>
    <w:rsid w:val="001C6391"/>
    <w:rsid w:val="001C7BC2"/>
    <w:rsid w:val="001C7F92"/>
    <w:rsid w:val="001D17A5"/>
    <w:rsid w:val="001D1AED"/>
    <w:rsid w:val="001D347C"/>
    <w:rsid w:val="001D3BFC"/>
    <w:rsid w:val="001D3EEF"/>
    <w:rsid w:val="001D4775"/>
    <w:rsid w:val="001D58CE"/>
    <w:rsid w:val="001D5FE6"/>
    <w:rsid w:val="001D77B6"/>
    <w:rsid w:val="001D7CC8"/>
    <w:rsid w:val="001E0837"/>
    <w:rsid w:val="001E0900"/>
    <w:rsid w:val="001E0B1F"/>
    <w:rsid w:val="001E1EC7"/>
    <w:rsid w:val="001E30C8"/>
    <w:rsid w:val="001E3B38"/>
    <w:rsid w:val="001E43F8"/>
    <w:rsid w:val="001E513F"/>
    <w:rsid w:val="001E5641"/>
    <w:rsid w:val="001E60EF"/>
    <w:rsid w:val="001E7957"/>
    <w:rsid w:val="001E7F66"/>
    <w:rsid w:val="001F09FD"/>
    <w:rsid w:val="001F17F6"/>
    <w:rsid w:val="001F18FB"/>
    <w:rsid w:val="001F1D8E"/>
    <w:rsid w:val="001F431D"/>
    <w:rsid w:val="001F4511"/>
    <w:rsid w:val="001F69F0"/>
    <w:rsid w:val="001F71F6"/>
    <w:rsid w:val="00201830"/>
    <w:rsid w:val="00203378"/>
    <w:rsid w:val="0020367A"/>
    <w:rsid w:val="00205109"/>
    <w:rsid w:val="00205B29"/>
    <w:rsid w:val="00205EF1"/>
    <w:rsid w:val="00210E98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7E1"/>
    <w:rsid w:val="0022430B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40034"/>
    <w:rsid w:val="0024035A"/>
    <w:rsid w:val="00240BA0"/>
    <w:rsid w:val="00240EAE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E4F"/>
    <w:rsid w:val="00247645"/>
    <w:rsid w:val="00247829"/>
    <w:rsid w:val="00250B0F"/>
    <w:rsid w:val="00251152"/>
    <w:rsid w:val="002513BC"/>
    <w:rsid w:val="00251A7C"/>
    <w:rsid w:val="0025207B"/>
    <w:rsid w:val="002552BA"/>
    <w:rsid w:val="0025562C"/>
    <w:rsid w:val="00255C52"/>
    <w:rsid w:val="00256285"/>
    <w:rsid w:val="00256AA7"/>
    <w:rsid w:val="00256D92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F0204"/>
    <w:rsid w:val="002F080F"/>
    <w:rsid w:val="002F0A21"/>
    <w:rsid w:val="002F0F76"/>
    <w:rsid w:val="002F1145"/>
    <w:rsid w:val="002F263F"/>
    <w:rsid w:val="002F280A"/>
    <w:rsid w:val="002F283B"/>
    <w:rsid w:val="002F34D9"/>
    <w:rsid w:val="002F3A4B"/>
    <w:rsid w:val="002F3F24"/>
    <w:rsid w:val="002F4129"/>
    <w:rsid w:val="002F41A9"/>
    <w:rsid w:val="002F421C"/>
    <w:rsid w:val="002F4BDD"/>
    <w:rsid w:val="002F5FBE"/>
    <w:rsid w:val="0030122E"/>
    <w:rsid w:val="00301823"/>
    <w:rsid w:val="00301C72"/>
    <w:rsid w:val="00301E9C"/>
    <w:rsid w:val="003021AE"/>
    <w:rsid w:val="00303475"/>
    <w:rsid w:val="0030351B"/>
    <w:rsid w:val="00304C38"/>
    <w:rsid w:val="00305AD8"/>
    <w:rsid w:val="00305EB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A68"/>
    <w:rsid w:val="00316510"/>
    <w:rsid w:val="0031774C"/>
    <w:rsid w:val="00317DEA"/>
    <w:rsid w:val="00320CA5"/>
    <w:rsid w:val="00321BE6"/>
    <w:rsid w:val="00323127"/>
    <w:rsid w:val="003231A0"/>
    <w:rsid w:val="003255FF"/>
    <w:rsid w:val="00325EA8"/>
    <w:rsid w:val="003264CB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372"/>
    <w:rsid w:val="003375BC"/>
    <w:rsid w:val="00337732"/>
    <w:rsid w:val="003419EA"/>
    <w:rsid w:val="00341B67"/>
    <w:rsid w:val="003421C4"/>
    <w:rsid w:val="00342ED0"/>
    <w:rsid w:val="003453BA"/>
    <w:rsid w:val="003455B2"/>
    <w:rsid w:val="0034595F"/>
    <w:rsid w:val="00345CA9"/>
    <w:rsid w:val="00350375"/>
    <w:rsid w:val="00350D54"/>
    <w:rsid w:val="00350EA2"/>
    <w:rsid w:val="00351054"/>
    <w:rsid w:val="003526A4"/>
    <w:rsid w:val="003551B0"/>
    <w:rsid w:val="00355CD7"/>
    <w:rsid w:val="00355E08"/>
    <w:rsid w:val="003565AC"/>
    <w:rsid w:val="00356E67"/>
    <w:rsid w:val="003579AF"/>
    <w:rsid w:val="003604CC"/>
    <w:rsid w:val="003613FC"/>
    <w:rsid w:val="003626FB"/>
    <w:rsid w:val="00362ABD"/>
    <w:rsid w:val="00362B08"/>
    <w:rsid w:val="003638D8"/>
    <w:rsid w:val="00365347"/>
    <w:rsid w:val="00365FC2"/>
    <w:rsid w:val="00365FEF"/>
    <w:rsid w:val="003662C3"/>
    <w:rsid w:val="0036631E"/>
    <w:rsid w:val="00367F9F"/>
    <w:rsid w:val="00370394"/>
    <w:rsid w:val="00372CD1"/>
    <w:rsid w:val="00372FC8"/>
    <w:rsid w:val="003730DF"/>
    <w:rsid w:val="00373667"/>
    <w:rsid w:val="0037464C"/>
    <w:rsid w:val="003768E6"/>
    <w:rsid w:val="00376C67"/>
    <w:rsid w:val="00377BD7"/>
    <w:rsid w:val="00382A46"/>
    <w:rsid w:val="00382B30"/>
    <w:rsid w:val="00382B8B"/>
    <w:rsid w:val="00383BED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A00E5"/>
    <w:rsid w:val="003A03D1"/>
    <w:rsid w:val="003A0637"/>
    <w:rsid w:val="003A0BF4"/>
    <w:rsid w:val="003A1DB1"/>
    <w:rsid w:val="003A2028"/>
    <w:rsid w:val="003A2C5A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CF4"/>
    <w:rsid w:val="003C4E0C"/>
    <w:rsid w:val="003C5844"/>
    <w:rsid w:val="003C63F1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3046"/>
    <w:rsid w:val="003E36A1"/>
    <w:rsid w:val="003E3899"/>
    <w:rsid w:val="003E3965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862"/>
    <w:rsid w:val="00467D68"/>
    <w:rsid w:val="00470D32"/>
    <w:rsid w:val="004712BA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205E"/>
    <w:rsid w:val="00482DE8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3985"/>
    <w:rsid w:val="004A3CA1"/>
    <w:rsid w:val="004A46C9"/>
    <w:rsid w:val="004A4B51"/>
    <w:rsid w:val="004A4FA2"/>
    <w:rsid w:val="004A560A"/>
    <w:rsid w:val="004A7221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1408"/>
    <w:rsid w:val="004C2A39"/>
    <w:rsid w:val="004C2C37"/>
    <w:rsid w:val="004C34F1"/>
    <w:rsid w:val="004C4804"/>
    <w:rsid w:val="004C4EA3"/>
    <w:rsid w:val="004C547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E38"/>
    <w:rsid w:val="004E2AC9"/>
    <w:rsid w:val="004E415C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E6F"/>
    <w:rsid w:val="00517E7B"/>
    <w:rsid w:val="00520036"/>
    <w:rsid w:val="00520FDF"/>
    <w:rsid w:val="005215E1"/>
    <w:rsid w:val="0052193C"/>
    <w:rsid w:val="00522B6B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EE"/>
    <w:rsid w:val="00547496"/>
    <w:rsid w:val="00550479"/>
    <w:rsid w:val="00550982"/>
    <w:rsid w:val="00550E10"/>
    <w:rsid w:val="005518B1"/>
    <w:rsid w:val="00552354"/>
    <w:rsid w:val="005525FA"/>
    <w:rsid w:val="005535E4"/>
    <w:rsid w:val="00554B52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6AD4"/>
    <w:rsid w:val="00596CA4"/>
    <w:rsid w:val="00597830"/>
    <w:rsid w:val="005A016B"/>
    <w:rsid w:val="005A0339"/>
    <w:rsid w:val="005A1533"/>
    <w:rsid w:val="005A1C0B"/>
    <w:rsid w:val="005A2516"/>
    <w:rsid w:val="005A2A4E"/>
    <w:rsid w:val="005A3318"/>
    <w:rsid w:val="005A42FA"/>
    <w:rsid w:val="005A44C1"/>
    <w:rsid w:val="005A4769"/>
    <w:rsid w:val="005A4D55"/>
    <w:rsid w:val="005A4DD6"/>
    <w:rsid w:val="005A5EEC"/>
    <w:rsid w:val="005A78AB"/>
    <w:rsid w:val="005B013C"/>
    <w:rsid w:val="005B14D3"/>
    <w:rsid w:val="005B14ED"/>
    <w:rsid w:val="005B3CD4"/>
    <w:rsid w:val="005B4971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EAC"/>
    <w:rsid w:val="005C7FB7"/>
    <w:rsid w:val="005D1863"/>
    <w:rsid w:val="005D2956"/>
    <w:rsid w:val="005D31F9"/>
    <w:rsid w:val="005D4AAE"/>
    <w:rsid w:val="005D5210"/>
    <w:rsid w:val="005D527F"/>
    <w:rsid w:val="005D5DB0"/>
    <w:rsid w:val="005D6183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C81"/>
    <w:rsid w:val="005E34F3"/>
    <w:rsid w:val="005E6C24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5C3E"/>
    <w:rsid w:val="0060617F"/>
    <w:rsid w:val="00606360"/>
    <w:rsid w:val="00606AB3"/>
    <w:rsid w:val="0060733B"/>
    <w:rsid w:val="00607D8D"/>
    <w:rsid w:val="006101BD"/>
    <w:rsid w:val="006105FC"/>
    <w:rsid w:val="00610935"/>
    <w:rsid w:val="00610B53"/>
    <w:rsid w:val="0061162B"/>
    <w:rsid w:val="0061265A"/>
    <w:rsid w:val="00612E11"/>
    <w:rsid w:val="0061388B"/>
    <w:rsid w:val="00614174"/>
    <w:rsid w:val="00615139"/>
    <w:rsid w:val="006154B9"/>
    <w:rsid w:val="00615AAC"/>
    <w:rsid w:val="0061612D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D6F"/>
    <w:rsid w:val="006221D4"/>
    <w:rsid w:val="00623229"/>
    <w:rsid w:val="00625100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241C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274C"/>
    <w:rsid w:val="00652C9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53BD"/>
    <w:rsid w:val="006B5403"/>
    <w:rsid w:val="006B7559"/>
    <w:rsid w:val="006B7A40"/>
    <w:rsid w:val="006B7FA6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2A8D"/>
    <w:rsid w:val="006E30E3"/>
    <w:rsid w:val="006E32A1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41D"/>
    <w:rsid w:val="00707037"/>
    <w:rsid w:val="00707DC8"/>
    <w:rsid w:val="00710401"/>
    <w:rsid w:val="007106E9"/>
    <w:rsid w:val="007109A8"/>
    <w:rsid w:val="007112DE"/>
    <w:rsid w:val="0071186B"/>
    <w:rsid w:val="00711971"/>
    <w:rsid w:val="00711D26"/>
    <w:rsid w:val="00711F6B"/>
    <w:rsid w:val="007134D4"/>
    <w:rsid w:val="00713AC5"/>
    <w:rsid w:val="0071428D"/>
    <w:rsid w:val="0071480A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460"/>
    <w:rsid w:val="007324D7"/>
    <w:rsid w:val="00732636"/>
    <w:rsid w:val="007327C9"/>
    <w:rsid w:val="00733A3E"/>
    <w:rsid w:val="00733BD0"/>
    <w:rsid w:val="00733E67"/>
    <w:rsid w:val="007360E6"/>
    <w:rsid w:val="00740F3C"/>
    <w:rsid w:val="007411C2"/>
    <w:rsid w:val="00741270"/>
    <w:rsid w:val="00741CCF"/>
    <w:rsid w:val="00741E5E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7D41"/>
    <w:rsid w:val="00751600"/>
    <w:rsid w:val="00751B16"/>
    <w:rsid w:val="00751DC4"/>
    <w:rsid w:val="00753F44"/>
    <w:rsid w:val="00754363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266"/>
    <w:rsid w:val="007A2874"/>
    <w:rsid w:val="007A2995"/>
    <w:rsid w:val="007A29DE"/>
    <w:rsid w:val="007A2B61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45D6"/>
    <w:rsid w:val="007C55D6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5899"/>
    <w:rsid w:val="0084626E"/>
    <w:rsid w:val="00846EB9"/>
    <w:rsid w:val="0084713C"/>
    <w:rsid w:val="0085012C"/>
    <w:rsid w:val="00851060"/>
    <w:rsid w:val="008511E2"/>
    <w:rsid w:val="00852635"/>
    <w:rsid w:val="00852A47"/>
    <w:rsid w:val="00852C44"/>
    <w:rsid w:val="008530C5"/>
    <w:rsid w:val="00853FD7"/>
    <w:rsid w:val="008542D5"/>
    <w:rsid w:val="0085584D"/>
    <w:rsid w:val="0085663E"/>
    <w:rsid w:val="00856651"/>
    <w:rsid w:val="00856B7E"/>
    <w:rsid w:val="0085798F"/>
    <w:rsid w:val="00857A3C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504"/>
    <w:rsid w:val="008700E5"/>
    <w:rsid w:val="0087075F"/>
    <w:rsid w:val="0087095A"/>
    <w:rsid w:val="00870EE9"/>
    <w:rsid w:val="00872540"/>
    <w:rsid w:val="00872703"/>
    <w:rsid w:val="00873147"/>
    <w:rsid w:val="00873619"/>
    <w:rsid w:val="0087388D"/>
    <w:rsid w:val="008738C9"/>
    <w:rsid w:val="008747C0"/>
    <w:rsid w:val="00875D4C"/>
    <w:rsid w:val="00877FDE"/>
    <w:rsid w:val="008807DE"/>
    <w:rsid w:val="00881D70"/>
    <w:rsid w:val="008821C8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4A03"/>
    <w:rsid w:val="00894D5D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4451"/>
    <w:rsid w:val="008A470C"/>
    <w:rsid w:val="008A4863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519"/>
    <w:rsid w:val="008D2631"/>
    <w:rsid w:val="008D2F7B"/>
    <w:rsid w:val="008D3C1A"/>
    <w:rsid w:val="008D3D41"/>
    <w:rsid w:val="008D4A2D"/>
    <w:rsid w:val="008D4E92"/>
    <w:rsid w:val="008D6565"/>
    <w:rsid w:val="008E01F8"/>
    <w:rsid w:val="008E1520"/>
    <w:rsid w:val="008E1E21"/>
    <w:rsid w:val="008E3815"/>
    <w:rsid w:val="008E3903"/>
    <w:rsid w:val="008E3A69"/>
    <w:rsid w:val="008E4002"/>
    <w:rsid w:val="008E5155"/>
    <w:rsid w:val="008E5F5D"/>
    <w:rsid w:val="008E76D4"/>
    <w:rsid w:val="008F0032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FF3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EED"/>
    <w:rsid w:val="00967B3A"/>
    <w:rsid w:val="00970763"/>
    <w:rsid w:val="00970B31"/>
    <w:rsid w:val="009735C5"/>
    <w:rsid w:val="009739C2"/>
    <w:rsid w:val="0097418F"/>
    <w:rsid w:val="00974C0F"/>
    <w:rsid w:val="00975429"/>
    <w:rsid w:val="009758C8"/>
    <w:rsid w:val="00977C3B"/>
    <w:rsid w:val="009817A2"/>
    <w:rsid w:val="00982485"/>
    <w:rsid w:val="00984DE2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52DB"/>
    <w:rsid w:val="00995CB6"/>
    <w:rsid w:val="0099689D"/>
    <w:rsid w:val="009968AE"/>
    <w:rsid w:val="009968C0"/>
    <w:rsid w:val="00996C68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B8E"/>
    <w:rsid w:val="009A65CF"/>
    <w:rsid w:val="009A6915"/>
    <w:rsid w:val="009A6E4A"/>
    <w:rsid w:val="009A7362"/>
    <w:rsid w:val="009A7C42"/>
    <w:rsid w:val="009A7FAB"/>
    <w:rsid w:val="009B0231"/>
    <w:rsid w:val="009B16D5"/>
    <w:rsid w:val="009B1876"/>
    <w:rsid w:val="009B25BB"/>
    <w:rsid w:val="009B2E0D"/>
    <w:rsid w:val="009B3E9A"/>
    <w:rsid w:val="009B4B55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F2013"/>
    <w:rsid w:val="009F24C5"/>
    <w:rsid w:val="009F2570"/>
    <w:rsid w:val="009F286E"/>
    <w:rsid w:val="009F4008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441E"/>
    <w:rsid w:val="00A0445B"/>
    <w:rsid w:val="00A04ED5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5BC6"/>
    <w:rsid w:val="00A265AA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3043"/>
    <w:rsid w:val="00A43914"/>
    <w:rsid w:val="00A43DD2"/>
    <w:rsid w:val="00A44064"/>
    <w:rsid w:val="00A446AE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2CF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50BD"/>
    <w:rsid w:val="00A750EB"/>
    <w:rsid w:val="00A7560A"/>
    <w:rsid w:val="00A759AD"/>
    <w:rsid w:val="00A764CB"/>
    <w:rsid w:val="00A804B5"/>
    <w:rsid w:val="00A806A2"/>
    <w:rsid w:val="00A808AF"/>
    <w:rsid w:val="00A82806"/>
    <w:rsid w:val="00A8383A"/>
    <w:rsid w:val="00A83E50"/>
    <w:rsid w:val="00A85D47"/>
    <w:rsid w:val="00A8600E"/>
    <w:rsid w:val="00A87D5C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F1D"/>
    <w:rsid w:val="00A957CB"/>
    <w:rsid w:val="00A95930"/>
    <w:rsid w:val="00A97C37"/>
    <w:rsid w:val="00AA0C0D"/>
    <w:rsid w:val="00AA114A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42F"/>
    <w:rsid w:val="00AC1477"/>
    <w:rsid w:val="00AC30B6"/>
    <w:rsid w:val="00AC3624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59F9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EF6"/>
    <w:rsid w:val="00AF4FE8"/>
    <w:rsid w:val="00AF547A"/>
    <w:rsid w:val="00AF5E16"/>
    <w:rsid w:val="00AF635A"/>
    <w:rsid w:val="00AF6D4A"/>
    <w:rsid w:val="00AF7785"/>
    <w:rsid w:val="00B00C37"/>
    <w:rsid w:val="00B013AA"/>
    <w:rsid w:val="00B01423"/>
    <w:rsid w:val="00B01DA9"/>
    <w:rsid w:val="00B0290A"/>
    <w:rsid w:val="00B03DAE"/>
    <w:rsid w:val="00B045D2"/>
    <w:rsid w:val="00B05DF5"/>
    <w:rsid w:val="00B06362"/>
    <w:rsid w:val="00B0736F"/>
    <w:rsid w:val="00B078C5"/>
    <w:rsid w:val="00B10879"/>
    <w:rsid w:val="00B12822"/>
    <w:rsid w:val="00B14BB3"/>
    <w:rsid w:val="00B14FBC"/>
    <w:rsid w:val="00B158A1"/>
    <w:rsid w:val="00B161BF"/>
    <w:rsid w:val="00B16BE7"/>
    <w:rsid w:val="00B17835"/>
    <w:rsid w:val="00B2014D"/>
    <w:rsid w:val="00B21098"/>
    <w:rsid w:val="00B2122A"/>
    <w:rsid w:val="00B223E7"/>
    <w:rsid w:val="00B24408"/>
    <w:rsid w:val="00B24690"/>
    <w:rsid w:val="00B24F22"/>
    <w:rsid w:val="00B2503D"/>
    <w:rsid w:val="00B2504A"/>
    <w:rsid w:val="00B25F9D"/>
    <w:rsid w:val="00B262E3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40242"/>
    <w:rsid w:val="00B402EC"/>
    <w:rsid w:val="00B40E30"/>
    <w:rsid w:val="00B4261B"/>
    <w:rsid w:val="00B426BC"/>
    <w:rsid w:val="00B429FB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25CF"/>
    <w:rsid w:val="00B53BF7"/>
    <w:rsid w:val="00B54EEF"/>
    <w:rsid w:val="00B55C74"/>
    <w:rsid w:val="00B56313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6E1"/>
    <w:rsid w:val="00B776F7"/>
    <w:rsid w:val="00B80860"/>
    <w:rsid w:val="00B80BF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90EF1"/>
    <w:rsid w:val="00B91645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7D"/>
    <w:rsid w:val="00BA3C34"/>
    <w:rsid w:val="00BA4C5A"/>
    <w:rsid w:val="00BA588E"/>
    <w:rsid w:val="00BA6532"/>
    <w:rsid w:val="00BA67D4"/>
    <w:rsid w:val="00BA6BA7"/>
    <w:rsid w:val="00BA71E5"/>
    <w:rsid w:val="00BA7531"/>
    <w:rsid w:val="00BA78C8"/>
    <w:rsid w:val="00BB1066"/>
    <w:rsid w:val="00BB1443"/>
    <w:rsid w:val="00BB2B30"/>
    <w:rsid w:val="00BB2C9C"/>
    <w:rsid w:val="00BB2E1F"/>
    <w:rsid w:val="00BB2EC4"/>
    <w:rsid w:val="00BB30AE"/>
    <w:rsid w:val="00BB352B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F5E"/>
    <w:rsid w:val="00BD50D2"/>
    <w:rsid w:val="00BD6CAB"/>
    <w:rsid w:val="00BD77C1"/>
    <w:rsid w:val="00BD7934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83F"/>
    <w:rsid w:val="00BE386E"/>
    <w:rsid w:val="00BE3FA5"/>
    <w:rsid w:val="00BE431B"/>
    <w:rsid w:val="00BE46BF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896"/>
    <w:rsid w:val="00C02DB0"/>
    <w:rsid w:val="00C0488D"/>
    <w:rsid w:val="00C048FA"/>
    <w:rsid w:val="00C04A4E"/>
    <w:rsid w:val="00C05633"/>
    <w:rsid w:val="00C056F6"/>
    <w:rsid w:val="00C059C1"/>
    <w:rsid w:val="00C0652E"/>
    <w:rsid w:val="00C06B5C"/>
    <w:rsid w:val="00C07FBD"/>
    <w:rsid w:val="00C1042D"/>
    <w:rsid w:val="00C118D0"/>
    <w:rsid w:val="00C11EE2"/>
    <w:rsid w:val="00C121F4"/>
    <w:rsid w:val="00C1246E"/>
    <w:rsid w:val="00C13223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F31"/>
    <w:rsid w:val="00C22A39"/>
    <w:rsid w:val="00C233C3"/>
    <w:rsid w:val="00C24017"/>
    <w:rsid w:val="00C244B3"/>
    <w:rsid w:val="00C2698C"/>
    <w:rsid w:val="00C26CF5"/>
    <w:rsid w:val="00C3072A"/>
    <w:rsid w:val="00C31615"/>
    <w:rsid w:val="00C328E3"/>
    <w:rsid w:val="00C33270"/>
    <w:rsid w:val="00C34D3F"/>
    <w:rsid w:val="00C35813"/>
    <w:rsid w:val="00C35872"/>
    <w:rsid w:val="00C369BE"/>
    <w:rsid w:val="00C373E7"/>
    <w:rsid w:val="00C40C2E"/>
    <w:rsid w:val="00C4165E"/>
    <w:rsid w:val="00C42A93"/>
    <w:rsid w:val="00C4341B"/>
    <w:rsid w:val="00C43C46"/>
    <w:rsid w:val="00C441DE"/>
    <w:rsid w:val="00C442A7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75B"/>
    <w:rsid w:val="00C565F7"/>
    <w:rsid w:val="00C57260"/>
    <w:rsid w:val="00C57AC3"/>
    <w:rsid w:val="00C57F8F"/>
    <w:rsid w:val="00C603C5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C05"/>
    <w:rsid w:val="00C7719A"/>
    <w:rsid w:val="00C776DC"/>
    <w:rsid w:val="00C778F8"/>
    <w:rsid w:val="00C77A31"/>
    <w:rsid w:val="00C77E77"/>
    <w:rsid w:val="00C80068"/>
    <w:rsid w:val="00C80676"/>
    <w:rsid w:val="00C807D4"/>
    <w:rsid w:val="00C81289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A31"/>
    <w:rsid w:val="00C91DA7"/>
    <w:rsid w:val="00C921C5"/>
    <w:rsid w:val="00C92940"/>
    <w:rsid w:val="00C92B20"/>
    <w:rsid w:val="00C9509C"/>
    <w:rsid w:val="00C9555A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30C"/>
    <w:rsid w:val="00CA55C0"/>
    <w:rsid w:val="00CA5C5D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D0B5A"/>
    <w:rsid w:val="00CD13A0"/>
    <w:rsid w:val="00CD1B6A"/>
    <w:rsid w:val="00CD22DD"/>
    <w:rsid w:val="00CD2C5D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F3E"/>
    <w:rsid w:val="00CF52F7"/>
    <w:rsid w:val="00CF5565"/>
    <w:rsid w:val="00CF5886"/>
    <w:rsid w:val="00CF5958"/>
    <w:rsid w:val="00CF6B40"/>
    <w:rsid w:val="00CF7EBC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6281"/>
    <w:rsid w:val="00D0691F"/>
    <w:rsid w:val="00D06AE1"/>
    <w:rsid w:val="00D074C5"/>
    <w:rsid w:val="00D10FA7"/>
    <w:rsid w:val="00D11AC4"/>
    <w:rsid w:val="00D11D52"/>
    <w:rsid w:val="00D13C5F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ED4"/>
    <w:rsid w:val="00D27E71"/>
    <w:rsid w:val="00D3022F"/>
    <w:rsid w:val="00D32237"/>
    <w:rsid w:val="00D32CC1"/>
    <w:rsid w:val="00D32F65"/>
    <w:rsid w:val="00D33781"/>
    <w:rsid w:val="00D343F8"/>
    <w:rsid w:val="00D362C7"/>
    <w:rsid w:val="00D3651C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B38"/>
    <w:rsid w:val="00D43EEF"/>
    <w:rsid w:val="00D4504D"/>
    <w:rsid w:val="00D45E3A"/>
    <w:rsid w:val="00D46B7E"/>
    <w:rsid w:val="00D51CE1"/>
    <w:rsid w:val="00D52266"/>
    <w:rsid w:val="00D529BD"/>
    <w:rsid w:val="00D52F01"/>
    <w:rsid w:val="00D538BB"/>
    <w:rsid w:val="00D53BEE"/>
    <w:rsid w:val="00D53D07"/>
    <w:rsid w:val="00D53D3E"/>
    <w:rsid w:val="00D543C9"/>
    <w:rsid w:val="00D54BC1"/>
    <w:rsid w:val="00D54ECE"/>
    <w:rsid w:val="00D5538F"/>
    <w:rsid w:val="00D557F1"/>
    <w:rsid w:val="00D56280"/>
    <w:rsid w:val="00D56C63"/>
    <w:rsid w:val="00D57315"/>
    <w:rsid w:val="00D574F7"/>
    <w:rsid w:val="00D608CF"/>
    <w:rsid w:val="00D627C6"/>
    <w:rsid w:val="00D62C5A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5138"/>
    <w:rsid w:val="00D751CD"/>
    <w:rsid w:val="00D75C0B"/>
    <w:rsid w:val="00D75CAD"/>
    <w:rsid w:val="00D75F39"/>
    <w:rsid w:val="00D769F3"/>
    <w:rsid w:val="00D77567"/>
    <w:rsid w:val="00D777C3"/>
    <w:rsid w:val="00D80450"/>
    <w:rsid w:val="00D8078A"/>
    <w:rsid w:val="00D807C3"/>
    <w:rsid w:val="00D808C7"/>
    <w:rsid w:val="00D8287A"/>
    <w:rsid w:val="00D83F99"/>
    <w:rsid w:val="00D844F0"/>
    <w:rsid w:val="00D84C73"/>
    <w:rsid w:val="00D85253"/>
    <w:rsid w:val="00D85B97"/>
    <w:rsid w:val="00D860B5"/>
    <w:rsid w:val="00D86EBF"/>
    <w:rsid w:val="00D90178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F81"/>
    <w:rsid w:val="00DA2F6A"/>
    <w:rsid w:val="00DA311E"/>
    <w:rsid w:val="00DA4A10"/>
    <w:rsid w:val="00DA75B7"/>
    <w:rsid w:val="00DA7AC2"/>
    <w:rsid w:val="00DB009A"/>
    <w:rsid w:val="00DB01B8"/>
    <w:rsid w:val="00DB0333"/>
    <w:rsid w:val="00DB0528"/>
    <w:rsid w:val="00DB0C7C"/>
    <w:rsid w:val="00DB23EF"/>
    <w:rsid w:val="00DB418B"/>
    <w:rsid w:val="00DB46E1"/>
    <w:rsid w:val="00DB6049"/>
    <w:rsid w:val="00DB6136"/>
    <w:rsid w:val="00DB61AB"/>
    <w:rsid w:val="00DB629F"/>
    <w:rsid w:val="00DB663A"/>
    <w:rsid w:val="00DC08E5"/>
    <w:rsid w:val="00DC1152"/>
    <w:rsid w:val="00DC16A9"/>
    <w:rsid w:val="00DC1DDD"/>
    <w:rsid w:val="00DC254C"/>
    <w:rsid w:val="00DC26A2"/>
    <w:rsid w:val="00DC36F0"/>
    <w:rsid w:val="00DC3A26"/>
    <w:rsid w:val="00DC6320"/>
    <w:rsid w:val="00DC6747"/>
    <w:rsid w:val="00DC74D2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855"/>
    <w:rsid w:val="00DE22A5"/>
    <w:rsid w:val="00DE3206"/>
    <w:rsid w:val="00DE38B4"/>
    <w:rsid w:val="00DE5346"/>
    <w:rsid w:val="00DE58BA"/>
    <w:rsid w:val="00DE5DCE"/>
    <w:rsid w:val="00DE6BE5"/>
    <w:rsid w:val="00DE722E"/>
    <w:rsid w:val="00DE7276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75CE"/>
    <w:rsid w:val="00E70318"/>
    <w:rsid w:val="00E70FFD"/>
    <w:rsid w:val="00E71532"/>
    <w:rsid w:val="00E71A34"/>
    <w:rsid w:val="00E71F36"/>
    <w:rsid w:val="00E72BB2"/>
    <w:rsid w:val="00E72DE6"/>
    <w:rsid w:val="00E72E41"/>
    <w:rsid w:val="00E72FAA"/>
    <w:rsid w:val="00E738C1"/>
    <w:rsid w:val="00E74CAC"/>
    <w:rsid w:val="00E74D9B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EFC"/>
    <w:rsid w:val="00E86CA1"/>
    <w:rsid w:val="00E874C4"/>
    <w:rsid w:val="00E87EFB"/>
    <w:rsid w:val="00E903BC"/>
    <w:rsid w:val="00E906C0"/>
    <w:rsid w:val="00E90ADC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DFB"/>
    <w:rsid w:val="00EB6F06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55A8"/>
    <w:rsid w:val="00EC55C0"/>
    <w:rsid w:val="00EC5943"/>
    <w:rsid w:val="00EC6DFC"/>
    <w:rsid w:val="00EC7752"/>
    <w:rsid w:val="00ED037F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4058"/>
    <w:rsid w:val="00EF40DE"/>
    <w:rsid w:val="00EF4703"/>
    <w:rsid w:val="00F0018D"/>
    <w:rsid w:val="00F0233B"/>
    <w:rsid w:val="00F032F0"/>
    <w:rsid w:val="00F03D2A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601C"/>
    <w:rsid w:val="00F36716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168B"/>
    <w:rsid w:val="00F518E4"/>
    <w:rsid w:val="00F51C28"/>
    <w:rsid w:val="00F52036"/>
    <w:rsid w:val="00F524A6"/>
    <w:rsid w:val="00F5269B"/>
    <w:rsid w:val="00F52AFE"/>
    <w:rsid w:val="00F52DFF"/>
    <w:rsid w:val="00F531D1"/>
    <w:rsid w:val="00F53D82"/>
    <w:rsid w:val="00F54187"/>
    <w:rsid w:val="00F545BF"/>
    <w:rsid w:val="00F54BFC"/>
    <w:rsid w:val="00F550D2"/>
    <w:rsid w:val="00F56959"/>
    <w:rsid w:val="00F56F41"/>
    <w:rsid w:val="00F60478"/>
    <w:rsid w:val="00F61157"/>
    <w:rsid w:val="00F61E0D"/>
    <w:rsid w:val="00F6222D"/>
    <w:rsid w:val="00F6224D"/>
    <w:rsid w:val="00F63361"/>
    <w:rsid w:val="00F63A05"/>
    <w:rsid w:val="00F63E1C"/>
    <w:rsid w:val="00F6424B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6B40"/>
    <w:rsid w:val="00F76B79"/>
    <w:rsid w:val="00F77278"/>
    <w:rsid w:val="00F774A7"/>
    <w:rsid w:val="00F77EBB"/>
    <w:rsid w:val="00F8036E"/>
    <w:rsid w:val="00F80D0F"/>
    <w:rsid w:val="00F815AF"/>
    <w:rsid w:val="00F820E4"/>
    <w:rsid w:val="00F822BC"/>
    <w:rsid w:val="00F823E7"/>
    <w:rsid w:val="00F825C0"/>
    <w:rsid w:val="00F82DBA"/>
    <w:rsid w:val="00F84ED2"/>
    <w:rsid w:val="00F856D6"/>
    <w:rsid w:val="00F86709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29B8"/>
    <w:rsid w:val="00FA2E94"/>
    <w:rsid w:val="00FA2F31"/>
    <w:rsid w:val="00FA335F"/>
    <w:rsid w:val="00FA3899"/>
    <w:rsid w:val="00FA3A83"/>
    <w:rsid w:val="00FA3BFC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6748"/>
    <w:rsid w:val="00FD7DD8"/>
    <w:rsid w:val="00FD7FAC"/>
    <w:rsid w:val="00FE07CD"/>
    <w:rsid w:val="00FE0B41"/>
    <w:rsid w:val="00FE2326"/>
    <w:rsid w:val="00FE2B57"/>
    <w:rsid w:val="00FE47A3"/>
    <w:rsid w:val="00FE48A5"/>
    <w:rsid w:val="00FE4A9B"/>
    <w:rsid w:val="00FE4CA0"/>
    <w:rsid w:val="00FE4E01"/>
    <w:rsid w:val="00FE4E02"/>
    <w:rsid w:val="00FE5A80"/>
    <w:rsid w:val="00FE6112"/>
    <w:rsid w:val="00FE730D"/>
    <w:rsid w:val="00FE7A5D"/>
    <w:rsid w:val="00FE7FCF"/>
    <w:rsid w:val="00FF1126"/>
    <w:rsid w:val="00FF1421"/>
    <w:rsid w:val="00FF1E1F"/>
    <w:rsid w:val="00FF231A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2E5315C-97DB-4ED1-B6E4-3A453E375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 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 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 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 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 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 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 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tabs>
        <w:tab w:val="right" w:leader="hyphen" w:pos="8490"/>
      </w:tabs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 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 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 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 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 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 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 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 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 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E9A81-15D5-4CD3-8A09-C08862C16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2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Links>
    <vt:vector size="36" baseType="variant">
      <vt:variant>
        <vt:i4>3407916</vt:i4>
      </vt:variant>
      <vt:variant>
        <vt:i4>33</vt:i4>
      </vt:variant>
      <vt:variant>
        <vt:i4>0</vt:i4>
      </vt:variant>
      <vt:variant>
        <vt:i4>5</vt:i4>
      </vt:variant>
      <vt:variant>
        <vt:lpwstr>https://udn.com/search/tagging/2/%E7%A9%BA%E6%B1%99</vt:lpwstr>
      </vt:variant>
      <vt:variant>
        <vt:lpwstr/>
      </vt:variant>
      <vt:variant>
        <vt:i4>1245232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_Toc164257075</vt:lpwstr>
      </vt:variant>
      <vt:variant>
        <vt:i4>1245232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_Toc164257074</vt:lpwstr>
      </vt:variant>
      <vt:variant>
        <vt:i4>1245232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_Toc164257073</vt:lpwstr>
      </vt:variant>
      <vt:variant>
        <vt:i4>1245232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_Toc164257072</vt:lpwstr>
      </vt:variant>
      <vt:variant>
        <vt:i4>1245232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_Toc164257071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2024-04-17T06:37:00Z</cp:lastPrinted>
  <dcterms:created xsi:type="dcterms:W3CDTF">2024-04-18T01:41:00Z</dcterms:created>
  <dcterms:modified xsi:type="dcterms:W3CDTF">2024-04-18T01:41:00Z</dcterms:modified>
</cp:coreProperties>
</file>