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5F4C81" w:rsidRDefault="00535ADA" w:rsidP="004C34F1">
      <w:pPr>
        <w:pStyle w:val="ab"/>
        <w:rPr>
          <w:rFonts w:hAnsi="標楷體" w:hint="eastAsia"/>
          <w:color w:val="000000"/>
        </w:rPr>
      </w:pPr>
      <w:bookmarkStart w:id="0" w:name="_GoBack"/>
      <w:bookmarkEnd w:id="0"/>
      <w:r w:rsidRPr="005F4C81">
        <w:rPr>
          <w:rFonts w:hAnsi="標楷體" w:hint="eastAsia"/>
          <w:color w:val="000000"/>
        </w:rPr>
        <w:t>台灣中油股份有限公司1</w:t>
      </w:r>
      <w:r w:rsidR="00230994" w:rsidRPr="005F4C81">
        <w:rPr>
          <w:rFonts w:hAnsi="標楷體" w:hint="eastAsia"/>
          <w:color w:val="000000"/>
        </w:rPr>
        <w:t>1</w:t>
      </w:r>
      <w:r w:rsidR="00060DDA" w:rsidRPr="005F4C81">
        <w:rPr>
          <w:rFonts w:hAnsi="標楷體" w:hint="eastAsia"/>
          <w:color w:val="000000"/>
        </w:rPr>
        <w:t>1</w:t>
      </w:r>
      <w:r w:rsidRPr="005F4C81">
        <w:rPr>
          <w:rFonts w:hAnsi="標楷體" w:hint="eastAsia"/>
          <w:color w:val="000000"/>
        </w:rPr>
        <w:t>年度營業</w:t>
      </w:r>
      <w:r w:rsidR="007F1315" w:rsidRPr="005F4C81">
        <w:rPr>
          <w:rFonts w:hAnsi="標楷體" w:hint="eastAsia"/>
          <w:color w:val="000000"/>
        </w:rPr>
        <w:t>決</w:t>
      </w:r>
      <w:r w:rsidRPr="005F4C81">
        <w:rPr>
          <w:rFonts w:hAnsi="標楷體" w:hint="eastAsia"/>
          <w:color w:val="000000"/>
        </w:rPr>
        <w:t>算評估報告</w:t>
      </w:r>
    </w:p>
    <w:p w:rsidR="007F1315" w:rsidRPr="005F4C81" w:rsidRDefault="007F1315" w:rsidP="007F1315">
      <w:pPr>
        <w:pStyle w:val="a9"/>
        <w:ind w:firstLine="567"/>
        <w:rPr>
          <w:rFonts w:hAnsi="標楷體" w:hint="eastAsia"/>
        </w:rPr>
      </w:pPr>
      <w:r w:rsidRPr="005F4C81">
        <w:rPr>
          <w:rFonts w:hAnsi="標楷體" w:hint="eastAsia"/>
        </w:rPr>
        <w:t>台灣中油股份有限公司(下稱台灣中油公司)1</w:t>
      </w:r>
      <w:r w:rsidR="00813129" w:rsidRPr="005F4C81">
        <w:rPr>
          <w:rFonts w:hAnsi="標楷體" w:hint="eastAsia"/>
        </w:rPr>
        <w:t>1</w:t>
      </w:r>
      <w:r w:rsidR="00060DDA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年度決算審定(以下同)淨</w:t>
      </w:r>
      <w:r w:rsidR="005D70DB" w:rsidRPr="005F4C81">
        <w:rPr>
          <w:rFonts w:hAnsi="標楷體" w:hint="eastAsia"/>
        </w:rPr>
        <w:t>損</w:t>
      </w:r>
      <w:r w:rsidR="00C75BAE" w:rsidRPr="005F4C81">
        <w:rPr>
          <w:rFonts w:hAnsi="標楷體"/>
        </w:rPr>
        <w:t>1,861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901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千元，較預算淨利</w:t>
      </w:r>
      <w:r w:rsidR="00C75BAE" w:rsidRPr="005F4C81">
        <w:rPr>
          <w:rFonts w:hAnsi="標楷體"/>
        </w:rPr>
        <w:t>82</w:t>
      </w:r>
      <w:r w:rsidRPr="005F4C81">
        <w:rPr>
          <w:rFonts w:hAnsi="標楷體" w:hint="eastAsia"/>
        </w:rPr>
        <w:t>億</w:t>
      </w:r>
      <w:r w:rsidR="00813129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273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="00813129" w:rsidRPr="005F4C81">
        <w:rPr>
          <w:rFonts w:hAnsi="標楷體" w:hint="eastAsia"/>
        </w:rPr>
        <w:t>千</w:t>
      </w:r>
      <w:r w:rsidRPr="005F4C81">
        <w:rPr>
          <w:rFonts w:hAnsi="標楷體" w:hint="eastAsia"/>
        </w:rPr>
        <w:t>元，</w:t>
      </w:r>
      <w:r w:rsidR="005D70DB" w:rsidRPr="005F4C81">
        <w:rPr>
          <w:rFonts w:hAnsi="標楷體" w:hint="eastAsia"/>
        </w:rPr>
        <w:t>減少</w:t>
      </w:r>
      <w:r w:rsidR="00C77E77">
        <w:rPr>
          <w:rFonts w:hAnsi="標楷體" w:hint="eastAsia"/>
        </w:rPr>
        <w:t>淨利</w:t>
      </w:r>
      <w:r w:rsidR="00C75BAE" w:rsidRPr="005F4C81">
        <w:rPr>
          <w:rFonts w:hAnsi="標楷體"/>
        </w:rPr>
        <w:t>1,943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7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175</w:t>
      </w:r>
      <w:r w:rsidRPr="005F4C81">
        <w:rPr>
          <w:rFonts w:hAnsi="標楷體" w:hint="eastAsia"/>
        </w:rPr>
        <w:t>萬元</w:t>
      </w:r>
      <w:r w:rsidR="006F02BF" w:rsidRPr="005F4C81">
        <w:rPr>
          <w:rFonts w:hAnsi="標楷體" w:hint="eastAsia"/>
        </w:rPr>
        <w:t>，</w:t>
      </w:r>
      <w:r w:rsidRPr="005F4C81">
        <w:rPr>
          <w:rFonts w:hAnsi="標楷體" w:hint="eastAsia"/>
        </w:rPr>
        <w:t>主要係因</w:t>
      </w:r>
      <w:r w:rsidR="00813129" w:rsidRPr="005F4C81">
        <w:rPr>
          <w:rFonts w:hAnsi="標楷體" w:hint="eastAsia"/>
        </w:rPr>
        <w:t>進口原油暨凝結油</w:t>
      </w:r>
      <w:r w:rsidR="006F3DBB" w:rsidRPr="005F4C81">
        <w:rPr>
          <w:rFonts w:hAnsi="標楷體" w:hint="eastAsia"/>
        </w:rPr>
        <w:t>及天然氣</w:t>
      </w:r>
      <w:r w:rsidR="00813129" w:rsidRPr="005F4C81">
        <w:rPr>
          <w:rFonts w:hAnsi="標楷體" w:hint="eastAsia"/>
        </w:rPr>
        <w:t>成本增加及</w:t>
      </w:r>
      <w:r w:rsidR="006F3DBB" w:rsidRPr="005F4C81">
        <w:rPr>
          <w:rFonts w:hAnsi="標楷體" w:hint="eastAsia"/>
        </w:rPr>
        <w:t>配合穩定物價政策，售價未配合油、氣價公式足額調整所致</w:t>
      </w:r>
      <w:r w:rsidRPr="005F4C81">
        <w:rPr>
          <w:rFonts w:hAnsi="標楷體" w:hint="eastAsia"/>
        </w:rPr>
        <w:t>。有關</w:t>
      </w:r>
      <w:r w:rsidR="003F1CF1" w:rsidRPr="005F4C81">
        <w:rPr>
          <w:rFonts w:hAnsi="標楷體" w:hint="eastAsia"/>
        </w:rPr>
        <w:t>台灣中油公司</w:t>
      </w:r>
      <w:r w:rsidRPr="005F4C81">
        <w:rPr>
          <w:rFonts w:hAnsi="標楷體" w:hint="eastAsia"/>
        </w:rPr>
        <w:t>1</w:t>
      </w:r>
      <w:r w:rsidR="00813129" w:rsidRPr="005F4C81">
        <w:rPr>
          <w:rFonts w:hAnsi="標楷體" w:hint="eastAsia"/>
        </w:rPr>
        <w:t>1</w:t>
      </w:r>
      <w:r w:rsidR="00C75BAE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年度營業預算執行狀況評析如下：</w:t>
      </w:r>
    </w:p>
    <w:p w:rsidR="00700B45" w:rsidRPr="00F079B9" w:rsidRDefault="00700B45" w:rsidP="009264F0">
      <w:pPr>
        <w:pStyle w:val="14"/>
        <w:spacing w:beforeLines="100" w:before="516"/>
        <w:ind w:left="567" w:hanging="567"/>
        <w:rPr>
          <w:rFonts w:hAnsi="標楷體"/>
          <w:color w:val="000000"/>
        </w:rPr>
      </w:pPr>
      <w:bookmarkStart w:id="1" w:name="_Toc3170791"/>
      <w:bookmarkStart w:id="2" w:name="_Toc60137822"/>
      <w:bookmarkStart w:id="3" w:name="_Toc60137826"/>
      <w:bookmarkStart w:id="4" w:name="_Toc307216978"/>
      <w:bookmarkStart w:id="5" w:name="_Toc307218028"/>
      <w:bookmarkStart w:id="6" w:name="_Toc307218166"/>
      <w:bookmarkStart w:id="7" w:name="_Toc433707924"/>
      <w:bookmarkStart w:id="8" w:name="_Toc467171356"/>
      <w:bookmarkStart w:id="9" w:name="_Toc531338051"/>
      <w:bookmarkStart w:id="10" w:name="_Toc56673973"/>
      <w:bookmarkStart w:id="11" w:name="_Toc119058820"/>
      <w:bookmarkStart w:id="12" w:name="_Toc119058806"/>
      <w:bookmarkStart w:id="13" w:name="_Toc452804215"/>
      <w:bookmarkStart w:id="14" w:name="_Toc457200035"/>
      <w:bookmarkStart w:id="15" w:name="_Toc455150871"/>
      <w:bookmarkStart w:id="16" w:name="_Toc461469779"/>
      <w:bookmarkStart w:id="17" w:name="_Toc467171369"/>
      <w:bookmarkStart w:id="18" w:name="_Toc499297003"/>
      <w:bookmarkStart w:id="19" w:name="_Toc119058807"/>
      <w:bookmarkStart w:id="20" w:name="_Toc149836490"/>
      <w:bookmarkStart w:id="21" w:name="_Toc161054340"/>
      <w:bookmarkStart w:id="22" w:name="_Toc164257073"/>
      <w:r w:rsidRPr="00F079B9">
        <w:rPr>
          <w:rFonts w:hAnsi="標楷體" w:hint="eastAsia"/>
          <w:color w:val="000000"/>
        </w:rPr>
        <w:t>三、1</w:t>
      </w:r>
      <w:r w:rsidRPr="00F079B9">
        <w:rPr>
          <w:rFonts w:hAnsi="標楷體"/>
          <w:color w:val="000000"/>
        </w:rPr>
        <w:t>11</w:t>
      </w:r>
      <w:r w:rsidRPr="00F079B9">
        <w:rPr>
          <w:rFonts w:hAnsi="標楷體" w:hint="eastAsia"/>
          <w:color w:val="000000"/>
        </w:rPr>
        <w:t>年底</w:t>
      </w:r>
      <w:r w:rsidR="005721FE">
        <w:rPr>
          <w:rFonts w:hAnsi="標楷體" w:hint="eastAsia"/>
          <w:color w:val="000000"/>
        </w:rPr>
        <w:t>維護</w:t>
      </w:r>
      <w:r w:rsidRPr="00F079B9">
        <w:rPr>
          <w:rFonts w:hAnsi="標楷體" w:hint="eastAsia"/>
          <w:color w:val="000000"/>
        </w:rPr>
        <w:t>料庫存龐鉅並超逾目標值，</w:t>
      </w:r>
      <w:r w:rsidR="005721FE">
        <w:rPr>
          <w:rFonts w:hAnsi="標楷體" w:hint="eastAsia"/>
          <w:color w:val="000000"/>
        </w:rPr>
        <w:t>其中</w:t>
      </w:r>
      <w:r w:rsidRPr="00F079B9">
        <w:rPr>
          <w:rFonts w:hAnsi="標楷體" w:hint="eastAsia"/>
          <w:color w:val="000000"/>
        </w:rPr>
        <w:t>逾2成已庫存3年以上</w:t>
      </w:r>
      <w:r w:rsidR="005721FE">
        <w:rPr>
          <w:rFonts w:hAnsi="標楷體" w:hint="eastAsia"/>
          <w:color w:val="000000"/>
        </w:rPr>
        <w:t>，恐積壓資金成本及增加管理負擔</w:t>
      </w:r>
      <w:r w:rsidRPr="00F079B9">
        <w:rPr>
          <w:rFonts w:hAnsi="標楷體" w:hint="eastAsia"/>
          <w:color w:val="000000"/>
        </w:rPr>
        <w:t>，允宜檢討物料管理與採購機制</w:t>
      </w:r>
      <w:bookmarkEnd w:id="20"/>
      <w:bookmarkEnd w:id="21"/>
      <w:bookmarkEnd w:id="22"/>
    </w:p>
    <w:p w:rsidR="00700B45" w:rsidRPr="00F079B9" w:rsidRDefault="00700B45" w:rsidP="009264F0">
      <w:pPr>
        <w:ind w:left="567" w:firstLine="567"/>
        <w:rPr>
          <w:rFonts w:hAnsi="標楷體"/>
          <w:color w:val="000000"/>
        </w:rPr>
      </w:pPr>
      <w:r w:rsidRPr="00F079B9">
        <w:rPr>
          <w:rFonts w:hAnsi="標楷體" w:hint="eastAsia"/>
          <w:color w:val="000000"/>
        </w:rPr>
        <w:t>台灣中油公司預計111年底物料存貨19億4</w:t>
      </w:r>
      <w:r w:rsidRPr="00F079B9">
        <w:rPr>
          <w:rFonts w:hAnsi="標楷體"/>
          <w:color w:val="000000"/>
        </w:rPr>
        <w:t>,</w:t>
      </w:r>
      <w:r w:rsidRPr="00F079B9">
        <w:rPr>
          <w:rFonts w:hAnsi="標楷體" w:hint="eastAsia"/>
          <w:color w:val="000000"/>
        </w:rPr>
        <w:t>030萬1千元，決算數23億1</w:t>
      </w:r>
      <w:r w:rsidRPr="00F079B9">
        <w:rPr>
          <w:rFonts w:hAnsi="標楷體"/>
          <w:color w:val="000000"/>
        </w:rPr>
        <w:t>,433</w:t>
      </w:r>
      <w:r w:rsidRPr="00F079B9">
        <w:rPr>
          <w:rFonts w:hAnsi="標楷體" w:hint="eastAsia"/>
          <w:color w:val="000000"/>
        </w:rPr>
        <w:t>萬5千元，較預計數增加3億7</w:t>
      </w:r>
      <w:r w:rsidRPr="00F079B9">
        <w:rPr>
          <w:rFonts w:hAnsi="標楷體"/>
          <w:color w:val="000000"/>
        </w:rPr>
        <w:t>,</w:t>
      </w:r>
      <w:r w:rsidRPr="00F079B9">
        <w:rPr>
          <w:rFonts w:hAnsi="標楷體" w:hint="eastAsia"/>
          <w:color w:val="000000"/>
        </w:rPr>
        <w:t>403萬4千元(增幅19.28%)，主要係供非直接生產用及修繕、消耗、包裝用之各種物品等。經查：</w:t>
      </w:r>
    </w:p>
    <w:p w:rsidR="00700B45" w:rsidRPr="00F079B9" w:rsidRDefault="00700B45" w:rsidP="009264F0">
      <w:pPr>
        <w:pStyle w:val="a5"/>
        <w:ind w:left="851" w:hanging="284"/>
        <w:rPr>
          <w:rFonts w:hAnsi="標楷體"/>
          <w:b/>
          <w:color w:val="000000"/>
        </w:rPr>
      </w:pPr>
      <w:r w:rsidRPr="00F079B9">
        <w:rPr>
          <w:rFonts w:hAnsi="標楷體"/>
          <w:b/>
          <w:color w:val="000000"/>
        </w:rPr>
        <w:t>(</w:t>
      </w:r>
      <w:r w:rsidRPr="00F079B9">
        <w:rPr>
          <w:rFonts w:hAnsi="標楷體" w:hint="eastAsia"/>
          <w:b/>
          <w:color w:val="000000"/>
        </w:rPr>
        <w:t>一</w:t>
      </w:r>
      <w:r w:rsidRPr="00F079B9">
        <w:rPr>
          <w:rFonts w:hAnsi="標楷體"/>
          <w:b/>
          <w:color w:val="000000"/>
        </w:rPr>
        <w:t>)</w:t>
      </w:r>
      <w:r w:rsidRPr="00F079B9">
        <w:rPr>
          <w:rFonts w:hAnsi="標楷體" w:hint="eastAsia"/>
          <w:b/>
          <w:color w:val="000000"/>
        </w:rPr>
        <w:t>107至111年</w:t>
      </w:r>
      <w:r w:rsidR="005721FE">
        <w:rPr>
          <w:rFonts w:hAnsi="標楷體" w:hint="eastAsia"/>
          <w:b/>
          <w:color w:val="000000"/>
        </w:rPr>
        <w:t>底</w:t>
      </w:r>
      <w:r w:rsidRPr="00F079B9">
        <w:rPr>
          <w:rFonts w:hAnsi="標楷體" w:hint="eastAsia"/>
          <w:b/>
          <w:color w:val="000000"/>
        </w:rPr>
        <w:t>維護料庫存均超逾庫存目標值且金額呈遞增</w:t>
      </w:r>
      <w:r w:rsidR="005721FE">
        <w:rPr>
          <w:rFonts w:hAnsi="標楷體" w:hint="eastAsia"/>
          <w:b/>
          <w:color w:val="000000"/>
        </w:rPr>
        <w:t>趨勢</w:t>
      </w:r>
      <w:r w:rsidRPr="00F079B9">
        <w:rPr>
          <w:rFonts w:hAnsi="標楷體" w:hint="eastAsia"/>
          <w:b/>
          <w:color w:val="000000"/>
        </w:rPr>
        <w:t>，恐造成資金積壓及營運負擔</w:t>
      </w:r>
    </w:p>
    <w:p w:rsidR="00700B45" w:rsidRPr="00F079B9" w:rsidRDefault="00700B45" w:rsidP="009264F0">
      <w:pPr>
        <w:pStyle w:val="22"/>
        <w:ind w:left="850" w:firstLine="567"/>
        <w:rPr>
          <w:rFonts w:hAnsi="標楷體" w:hint="eastAsia"/>
          <w:color w:val="000000"/>
        </w:rPr>
      </w:pPr>
      <w:r w:rsidRPr="00F079B9">
        <w:rPr>
          <w:rFonts w:hAnsi="標楷體" w:hint="eastAsia"/>
          <w:color w:val="000000"/>
        </w:rPr>
        <w:t>詢據台灣中油公司資料，該公司維護料庫存帳列「物料存貨」科目，並訂有相關管理辦法以進行材料管理，用以規範材料之預算、控制、料帳、調撥及移轉、呆廢料處理等事項，並設定維護料庫存目標值，以提高物料週轉率，避免資金積壓。惟該公司111年度決算維護料庫存金額20億</w:t>
      </w:r>
      <w:r w:rsidRPr="00F079B9">
        <w:rPr>
          <w:rFonts w:hAnsi="標楷體"/>
          <w:color w:val="000000"/>
        </w:rPr>
        <w:t>52</w:t>
      </w:r>
      <w:r w:rsidRPr="00F079B9">
        <w:rPr>
          <w:rFonts w:hAnsi="標楷體" w:hint="eastAsia"/>
          <w:color w:val="000000"/>
        </w:rPr>
        <w:t>萬元較10</w:t>
      </w:r>
      <w:r w:rsidRPr="00F079B9">
        <w:rPr>
          <w:rFonts w:hAnsi="標楷體"/>
          <w:color w:val="000000"/>
        </w:rPr>
        <w:t>7</w:t>
      </w:r>
      <w:r w:rsidRPr="00F079B9">
        <w:rPr>
          <w:rFonts w:hAnsi="標楷體" w:hint="eastAsia"/>
          <w:color w:val="000000"/>
        </w:rPr>
        <w:t>年底之12</w:t>
      </w:r>
      <w:r w:rsidRPr="005F4C81">
        <w:rPr>
          <w:rFonts w:hAnsi="標楷體" w:hint="eastAsia"/>
          <w:color w:val="000000"/>
        </w:rPr>
        <w:t>億</w:t>
      </w:r>
      <w:r w:rsidRPr="00F079B9">
        <w:rPr>
          <w:rFonts w:hAnsi="標楷體" w:hint="eastAsia"/>
          <w:color w:val="000000"/>
        </w:rPr>
        <w:t>9</w:t>
      </w:r>
      <w:r w:rsidRPr="00F079B9">
        <w:rPr>
          <w:rFonts w:hAnsi="標楷體"/>
          <w:color w:val="000000"/>
        </w:rPr>
        <w:t>,855</w:t>
      </w:r>
      <w:r w:rsidRPr="00F079B9">
        <w:rPr>
          <w:rFonts w:hAnsi="標楷體" w:hint="eastAsia"/>
          <w:color w:val="000000"/>
        </w:rPr>
        <w:t>萬元，遽增7億665萬元(增幅</w:t>
      </w:r>
      <w:r w:rsidRPr="00F079B9">
        <w:rPr>
          <w:rFonts w:hAnsi="標楷體"/>
          <w:color w:val="000000"/>
        </w:rPr>
        <w:t>54.</w:t>
      </w:r>
      <w:r w:rsidRPr="00F079B9">
        <w:rPr>
          <w:rFonts w:hAnsi="標楷體" w:hint="eastAsia"/>
          <w:color w:val="000000"/>
        </w:rPr>
        <w:t>42%)，且111年底庫存金額超逾目標值計2億7</w:t>
      </w:r>
      <w:r w:rsidRPr="00F079B9">
        <w:rPr>
          <w:rFonts w:hAnsi="標楷體"/>
          <w:color w:val="000000"/>
        </w:rPr>
        <w:t>,</w:t>
      </w:r>
      <w:r w:rsidRPr="00F079B9">
        <w:rPr>
          <w:rFonts w:hAnsi="標楷體" w:hint="eastAsia"/>
          <w:color w:val="000000"/>
        </w:rPr>
        <w:t>673萬元(逾限比率16.01%)，亦較107年底逾限金額</w:t>
      </w:r>
      <w:r w:rsidRPr="00F079B9">
        <w:rPr>
          <w:rFonts w:hAnsi="標楷體"/>
          <w:color w:val="000000"/>
        </w:rPr>
        <w:t>1,834</w:t>
      </w:r>
      <w:r w:rsidRPr="00F079B9">
        <w:rPr>
          <w:rFonts w:hAnsi="標楷體" w:hint="eastAsia"/>
          <w:color w:val="000000"/>
        </w:rPr>
        <w:t>萬元(逾限比率1.43%)為高，維護料庫存金額逐年上升，且均超逾所訂之庫存目標值(詳表1)</w:t>
      </w:r>
      <w:r w:rsidRPr="00F079B9">
        <w:rPr>
          <w:rFonts w:hAnsi="標楷體" w:hint="eastAsia"/>
          <w:b/>
          <w:color w:val="000000"/>
        </w:rPr>
        <w:t>，</w:t>
      </w:r>
      <w:r w:rsidRPr="00F079B9">
        <w:rPr>
          <w:rFonts w:hAnsi="標楷體" w:hint="eastAsia"/>
          <w:color w:val="000000"/>
        </w:rPr>
        <w:t>恐造成資金積壓及營運負擔。</w:t>
      </w:r>
    </w:p>
    <w:p w:rsidR="005721FE" w:rsidRDefault="00700B45" w:rsidP="00F64E69">
      <w:pPr>
        <w:pStyle w:val="142"/>
        <w:spacing w:line="500" w:lineRule="exact"/>
        <w:ind w:leftChars="202" w:left="573"/>
        <w:rPr>
          <w:rFonts w:hAnsi="標楷體"/>
          <w:b/>
          <w:color w:val="000000"/>
          <w:sz w:val="28"/>
        </w:rPr>
      </w:pPr>
      <w:r w:rsidRPr="00F079B9">
        <w:rPr>
          <w:rFonts w:hAnsi="標楷體"/>
          <w:b/>
          <w:color w:val="000000"/>
          <w:sz w:val="28"/>
        </w:rPr>
        <w:lastRenderedPageBreak/>
        <w:t>表</w:t>
      </w:r>
      <w:r w:rsidRPr="00F079B9">
        <w:rPr>
          <w:rFonts w:hAnsi="標楷體" w:hint="eastAsia"/>
          <w:b/>
          <w:color w:val="000000"/>
          <w:sz w:val="28"/>
        </w:rPr>
        <w:t xml:space="preserve">1  </w:t>
      </w:r>
      <w:r w:rsidR="005721FE" w:rsidRPr="005721FE">
        <w:rPr>
          <w:rFonts w:hAnsi="標楷體" w:hint="eastAsia"/>
          <w:b/>
          <w:color w:val="000000"/>
          <w:sz w:val="28"/>
        </w:rPr>
        <w:t>107至111年底</w:t>
      </w:r>
      <w:r w:rsidRPr="00F079B9">
        <w:rPr>
          <w:rFonts w:hAnsi="標楷體" w:hint="eastAsia"/>
          <w:b/>
          <w:color w:val="000000"/>
          <w:sz w:val="28"/>
        </w:rPr>
        <w:t>台灣</w:t>
      </w:r>
      <w:r w:rsidRPr="00F079B9">
        <w:rPr>
          <w:rFonts w:hAnsi="標楷體"/>
          <w:b/>
          <w:color w:val="000000"/>
          <w:sz w:val="28"/>
        </w:rPr>
        <w:t>中油公司維護料庫存</w:t>
      </w:r>
      <w:r w:rsidRPr="00F079B9">
        <w:rPr>
          <w:rFonts w:hAnsi="標楷體" w:hint="eastAsia"/>
          <w:b/>
          <w:color w:val="000000"/>
          <w:sz w:val="28"/>
        </w:rPr>
        <w:t>一覽</w:t>
      </w:r>
      <w:r w:rsidRPr="00F079B9">
        <w:rPr>
          <w:rFonts w:hAnsi="標楷體"/>
          <w:b/>
          <w:color w:val="000000"/>
          <w:sz w:val="28"/>
        </w:rPr>
        <w:t>表</w:t>
      </w:r>
    </w:p>
    <w:p w:rsidR="00700B45" w:rsidRPr="00F079B9" w:rsidRDefault="00700B45" w:rsidP="005721FE">
      <w:pPr>
        <w:pStyle w:val="142"/>
        <w:ind w:leftChars="202" w:left="573"/>
        <w:jc w:val="right"/>
        <w:rPr>
          <w:rFonts w:hAnsi="標楷體"/>
          <w:color w:val="000000"/>
          <w:sz w:val="28"/>
        </w:rPr>
      </w:pPr>
      <w:r w:rsidRPr="00F079B9">
        <w:rPr>
          <w:rFonts w:hAnsi="標楷體"/>
          <w:color w:val="000000"/>
          <w:szCs w:val="24"/>
        </w:rPr>
        <w:t xml:space="preserve">     單位</w:t>
      </w:r>
      <w:r w:rsidR="005721FE" w:rsidRPr="00F079B9">
        <w:rPr>
          <w:rFonts w:hAnsi="標楷體" w:hint="eastAsia"/>
          <w:color w:val="000000"/>
          <w:szCs w:val="24"/>
        </w:rPr>
        <w:t>:</w:t>
      </w:r>
      <w:r w:rsidRPr="00F079B9">
        <w:rPr>
          <w:rFonts w:hAnsi="標楷體"/>
          <w:color w:val="000000"/>
          <w:szCs w:val="24"/>
        </w:rPr>
        <w:t>新</w:t>
      </w:r>
      <w:r w:rsidRPr="00F079B9">
        <w:rPr>
          <w:rFonts w:hAnsi="標楷體" w:hint="eastAsia"/>
          <w:color w:val="000000"/>
          <w:szCs w:val="24"/>
        </w:rPr>
        <w:t>臺</w:t>
      </w:r>
      <w:r w:rsidRPr="00F079B9">
        <w:rPr>
          <w:rFonts w:hAnsi="標楷體"/>
          <w:color w:val="000000"/>
          <w:szCs w:val="24"/>
        </w:rPr>
        <w:t>幣萬元</w:t>
      </w:r>
      <w:r w:rsidR="005721FE" w:rsidRPr="00F079B9">
        <w:rPr>
          <w:rFonts w:hAnsi="標楷體"/>
          <w:color w:val="000000"/>
          <w:szCs w:val="24"/>
        </w:rPr>
        <w:t>；</w:t>
      </w:r>
      <w:r w:rsidRPr="00F079B9">
        <w:rPr>
          <w:rFonts w:hAnsi="標楷體" w:hint="eastAsia"/>
          <w:color w:val="000000"/>
          <w:szCs w:val="24"/>
        </w:rPr>
        <w:t>%</w:t>
      </w:r>
    </w:p>
    <w:tbl>
      <w:tblPr>
        <w:tblW w:w="7937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617"/>
        <w:gridCol w:w="1560"/>
        <w:gridCol w:w="1630"/>
        <w:gridCol w:w="1464"/>
      </w:tblGrid>
      <w:tr w:rsidR="00700B45" w:rsidRPr="00F079B9" w:rsidTr="00F64E69">
        <w:trPr>
          <w:tblHeader/>
        </w:trPr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日   期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庫存目標值(A)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實際值</w:t>
            </w:r>
          </w:p>
          <w:p w:rsidR="00700B45" w:rsidRPr="00F079B9" w:rsidRDefault="00700B45" w:rsidP="00D5538F">
            <w:pPr>
              <w:pStyle w:val="142"/>
              <w:jc w:val="center"/>
              <w:rPr>
                <w:rFonts w:hAnsi="標楷體" w:hint="eastAsia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(B)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逾限金額(C=B-A)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逾限比率(C/A)</w:t>
            </w:r>
          </w:p>
        </w:tc>
      </w:tr>
      <w:tr w:rsidR="00700B45" w:rsidRPr="00F079B9" w:rsidTr="00F64E69"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107年底</w:t>
            </w:r>
          </w:p>
        </w:tc>
        <w:tc>
          <w:tcPr>
            <w:tcW w:w="1617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128,021</w:t>
            </w:r>
          </w:p>
        </w:tc>
        <w:tc>
          <w:tcPr>
            <w:tcW w:w="156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129,855</w:t>
            </w:r>
          </w:p>
        </w:tc>
        <w:tc>
          <w:tcPr>
            <w:tcW w:w="163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1,834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1.43</w:t>
            </w:r>
          </w:p>
        </w:tc>
      </w:tr>
      <w:tr w:rsidR="00700B45" w:rsidRPr="00F079B9" w:rsidTr="00F64E69"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108年底</w:t>
            </w:r>
          </w:p>
        </w:tc>
        <w:tc>
          <w:tcPr>
            <w:tcW w:w="1617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129,762</w:t>
            </w:r>
          </w:p>
        </w:tc>
        <w:tc>
          <w:tcPr>
            <w:tcW w:w="156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149,336</w:t>
            </w:r>
          </w:p>
        </w:tc>
        <w:tc>
          <w:tcPr>
            <w:tcW w:w="163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19,574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15.08</w:t>
            </w:r>
          </w:p>
        </w:tc>
      </w:tr>
      <w:tr w:rsidR="00700B45" w:rsidRPr="00F079B9" w:rsidTr="00F64E69"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109年底</w:t>
            </w:r>
          </w:p>
        </w:tc>
        <w:tc>
          <w:tcPr>
            <w:tcW w:w="1617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148,330</w:t>
            </w:r>
          </w:p>
        </w:tc>
        <w:tc>
          <w:tcPr>
            <w:tcW w:w="156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153,253</w:t>
            </w:r>
          </w:p>
        </w:tc>
        <w:tc>
          <w:tcPr>
            <w:tcW w:w="163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4,923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3.32</w:t>
            </w:r>
          </w:p>
        </w:tc>
      </w:tr>
      <w:tr w:rsidR="00700B45" w:rsidRPr="00F079B9" w:rsidTr="00F64E69"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110年底</w:t>
            </w:r>
          </w:p>
        </w:tc>
        <w:tc>
          <w:tcPr>
            <w:tcW w:w="1617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161,167</w:t>
            </w:r>
          </w:p>
        </w:tc>
        <w:tc>
          <w:tcPr>
            <w:tcW w:w="156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184,292</w:t>
            </w:r>
          </w:p>
        </w:tc>
        <w:tc>
          <w:tcPr>
            <w:tcW w:w="163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23,125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14.35</w:t>
            </w:r>
          </w:p>
        </w:tc>
      </w:tr>
      <w:tr w:rsidR="00700B45" w:rsidRPr="00F079B9" w:rsidTr="00F64E69">
        <w:tc>
          <w:tcPr>
            <w:tcW w:w="166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111年底</w:t>
            </w:r>
          </w:p>
        </w:tc>
        <w:tc>
          <w:tcPr>
            <w:tcW w:w="1617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172,847</w:t>
            </w:r>
          </w:p>
        </w:tc>
        <w:tc>
          <w:tcPr>
            <w:tcW w:w="156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200,520</w:t>
            </w:r>
          </w:p>
        </w:tc>
        <w:tc>
          <w:tcPr>
            <w:tcW w:w="1630" w:type="dxa"/>
            <w:shd w:val="clear" w:color="auto" w:fill="auto"/>
          </w:tcPr>
          <w:p w:rsidR="00700B45" w:rsidRPr="00F079B9" w:rsidRDefault="00700B45" w:rsidP="000854E6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27,673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16.01</w:t>
            </w:r>
          </w:p>
        </w:tc>
      </w:tr>
    </w:tbl>
    <w:p w:rsidR="00700B45" w:rsidRPr="00F079B9" w:rsidRDefault="00700B45" w:rsidP="00F64E69">
      <w:pPr>
        <w:pStyle w:val="142"/>
        <w:ind w:leftChars="183" w:left="519"/>
        <w:rPr>
          <w:rFonts w:hAnsi="標楷體"/>
          <w:color w:val="000000"/>
          <w:szCs w:val="24"/>
        </w:rPr>
      </w:pPr>
      <w:r w:rsidRPr="00F079B9">
        <w:rPr>
          <w:rFonts w:hAnsi="標楷體" w:hint="eastAsia"/>
          <w:color w:val="000000"/>
          <w:szCs w:val="24"/>
        </w:rPr>
        <w:t>資料來源：台灣中油公司提供。</w:t>
      </w:r>
    </w:p>
    <w:p w:rsidR="00700B45" w:rsidRPr="00F079B9" w:rsidRDefault="00700B45" w:rsidP="009264F0">
      <w:pPr>
        <w:pStyle w:val="a5"/>
        <w:ind w:left="851" w:hanging="284"/>
        <w:rPr>
          <w:rFonts w:hAnsi="標楷體"/>
          <w:b/>
          <w:color w:val="000000"/>
        </w:rPr>
      </w:pPr>
      <w:r w:rsidRPr="00F079B9">
        <w:rPr>
          <w:rFonts w:hAnsi="標楷體" w:hint="eastAsia"/>
          <w:b/>
          <w:color w:val="000000"/>
        </w:rPr>
        <w:t>(二)部分維護料庫存3年以上且占比逾2成，亟待強化物料管理與採購機制，以提高物料周轉率</w:t>
      </w:r>
    </w:p>
    <w:p w:rsidR="00700B45" w:rsidRPr="00F079B9" w:rsidRDefault="00700B45" w:rsidP="009264F0">
      <w:pPr>
        <w:pStyle w:val="22"/>
        <w:ind w:left="850" w:firstLine="567"/>
        <w:rPr>
          <w:rFonts w:hAnsi="標楷體"/>
          <w:color w:val="000000"/>
        </w:rPr>
      </w:pPr>
      <w:r w:rsidRPr="00F079B9">
        <w:rPr>
          <w:rFonts w:hAnsi="標楷體" w:hint="eastAsia"/>
          <w:color w:val="000000"/>
        </w:rPr>
        <w:t>台灣中油公司111年底維護料庫存合共20億</w:t>
      </w:r>
      <w:r w:rsidRPr="00F079B9">
        <w:rPr>
          <w:rFonts w:hAnsi="標楷體"/>
          <w:color w:val="000000"/>
        </w:rPr>
        <w:t>52</w:t>
      </w:r>
      <w:r w:rsidRPr="00F079B9">
        <w:rPr>
          <w:rFonts w:hAnsi="標楷體" w:hint="eastAsia"/>
          <w:color w:val="000000"/>
        </w:rPr>
        <w:t>萬元，其中庫存3年以上維護料金額計4億3</w:t>
      </w:r>
      <w:r w:rsidRPr="00F079B9">
        <w:rPr>
          <w:rFonts w:hAnsi="標楷體"/>
          <w:color w:val="000000"/>
        </w:rPr>
        <w:t>,</w:t>
      </w:r>
      <w:r w:rsidRPr="00F079B9">
        <w:rPr>
          <w:rFonts w:hAnsi="標楷體" w:hint="eastAsia"/>
          <w:color w:val="000000"/>
        </w:rPr>
        <w:t>352萬元，占總庫存金額之21.62%，其中以煉製事業部大林廠之金額1億3</w:t>
      </w:r>
      <w:r w:rsidRPr="00F079B9">
        <w:rPr>
          <w:rFonts w:hAnsi="標楷體"/>
          <w:color w:val="000000"/>
        </w:rPr>
        <w:t>,48</w:t>
      </w:r>
      <w:r w:rsidRPr="00F079B9">
        <w:rPr>
          <w:rFonts w:hAnsi="標楷體" w:hint="eastAsia"/>
          <w:color w:val="000000"/>
        </w:rPr>
        <w:t>5萬元最高，另探採事業部及石化事業部庫存3年以上維護料金額占比均高逾4成，分別為43.85</w:t>
      </w:r>
      <w:r w:rsidRPr="00F079B9">
        <w:rPr>
          <w:rFonts w:hAnsi="標楷體"/>
          <w:color w:val="000000"/>
        </w:rPr>
        <w:t>%</w:t>
      </w:r>
      <w:r w:rsidRPr="00F079B9">
        <w:rPr>
          <w:rFonts w:hAnsi="標楷體" w:hint="eastAsia"/>
          <w:color w:val="000000"/>
        </w:rPr>
        <w:t>及40.74%(詳表2)。鑑於大量物料存貨不僅需儲存空間，亦耗費人力管理，且須承擔損耗之風險，增加營運管理負擔，且積存巨額物料存貨，恐造成資金積壓，並增財務負擔，</w:t>
      </w:r>
      <w:r w:rsidR="006B27D0">
        <w:rPr>
          <w:rFonts w:hAnsi="標楷體" w:hint="eastAsia"/>
          <w:color w:val="000000"/>
        </w:rPr>
        <w:t>該公司</w:t>
      </w:r>
      <w:r w:rsidRPr="00F079B9">
        <w:rPr>
          <w:rFonts w:hAnsi="標楷體" w:hint="eastAsia"/>
          <w:color w:val="000000"/>
        </w:rPr>
        <w:t>物料控管與採購機制</w:t>
      </w:r>
      <w:r w:rsidR="006B27D0">
        <w:rPr>
          <w:rFonts w:hAnsi="標楷體" w:hint="eastAsia"/>
          <w:color w:val="000000"/>
        </w:rPr>
        <w:t>容待強化</w:t>
      </w:r>
      <w:r w:rsidRPr="00F079B9">
        <w:rPr>
          <w:rFonts w:hAnsi="標楷體" w:hint="eastAsia"/>
          <w:color w:val="000000"/>
        </w:rPr>
        <w:t>。</w:t>
      </w:r>
    </w:p>
    <w:p w:rsidR="00700B45" w:rsidRPr="00F079B9" w:rsidRDefault="00700B45" w:rsidP="008E76D4">
      <w:pPr>
        <w:pStyle w:val="142"/>
        <w:spacing w:line="500" w:lineRule="exact"/>
        <w:ind w:leftChars="207" w:left="587"/>
        <w:rPr>
          <w:rFonts w:hAnsi="標楷體"/>
          <w:b/>
          <w:color w:val="000000"/>
          <w:sz w:val="28"/>
        </w:rPr>
      </w:pPr>
      <w:r w:rsidRPr="00F079B9">
        <w:rPr>
          <w:rFonts w:hAnsi="標楷體"/>
          <w:b/>
          <w:color w:val="000000"/>
          <w:sz w:val="28"/>
        </w:rPr>
        <w:t>表</w:t>
      </w:r>
      <w:r w:rsidRPr="00F079B9">
        <w:rPr>
          <w:rFonts w:hAnsi="標楷體" w:hint="eastAsia"/>
          <w:b/>
          <w:color w:val="000000"/>
          <w:sz w:val="28"/>
        </w:rPr>
        <w:t xml:space="preserve">2  </w:t>
      </w:r>
      <w:r w:rsidR="006B27D0" w:rsidRPr="00F079B9">
        <w:rPr>
          <w:rFonts w:hAnsi="標楷體" w:hint="eastAsia"/>
          <w:b/>
          <w:color w:val="000000"/>
          <w:sz w:val="28"/>
        </w:rPr>
        <w:t>111年底</w:t>
      </w:r>
      <w:r w:rsidRPr="00F079B9">
        <w:rPr>
          <w:rFonts w:hAnsi="標楷體" w:hint="eastAsia"/>
          <w:b/>
          <w:color w:val="000000"/>
          <w:sz w:val="28"/>
        </w:rPr>
        <w:t>台灣</w:t>
      </w:r>
      <w:r w:rsidRPr="00F079B9">
        <w:rPr>
          <w:rFonts w:hAnsi="標楷體"/>
          <w:b/>
          <w:color w:val="000000"/>
          <w:sz w:val="28"/>
        </w:rPr>
        <w:t>中油公司</w:t>
      </w:r>
      <w:r w:rsidR="006B27D0" w:rsidRPr="00F079B9">
        <w:rPr>
          <w:rFonts w:hAnsi="標楷體"/>
          <w:b/>
          <w:color w:val="000000"/>
          <w:sz w:val="28"/>
        </w:rPr>
        <w:t>維護料</w:t>
      </w:r>
      <w:r w:rsidRPr="00F079B9">
        <w:rPr>
          <w:rFonts w:hAnsi="標楷體"/>
          <w:b/>
          <w:color w:val="000000"/>
          <w:sz w:val="28"/>
        </w:rPr>
        <w:t>庫存3年以上</w:t>
      </w:r>
      <w:r w:rsidRPr="00F079B9">
        <w:rPr>
          <w:rFonts w:hAnsi="標楷體" w:hint="eastAsia"/>
          <w:b/>
          <w:color w:val="000000"/>
          <w:sz w:val="28"/>
        </w:rPr>
        <w:t>一覽</w:t>
      </w:r>
      <w:r w:rsidRPr="00F079B9">
        <w:rPr>
          <w:rFonts w:hAnsi="標楷體"/>
          <w:b/>
          <w:color w:val="000000"/>
          <w:sz w:val="28"/>
        </w:rPr>
        <w:t>表</w:t>
      </w:r>
    </w:p>
    <w:p w:rsidR="00700B45" w:rsidRPr="00F079B9" w:rsidRDefault="00700B45" w:rsidP="009264F0">
      <w:pPr>
        <w:pStyle w:val="142"/>
        <w:jc w:val="right"/>
        <w:rPr>
          <w:rFonts w:hAnsi="標楷體"/>
          <w:color w:val="000000"/>
          <w:szCs w:val="24"/>
        </w:rPr>
      </w:pPr>
      <w:r w:rsidRPr="00F079B9">
        <w:rPr>
          <w:rFonts w:hAnsi="標楷體"/>
          <w:color w:val="000000"/>
          <w:szCs w:val="24"/>
        </w:rPr>
        <w:t xml:space="preserve">              單位；新</w:t>
      </w:r>
      <w:r w:rsidRPr="00F079B9">
        <w:rPr>
          <w:rFonts w:hAnsi="標楷體" w:hint="eastAsia"/>
          <w:color w:val="000000"/>
          <w:szCs w:val="24"/>
        </w:rPr>
        <w:t>臺</w:t>
      </w:r>
      <w:r w:rsidRPr="00F079B9">
        <w:rPr>
          <w:rFonts w:hAnsi="標楷體"/>
          <w:color w:val="000000"/>
          <w:szCs w:val="24"/>
        </w:rPr>
        <w:t>幣千元；</w:t>
      </w:r>
      <w:r w:rsidRPr="00F079B9">
        <w:rPr>
          <w:rFonts w:hAnsi="標楷體" w:hint="eastAsia"/>
          <w:color w:val="000000"/>
          <w:szCs w:val="24"/>
        </w:rPr>
        <w:t>%</w:t>
      </w:r>
    </w:p>
    <w:tbl>
      <w:tblPr>
        <w:tblW w:w="7926" w:type="dxa"/>
        <w:tblInd w:w="6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6"/>
        <w:gridCol w:w="1806"/>
        <w:gridCol w:w="1807"/>
        <w:gridCol w:w="1807"/>
      </w:tblGrid>
      <w:tr w:rsidR="00700B45" w:rsidRPr="00F079B9" w:rsidTr="008E76D4">
        <w:trPr>
          <w:tblHeader/>
        </w:trPr>
        <w:tc>
          <w:tcPr>
            <w:tcW w:w="2506" w:type="dxa"/>
            <w:vMerge w:val="restart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單位別</w:t>
            </w:r>
          </w:p>
        </w:tc>
        <w:tc>
          <w:tcPr>
            <w:tcW w:w="5420" w:type="dxa"/>
            <w:gridSpan w:val="3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111年</w:t>
            </w:r>
            <w:r w:rsidRPr="00F079B9">
              <w:rPr>
                <w:rFonts w:hAnsi="標楷體" w:hint="eastAsia"/>
                <w:color w:val="000000"/>
                <w:szCs w:val="24"/>
              </w:rPr>
              <w:t>底</w:t>
            </w:r>
          </w:p>
        </w:tc>
      </w:tr>
      <w:tr w:rsidR="00700B45" w:rsidRPr="00F079B9" w:rsidTr="008E76D4">
        <w:trPr>
          <w:tblHeader/>
        </w:trPr>
        <w:tc>
          <w:tcPr>
            <w:tcW w:w="2506" w:type="dxa"/>
            <w:vMerge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總庫存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spacing w:line="240" w:lineRule="exact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庫存3年以上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占比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探採事業部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227,815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99,903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43.85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煉製事業部大林廠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851,461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134,846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15.84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煉製事業部桃園廠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504,353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65,683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13.02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石化事業部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321,091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130,799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40.74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其他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100,483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2,285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hint="eastAsia"/>
                <w:color w:val="000000"/>
                <w:szCs w:val="24"/>
              </w:rPr>
              <w:t>2.27</w:t>
            </w:r>
          </w:p>
        </w:tc>
      </w:tr>
      <w:tr w:rsidR="00700B45" w:rsidRPr="00F079B9" w:rsidTr="008E76D4">
        <w:tc>
          <w:tcPr>
            <w:tcW w:w="2506" w:type="dxa"/>
            <w:shd w:val="clear" w:color="auto" w:fill="auto"/>
          </w:tcPr>
          <w:p w:rsidR="00700B45" w:rsidRPr="00F079B9" w:rsidRDefault="00700B45" w:rsidP="00D5538F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 w:cs="CIDFont+F2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2,005,205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433,519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B45" w:rsidRPr="00F079B9" w:rsidRDefault="00700B45" w:rsidP="00D5538F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F079B9">
              <w:rPr>
                <w:rFonts w:hAnsi="標楷體"/>
                <w:color w:val="000000"/>
                <w:szCs w:val="24"/>
              </w:rPr>
              <w:t>21.62</w:t>
            </w:r>
          </w:p>
        </w:tc>
      </w:tr>
    </w:tbl>
    <w:p w:rsidR="00700B45" w:rsidRPr="00F079B9" w:rsidRDefault="00700B45" w:rsidP="008E76D4">
      <w:pPr>
        <w:pStyle w:val="142"/>
        <w:ind w:leftChars="202" w:left="573"/>
        <w:rPr>
          <w:rFonts w:hAnsi="標楷體"/>
          <w:color w:val="000000"/>
          <w:szCs w:val="24"/>
        </w:rPr>
      </w:pPr>
      <w:r w:rsidRPr="00F079B9">
        <w:rPr>
          <w:rFonts w:hAnsi="標楷體" w:hint="eastAsia"/>
          <w:color w:val="000000"/>
          <w:szCs w:val="24"/>
        </w:rPr>
        <w:t>資料來源：台灣中油公司提供。</w:t>
      </w:r>
    </w:p>
    <w:p w:rsidR="00654DFA" w:rsidRPr="005F4C81" w:rsidRDefault="00700B45" w:rsidP="004E2323">
      <w:pPr>
        <w:ind w:left="567" w:firstLine="567"/>
        <w:rPr>
          <w:rFonts w:hAnsi="標楷體"/>
        </w:rPr>
      </w:pPr>
      <w:r w:rsidRPr="005F4C81">
        <w:rPr>
          <w:rFonts w:hAnsi="標楷體" w:hint="eastAsia"/>
        </w:rPr>
        <w:t>綜上，台灣中油公司111年度決算維護料庫存金額20億</w:t>
      </w:r>
      <w:r w:rsidRPr="005F4C81">
        <w:rPr>
          <w:rFonts w:hAnsi="標楷體"/>
        </w:rPr>
        <w:t>52</w:t>
      </w:r>
      <w:r w:rsidRPr="005F4C81">
        <w:rPr>
          <w:rFonts w:hAnsi="標楷體" w:hint="eastAsia"/>
        </w:rPr>
        <w:t>萬元超逾目標值計2億7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673萬元(逾限比率16.01%)，</w:t>
      </w:r>
      <w:r w:rsidR="006B27D0">
        <w:rPr>
          <w:rFonts w:hAnsi="標楷體" w:hint="eastAsia"/>
        </w:rPr>
        <w:t>其中</w:t>
      </w:r>
      <w:r w:rsidRPr="005F4C81">
        <w:rPr>
          <w:rFonts w:hAnsi="標楷體" w:hint="eastAsia"/>
        </w:rPr>
        <w:t>逾2成已庫存3年以上，為避免積壓資金及增加管理及財務負擔，允</w:t>
      </w:r>
      <w:r w:rsidRPr="005F4C81">
        <w:rPr>
          <w:rFonts w:hAnsi="標楷體" w:hint="eastAsia"/>
        </w:rPr>
        <w:lastRenderedPageBreak/>
        <w:t>宜檢討物料庫存之合理性，加強物料控管與採購機制，並落實定期清查與鑑定作業，俾確保物料品質安全與可靠度。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10"/>
      <w:bookmarkEnd w:id="1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654DFA" w:rsidRPr="005F4C81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253" w:rsidRDefault="00D8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85253" w:rsidRDefault="00D8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IDFont+F2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E2323" w:rsidRPr="004E232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253" w:rsidRDefault="00D8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85253" w:rsidRDefault="00D85253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44E7"/>
    <w:rsid w:val="00004682"/>
    <w:rsid w:val="00004E14"/>
    <w:rsid w:val="0000508F"/>
    <w:rsid w:val="00005106"/>
    <w:rsid w:val="0000766D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E6"/>
    <w:rsid w:val="00023722"/>
    <w:rsid w:val="00023DE2"/>
    <w:rsid w:val="0002425C"/>
    <w:rsid w:val="00024445"/>
    <w:rsid w:val="00024F59"/>
    <w:rsid w:val="00025436"/>
    <w:rsid w:val="0002663F"/>
    <w:rsid w:val="00026B0E"/>
    <w:rsid w:val="00026DB4"/>
    <w:rsid w:val="00027CBF"/>
    <w:rsid w:val="00030363"/>
    <w:rsid w:val="0003083E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55"/>
    <w:rsid w:val="000903CA"/>
    <w:rsid w:val="000929EF"/>
    <w:rsid w:val="00094C04"/>
    <w:rsid w:val="00096A1C"/>
    <w:rsid w:val="0009746D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28E9"/>
    <w:rsid w:val="000F2CFB"/>
    <w:rsid w:val="000F365C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3346"/>
    <w:rsid w:val="001439D9"/>
    <w:rsid w:val="00144857"/>
    <w:rsid w:val="00144CA5"/>
    <w:rsid w:val="00145D85"/>
    <w:rsid w:val="00146490"/>
    <w:rsid w:val="00146EA2"/>
    <w:rsid w:val="0015133A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79F"/>
    <w:rsid w:val="001840E0"/>
    <w:rsid w:val="0018733B"/>
    <w:rsid w:val="00187F3C"/>
    <w:rsid w:val="00187F7F"/>
    <w:rsid w:val="001907FA"/>
    <w:rsid w:val="00190C03"/>
    <w:rsid w:val="00191293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6C"/>
    <w:rsid w:val="001B308D"/>
    <w:rsid w:val="001B4BAF"/>
    <w:rsid w:val="001B4E54"/>
    <w:rsid w:val="001B5F8A"/>
    <w:rsid w:val="001B6E44"/>
    <w:rsid w:val="001C21CB"/>
    <w:rsid w:val="001C283A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1830"/>
    <w:rsid w:val="00203378"/>
    <w:rsid w:val="0020367A"/>
    <w:rsid w:val="00205109"/>
    <w:rsid w:val="00205B29"/>
    <w:rsid w:val="00205EF1"/>
    <w:rsid w:val="00210E98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7E1"/>
    <w:rsid w:val="0022430B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40034"/>
    <w:rsid w:val="0024035A"/>
    <w:rsid w:val="00240BA0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F0204"/>
    <w:rsid w:val="002F080F"/>
    <w:rsid w:val="002F0A21"/>
    <w:rsid w:val="002F0F76"/>
    <w:rsid w:val="002F1145"/>
    <w:rsid w:val="002F263F"/>
    <w:rsid w:val="002F280A"/>
    <w:rsid w:val="002F283B"/>
    <w:rsid w:val="002F34D9"/>
    <w:rsid w:val="002F3A4B"/>
    <w:rsid w:val="002F3F24"/>
    <w:rsid w:val="002F4129"/>
    <w:rsid w:val="002F41A9"/>
    <w:rsid w:val="002F421C"/>
    <w:rsid w:val="002F4BDD"/>
    <w:rsid w:val="002F5FBE"/>
    <w:rsid w:val="0030122E"/>
    <w:rsid w:val="00301823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372"/>
    <w:rsid w:val="003375BC"/>
    <w:rsid w:val="00337732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604CC"/>
    <w:rsid w:val="003613FC"/>
    <w:rsid w:val="003626FB"/>
    <w:rsid w:val="00362ABD"/>
    <w:rsid w:val="00362B08"/>
    <w:rsid w:val="003638D8"/>
    <w:rsid w:val="00365347"/>
    <w:rsid w:val="00365FC2"/>
    <w:rsid w:val="00365FEF"/>
    <w:rsid w:val="003662C3"/>
    <w:rsid w:val="0036631E"/>
    <w:rsid w:val="00367F9F"/>
    <w:rsid w:val="00370394"/>
    <w:rsid w:val="00372CD1"/>
    <w:rsid w:val="00372FC8"/>
    <w:rsid w:val="003730DF"/>
    <w:rsid w:val="00373667"/>
    <w:rsid w:val="0037464C"/>
    <w:rsid w:val="003768E6"/>
    <w:rsid w:val="00376C67"/>
    <w:rsid w:val="00377BD7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6A1"/>
    <w:rsid w:val="003E3899"/>
    <w:rsid w:val="003E3965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70D32"/>
    <w:rsid w:val="004712BA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205E"/>
    <w:rsid w:val="00482DE8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3985"/>
    <w:rsid w:val="004A3CA1"/>
    <w:rsid w:val="004A46C9"/>
    <w:rsid w:val="004A4B51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323"/>
    <w:rsid w:val="004E2AC9"/>
    <w:rsid w:val="004E415C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E6F"/>
    <w:rsid w:val="00517E7B"/>
    <w:rsid w:val="00520036"/>
    <w:rsid w:val="00520FDF"/>
    <w:rsid w:val="005215E1"/>
    <w:rsid w:val="0052193C"/>
    <w:rsid w:val="00522B6B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EE"/>
    <w:rsid w:val="00547496"/>
    <w:rsid w:val="00550479"/>
    <w:rsid w:val="00550982"/>
    <w:rsid w:val="00550E10"/>
    <w:rsid w:val="005518B1"/>
    <w:rsid w:val="00552354"/>
    <w:rsid w:val="005525FA"/>
    <w:rsid w:val="005535E4"/>
    <w:rsid w:val="00554B52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EAC"/>
    <w:rsid w:val="005C7FB7"/>
    <w:rsid w:val="005D1863"/>
    <w:rsid w:val="005D2956"/>
    <w:rsid w:val="005D31F9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C81"/>
    <w:rsid w:val="005E34F3"/>
    <w:rsid w:val="005E6C24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D6F"/>
    <w:rsid w:val="006221D4"/>
    <w:rsid w:val="00623229"/>
    <w:rsid w:val="00625100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241C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53BD"/>
    <w:rsid w:val="006B5403"/>
    <w:rsid w:val="006B7559"/>
    <w:rsid w:val="006B7A40"/>
    <w:rsid w:val="006B7FA6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41D"/>
    <w:rsid w:val="00707037"/>
    <w:rsid w:val="00707DC8"/>
    <w:rsid w:val="00710401"/>
    <w:rsid w:val="007106E9"/>
    <w:rsid w:val="007109A8"/>
    <w:rsid w:val="007112DE"/>
    <w:rsid w:val="0071186B"/>
    <w:rsid w:val="00711971"/>
    <w:rsid w:val="00711D26"/>
    <w:rsid w:val="00711F6B"/>
    <w:rsid w:val="007134D4"/>
    <w:rsid w:val="00713AC5"/>
    <w:rsid w:val="0071428D"/>
    <w:rsid w:val="0071480A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7D41"/>
    <w:rsid w:val="00751600"/>
    <w:rsid w:val="00751B16"/>
    <w:rsid w:val="00751DC4"/>
    <w:rsid w:val="00753F44"/>
    <w:rsid w:val="00754363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26E"/>
    <w:rsid w:val="00846EB9"/>
    <w:rsid w:val="0084713C"/>
    <w:rsid w:val="0085012C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504"/>
    <w:rsid w:val="008700E5"/>
    <w:rsid w:val="0087075F"/>
    <w:rsid w:val="0087095A"/>
    <w:rsid w:val="00870EE9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4A03"/>
    <w:rsid w:val="00894D5D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6565"/>
    <w:rsid w:val="008E01F8"/>
    <w:rsid w:val="008E1520"/>
    <w:rsid w:val="008E1E21"/>
    <w:rsid w:val="008E3815"/>
    <w:rsid w:val="008E3903"/>
    <w:rsid w:val="008E3A69"/>
    <w:rsid w:val="008E4002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FF3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EED"/>
    <w:rsid w:val="00967B3A"/>
    <w:rsid w:val="00970763"/>
    <w:rsid w:val="00970B31"/>
    <w:rsid w:val="009735C5"/>
    <w:rsid w:val="009739C2"/>
    <w:rsid w:val="0097418F"/>
    <w:rsid w:val="00974C0F"/>
    <w:rsid w:val="00975429"/>
    <w:rsid w:val="009758C8"/>
    <w:rsid w:val="00977C3B"/>
    <w:rsid w:val="009817A2"/>
    <w:rsid w:val="00982485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F2013"/>
    <w:rsid w:val="009F24C5"/>
    <w:rsid w:val="009F2570"/>
    <w:rsid w:val="009F286E"/>
    <w:rsid w:val="009F4008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5BC6"/>
    <w:rsid w:val="00A265AA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50BD"/>
    <w:rsid w:val="00A750EB"/>
    <w:rsid w:val="00A7560A"/>
    <w:rsid w:val="00A759AD"/>
    <w:rsid w:val="00A764CB"/>
    <w:rsid w:val="00A804B5"/>
    <w:rsid w:val="00A806A2"/>
    <w:rsid w:val="00A808AF"/>
    <w:rsid w:val="00A82806"/>
    <w:rsid w:val="00A8383A"/>
    <w:rsid w:val="00A83E50"/>
    <w:rsid w:val="00A85D47"/>
    <w:rsid w:val="00A8600E"/>
    <w:rsid w:val="00A87D5C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30B6"/>
    <w:rsid w:val="00AC3624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59F9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25CF"/>
    <w:rsid w:val="00B53BF7"/>
    <w:rsid w:val="00B54EEF"/>
    <w:rsid w:val="00B55C74"/>
    <w:rsid w:val="00B56313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6E1"/>
    <w:rsid w:val="00B776F7"/>
    <w:rsid w:val="00B80860"/>
    <w:rsid w:val="00B80BF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90EF1"/>
    <w:rsid w:val="00B91645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7D"/>
    <w:rsid w:val="00BA3C34"/>
    <w:rsid w:val="00BA4C5A"/>
    <w:rsid w:val="00BA588E"/>
    <w:rsid w:val="00BA6532"/>
    <w:rsid w:val="00BA67D4"/>
    <w:rsid w:val="00BA6BA7"/>
    <w:rsid w:val="00BA71E5"/>
    <w:rsid w:val="00BA7531"/>
    <w:rsid w:val="00BA78C8"/>
    <w:rsid w:val="00BB1066"/>
    <w:rsid w:val="00BB1443"/>
    <w:rsid w:val="00BB2B30"/>
    <w:rsid w:val="00BB2C9C"/>
    <w:rsid w:val="00BB2E1F"/>
    <w:rsid w:val="00BB2EC4"/>
    <w:rsid w:val="00BB30AE"/>
    <w:rsid w:val="00BB352B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F5E"/>
    <w:rsid w:val="00BD50D2"/>
    <w:rsid w:val="00BD6CAB"/>
    <w:rsid w:val="00BD77C1"/>
    <w:rsid w:val="00BD7934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488D"/>
    <w:rsid w:val="00C048FA"/>
    <w:rsid w:val="00C04A4E"/>
    <w:rsid w:val="00C05633"/>
    <w:rsid w:val="00C056F6"/>
    <w:rsid w:val="00C059C1"/>
    <w:rsid w:val="00C0652E"/>
    <w:rsid w:val="00C06B5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F31"/>
    <w:rsid w:val="00C22A39"/>
    <w:rsid w:val="00C233C3"/>
    <w:rsid w:val="00C24017"/>
    <w:rsid w:val="00C244B3"/>
    <w:rsid w:val="00C2698C"/>
    <w:rsid w:val="00C26CF5"/>
    <w:rsid w:val="00C3072A"/>
    <w:rsid w:val="00C31615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41DE"/>
    <w:rsid w:val="00C442A7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75B"/>
    <w:rsid w:val="00C565F7"/>
    <w:rsid w:val="00C57260"/>
    <w:rsid w:val="00C57AC3"/>
    <w:rsid w:val="00C57F8F"/>
    <w:rsid w:val="00C603C5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C05"/>
    <w:rsid w:val="00C7719A"/>
    <w:rsid w:val="00C776DC"/>
    <w:rsid w:val="00C778F8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A31"/>
    <w:rsid w:val="00C91DA7"/>
    <w:rsid w:val="00C921C5"/>
    <w:rsid w:val="00C92940"/>
    <w:rsid w:val="00C92B20"/>
    <w:rsid w:val="00C9509C"/>
    <w:rsid w:val="00C9555A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D0B5A"/>
    <w:rsid w:val="00CD13A0"/>
    <w:rsid w:val="00CD1B6A"/>
    <w:rsid w:val="00CD22DD"/>
    <w:rsid w:val="00CD2C5D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74C5"/>
    <w:rsid w:val="00D10FA7"/>
    <w:rsid w:val="00D11AC4"/>
    <w:rsid w:val="00D11D52"/>
    <w:rsid w:val="00D13C5F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B38"/>
    <w:rsid w:val="00D43EEF"/>
    <w:rsid w:val="00D4504D"/>
    <w:rsid w:val="00D45E3A"/>
    <w:rsid w:val="00D46B7E"/>
    <w:rsid w:val="00D51CE1"/>
    <w:rsid w:val="00D52266"/>
    <w:rsid w:val="00D529BD"/>
    <w:rsid w:val="00D52F01"/>
    <w:rsid w:val="00D538BB"/>
    <w:rsid w:val="00D53BEE"/>
    <w:rsid w:val="00D53D07"/>
    <w:rsid w:val="00D53D3E"/>
    <w:rsid w:val="00D543C9"/>
    <w:rsid w:val="00D54BC1"/>
    <w:rsid w:val="00D54ECE"/>
    <w:rsid w:val="00D5538F"/>
    <w:rsid w:val="00D557F1"/>
    <w:rsid w:val="00D56280"/>
    <w:rsid w:val="00D56C63"/>
    <w:rsid w:val="00D57315"/>
    <w:rsid w:val="00D574F7"/>
    <w:rsid w:val="00D608CF"/>
    <w:rsid w:val="00D627C6"/>
    <w:rsid w:val="00D62C5A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311E"/>
    <w:rsid w:val="00DA4A1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346"/>
    <w:rsid w:val="00DE58BA"/>
    <w:rsid w:val="00DE5DCE"/>
    <w:rsid w:val="00DE6BE5"/>
    <w:rsid w:val="00DE722E"/>
    <w:rsid w:val="00DE7276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75CE"/>
    <w:rsid w:val="00E70318"/>
    <w:rsid w:val="00E70FFD"/>
    <w:rsid w:val="00E71532"/>
    <w:rsid w:val="00E71A34"/>
    <w:rsid w:val="00E71F36"/>
    <w:rsid w:val="00E72BB2"/>
    <w:rsid w:val="00E72DE6"/>
    <w:rsid w:val="00E72E41"/>
    <w:rsid w:val="00E72FAA"/>
    <w:rsid w:val="00E738C1"/>
    <w:rsid w:val="00E74CAC"/>
    <w:rsid w:val="00E74D9B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EFC"/>
    <w:rsid w:val="00E86CA1"/>
    <w:rsid w:val="00E874C4"/>
    <w:rsid w:val="00E87EFB"/>
    <w:rsid w:val="00E903BC"/>
    <w:rsid w:val="00E906C0"/>
    <w:rsid w:val="00E90ADC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F0018D"/>
    <w:rsid w:val="00F0233B"/>
    <w:rsid w:val="00F032F0"/>
    <w:rsid w:val="00F03D2A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601C"/>
    <w:rsid w:val="00F36716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5BF"/>
    <w:rsid w:val="00F54BFC"/>
    <w:rsid w:val="00F550D2"/>
    <w:rsid w:val="00F56959"/>
    <w:rsid w:val="00F56F41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1FEC9A1-D700-40CB-AE17-2452AF5E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 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 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 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 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 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 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 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tabs>
        <w:tab w:val="right" w:leader="hyphen" w:pos="8490"/>
      </w:tabs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 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 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 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 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 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 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 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 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 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E2436-5DDF-4D2C-9249-114312117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Links>
    <vt:vector size="36" baseType="variant">
      <vt:variant>
        <vt:i4>3407916</vt:i4>
      </vt:variant>
      <vt:variant>
        <vt:i4>33</vt:i4>
      </vt:variant>
      <vt:variant>
        <vt:i4>0</vt:i4>
      </vt:variant>
      <vt:variant>
        <vt:i4>5</vt:i4>
      </vt:variant>
      <vt:variant>
        <vt:lpwstr>https://udn.com/search/tagging/2/%E7%A9%BA%E6%B1%99</vt:lpwstr>
      </vt:variant>
      <vt:variant>
        <vt:lpwstr/>
      </vt:variant>
      <vt:variant>
        <vt:i4>1245232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_Toc164257075</vt:lpwstr>
      </vt:variant>
      <vt:variant>
        <vt:i4>1245232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_Toc164257074</vt:lpwstr>
      </vt:variant>
      <vt:variant>
        <vt:i4>1245232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_Toc164257073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_Toc164257072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_Toc164257071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2024-04-17T06:37:00Z</cp:lastPrinted>
  <dcterms:created xsi:type="dcterms:W3CDTF">2024-04-18T01:42:00Z</dcterms:created>
  <dcterms:modified xsi:type="dcterms:W3CDTF">2024-04-18T01:42:00Z</dcterms:modified>
</cp:coreProperties>
</file>