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9C4" w:rsidRDefault="00FD4C9B" w:rsidP="00FE09C4">
      <w:pPr>
        <w:pStyle w:val="a8"/>
        <w:jc w:val="left"/>
        <w:rPr>
          <w:rFonts w:hint="eastAsia"/>
          <w:spacing w:val="-4"/>
        </w:rPr>
      </w:pPr>
      <w:bookmarkStart w:id="0" w:name="_GoBack"/>
      <w:bookmarkEnd w:id="0"/>
      <w:r w:rsidRPr="00FD4C9B">
        <w:rPr>
          <w:rFonts w:hint="eastAsia"/>
          <w:spacing w:val="-4"/>
        </w:rPr>
        <w:t>近年中央政府公債發行</w:t>
      </w:r>
      <w:r w:rsidR="00BB144A">
        <w:rPr>
          <w:rFonts w:hint="eastAsia"/>
          <w:spacing w:val="-4"/>
        </w:rPr>
        <w:t>制度</w:t>
      </w:r>
      <w:r w:rsidR="008D2AB8">
        <w:rPr>
          <w:rFonts w:hint="eastAsia"/>
          <w:spacing w:val="-4"/>
        </w:rPr>
        <w:t>及流通</w:t>
      </w:r>
      <w:r w:rsidR="00BB144A">
        <w:rPr>
          <w:rFonts w:hint="eastAsia"/>
          <w:spacing w:val="-4"/>
        </w:rPr>
        <w:t>市場</w:t>
      </w:r>
      <w:r w:rsidR="008D2AB8">
        <w:rPr>
          <w:rFonts w:hint="eastAsia"/>
          <w:spacing w:val="-4"/>
        </w:rPr>
        <w:t>、</w:t>
      </w:r>
      <w:r w:rsidRPr="00FD4C9B">
        <w:rPr>
          <w:rFonts w:hint="eastAsia"/>
          <w:spacing w:val="-4"/>
        </w:rPr>
        <w:t>永續發展債券</w:t>
      </w:r>
      <w:r w:rsidR="008D2AB8">
        <w:rPr>
          <w:rFonts w:hint="eastAsia"/>
          <w:spacing w:val="-4"/>
        </w:rPr>
        <w:t>與債務管理</w:t>
      </w:r>
      <w:r w:rsidRPr="00FD4C9B">
        <w:rPr>
          <w:rFonts w:hint="eastAsia"/>
          <w:spacing w:val="-4"/>
        </w:rPr>
        <w:t>相關問題之探討</w:t>
      </w:r>
      <w:r w:rsidR="00C75080" w:rsidRPr="00616DDA">
        <w:rPr>
          <w:rFonts w:hint="eastAsia"/>
          <w:spacing w:val="-4"/>
        </w:rPr>
        <w:t>目錄</w:t>
      </w:r>
    </w:p>
    <w:p w:rsidR="00883AF5" w:rsidRPr="00103949" w:rsidRDefault="00883AF5" w:rsidP="00FE09C4">
      <w:pPr>
        <w:pStyle w:val="a8"/>
        <w:ind w:rightChars="-50" w:right="-142"/>
        <w:jc w:val="right"/>
        <w:rPr>
          <w:rFonts w:hint="eastAsia"/>
          <w:kern w:val="0"/>
        </w:rPr>
      </w:pPr>
      <w:r w:rsidRPr="00103949">
        <w:rPr>
          <w:rFonts w:hint="eastAsia"/>
          <w:kern w:val="0"/>
          <w:sz w:val="28"/>
        </w:rPr>
        <w:t>頁次</w:t>
      </w:r>
    </w:p>
    <w:p w:rsidR="00312DA3" w:rsidRPr="00702F4E" w:rsidRDefault="0095127A">
      <w:pPr>
        <w:pStyle w:val="11"/>
        <w:rPr>
          <w:rFonts w:ascii="Calibri" w:eastAsia="新細明體" w:hAnsi="Calibri"/>
          <w:b w:val="0"/>
          <w:snapToGrid/>
          <w:szCs w:val="22"/>
        </w:rPr>
      </w:pPr>
      <w:r w:rsidRPr="00103949">
        <w:rPr>
          <w:rFonts w:hAnsi="標楷體"/>
        </w:rPr>
        <w:fldChar w:fldCharType="begin"/>
      </w:r>
      <w:r w:rsidRPr="00103949">
        <w:rPr>
          <w:rFonts w:hAnsi="標楷體"/>
        </w:rPr>
        <w:instrText xml:space="preserve"> TOC \o "1-3" \h \z \t "第二層(14號字),2,第一層(14號字),1" </w:instrText>
      </w:r>
      <w:r w:rsidRPr="00103949">
        <w:rPr>
          <w:rFonts w:hAnsi="標楷體"/>
        </w:rPr>
        <w:fldChar w:fldCharType="separate"/>
      </w:r>
      <w:hyperlink w:anchor="_Toc173746446" w:history="1">
        <w:r w:rsidR="00312DA3" w:rsidRPr="00B86116">
          <w:rPr>
            <w:rStyle w:val="af8"/>
            <w:rFonts w:hint="eastAsia"/>
          </w:rPr>
          <w:t>壹、前言</w:t>
        </w:r>
        <w:r w:rsidR="00312DA3">
          <w:rPr>
            <w:webHidden/>
          </w:rPr>
          <w:tab/>
        </w:r>
        <w:r w:rsidR="00312DA3">
          <w:rPr>
            <w:webHidden/>
          </w:rPr>
          <w:fldChar w:fldCharType="begin"/>
        </w:r>
        <w:r w:rsidR="00312DA3">
          <w:rPr>
            <w:webHidden/>
          </w:rPr>
          <w:instrText xml:space="preserve"> PAGEREF _Toc173746446 \h </w:instrText>
        </w:r>
        <w:r w:rsidR="00312DA3">
          <w:rPr>
            <w:webHidden/>
          </w:rPr>
        </w:r>
        <w:r w:rsidR="00312DA3">
          <w:rPr>
            <w:webHidden/>
          </w:rPr>
          <w:fldChar w:fldCharType="separate"/>
        </w:r>
        <w:r w:rsidR="00B8025C">
          <w:rPr>
            <w:webHidden/>
          </w:rPr>
          <w:t>1</w:t>
        </w:r>
        <w:r w:rsidR="00312DA3">
          <w:rPr>
            <w:webHidden/>
          </w:rPr>
          <w:fldChar w:fldCharType="end"/>
        </w:r>
      </w:hyperlink>
    </w:p>
    <w:p w:rsidR="00312DA3" w:rsidRPr="00702F4E" w:rsidRDefault="00312DA3">
      <w:pPr>
        <w:pStyle w:val="11"/>
        <w:rPr>
          <w:rFonts w:ascii="Calibri" w:eastAsia="新細明體" w:hAnsi="Calibri"/>
          <w:b w:val="0"/>
          <w:snapToGrid/>
          <w:szCs w:val="22"/>
        </w:rPr>
      </w:pPr>
      <w:hyperlink w:anchor="_Toc173746447" w:history="1">
        <w:r w:rsidRPr="00B86116">
          <w:rPr>
            <w:rStyle w:val="af8"/>
            <w:rFonts w:hint="eastAsia"/>
          </w:rPr>
          <w:t>貳、我國公共債務、公債發行制度及流通市場與永續發展債券概述</w:t>
        </w:r>
        <w:r>
          <w:rPr>
            <w:webHidden/>
          </w:rPr>
          <w:tab/>
        </w:r>
        <w:r>
          <w:rPr>
            <w:webHidden/>
          </w:rPr>
          <w:fldChar w:fldCharType="begin"/>
        </w:r>
        <w:r>
          <w:rPr>
            <w:webHidden/>
          </w:rPr>
          <w:instrText xml:space="preserve"> PAGEREF _Toc173746447 \h </w:instrText>
        </w:r>
        <w:r>
          <w:rPr>
            <w:webHidden/>
          </w:rPr>
        </w:r>
        <w:r>
          <w:rPr>
            <w:webHidden/>
          </w:rPr>
          <w:fldChar w:fldCharType="separate"/>
        </w:r>
        <w:r w:rsidR="00B8025C">
          <w:rPr>
            <w:webHidden/>
          </w:rPr>
          <w:t>1</w:t>
        </w:r>
        <w:r>
          <w:rPr>
            <w:webHidden/>
          </w:rPr>
          <w:fldChar w:fldCharType="end"/>
        </w:r>
      </w:hyperlink>
    </w:p>
    <w:p w:rsidR="00312DA3" w:rsidRPr="00702F4E" w:rsidRDefault="00312DA3">
      <w:pPr>
        <w:pStyle w:val="23"/>
        <w:rPr>
          <w:rFonts w:ascii="Calibri" w:eastAsia="新細明體" w:hAnsi="Calibri"/>
          <w:noProof/>
          <w:snapToGrid/>
          <w:szCs w:val="22"/>
        </w:rPr>
      </w:pPr>
      <w:hyperlink w:anchor="_Toc173746448" w:history="1">
        <w:r w:rsidRPr="00B86116">
          <w:rPr>
            <w:rStyle w:val="af8"/>
            <w:rFonts w:hint="eastAsia"/>
            <w:noProof/>
          </w:rPr>
          <w:t>一、公共債務之種類、功能及基本價值原則</w:t>
        </w:r>
        <w:r>
          <w:rPr>
            <w:noProof/>
            <w:webHidden/>
          </w:rPr>
          <w:tab/>
        </w:r>
        <w:r>
          <w:rPr>
            <w:noProof/>
            <w:webHidden/>
          </w:rPr>
          <w:fldChar w:fldCharType="begin"/>
        </w:r>
        <w:r>
          <w:rPr>
            <w:noProof/>
            <w:webHidden/>
          </w:rPr>
          <w:instrText xml:space="preserve"> PAGEREF _Toc173746448 \h </w:instrText>
        </w:r>
        <w:r>
          <w:rPr>
            <w:noProof/>
            <w:webHidden/>
          </w:rPr>
        </w:r>
        <w:r>
          <w:rPr>
            <w:noProof/>
            <w:webHidden/>
          </w:rPr>
          <w:fldChar w:fldCharType="separate"/>
        </w:r>
        <w:r w:rsidR="00B8025C">
          <w:rPr>
            <w:noProof/>
            <w:webHidden/>
          </w:rPr>
          <w:t>1</w:t>
        </w:r>
        <w:r>
          <w:rPr>
            <w:noProof/>
            <w:webHidden/>
          </w:rPr>
          <w:fldChar w:fldCharType="end"/>
        </w:r>
      </w:hyperlink>
    </w:p>
    <w:p w:rsidR="00312DA3" w:rsidRPr="00702F4E" w:rsidRDefault="00312DA3">
      <w:pPr>
        <w:pStyle w:val="23"/>
        <w:rPr>
          <w:rFonts w:ascii="Calibri" w:eastAsia="新細明體" w:hAnsi="Calibri"/>
          <w:noProof/>
          <w:snapToGrid/>
          <w:szCs w:val="22"/>
        </w:rPr>
      </w:pPr>
      <w:hyperlink w:anchor="_Toc173746449" w:history="1">
        <w:r w:rsidRPr="00B86116">
          <w:rPr>
            <w:rStyle w:val="af8"/>
            <w:rFonts w:hint="eastAsia"/>
            <w:noProof/>
          </w:rPr>
          <w:t>二、近年中央政府總預算及特別預算債務舉借情形及公共債務法相關規定</w:t>
        </w:r>
        <w:r>
          <w:rPr>
            <w:noProof/>
            <w:webHidden/>
          </w:rPr>
          <w:tab/>
        </w:r>
        <w:r>
          <w:rPr>
            <w:noProof/>
            <w:webHidden/>
          </w:rPr>
          <w:fldChar w:fldCharType="begin"/>
        </w:r>
        <w:r>
          <w:rPr>
            <w:noProof/>
            <w:webHidden/>
          </w:rPr>
          <w:instrText xml:space="preserve"> PAGEREF _Toc173746449 \h </w:instrText>
        </w:r>
        <w:r>
          <w:rPr>
            <w:noProof/>
            <w:webHidden/>
          </w:rPr>
        </w:r>
        <w:r>
          <w:rPr>
            <w:noProof/>
            <w:webHidden/>
          </w:rPr>
          <w:fldChar w:fldCharType="separate"/>
        </w:r>
        <w:r w:rsidR="00B8025C">
          <w:rPr>
            <w:noProof/>
            <w:webHidden/>
          </w:rPr>
          <w:t>3</w:t>
        </w:r>
        <w:r>
          <w:rPr>
            <w:noProof/>
            <w:webHidden/>
          </w:rPr>
          <w:fldChar w:fldCharType="end"/>
        </w:r>
      </w:hyperlink>
    </w:p>
    <w:p w:rsidR="00312DA3" w:rsidRPr="00702F4E" w:rsidRDefault="00312DA3">
      <w:pPr>
        <w:pStyle w:val="23"/>
        <w:rPr>
          <w:rFonts w:ascii="Calibri" w:eastAsia="新細明體" w:hAnsi="Calibri"/>
          <w:noProof/>
          <w:snapToGrid/>
          <w:szCs w:val="22"/>
        </w:rPr>
      </w:pPr>
      <w:hyperlink w:anchor="_Toc173746450" w:history="1">
        <w:r w:rsidRPr="00B86116">
          <w:rPr>
            <w:rStyle w:val="af8"/>
            <w:rFonts w:hint="eastAsia"/>
            <w:noProof/>
          </w:rPr>
          <w:t>三、近年中央政府公債發行制度與流通市場概述</w:t>
        </w:r>
        <w:r>
          <w:rPr>
            <w:noProof/>
            <w:webHidden/>
          </w:rPr>
          <w:tab/>
        </w:r>
        <w:r>
          <w:rPr>
            <w:noProof/>
            <w:webHidden/>
          </w:rPr>
          <w:fldChar w:fldCharType="begin"/>
        </w:r>
        <w:r>
          <w:rPr>
            <w:noProof/>
            <w:webHidden/>
          </w:rPr>
          <w:instrText xml:space="preserve"> PAGEREF _Toc173746450 \h </w:instrText>
        </w:r>
        <w:r>
          <w:rPr>
            <w:noProof/>
            <w:webHidden/>
          </w:rPr>
        </w:r>
        <w:r>
          <w:rPr>
            <w:noProof/>
            <w:webHidden/>
          </w:rPr>
          <w:fldChar w:fldCharType="separate"/>
        </w:r>
        <w:r w:rsidR="00B8025C">
          <w:rPr>
            <w:noProof/>
            <w:webHidden/>
          </w:rPr>
          <w:t>4</w:t>
        </w:r>
        <w:r>
          <w:rPr>
            <w:noProof/>
            <w:webHidden/>
          </w:rPr>
          <w:fldChar w:fldCharType="end"/>
        </w:r>
      </w:hyperlink>
    </w:p>
    <w:p w:rsidR="00312DA3" w:rsidRPr="00702F4E" w:rsidRDefault="00312DA3">
      <w:pPr>
        <w:pStyle w:val="23"/>
        <w:rPr>
          <w:rFonts w:ascii="Calibri" w:eastAsia="新細明體" w:hAnsi="Calibri"/>
          <w:noProof/>
          <w:snapToGrid/>
          <w:szCs w:val="22"/>
        </w:rPr>
      </w:pPr>
      <w:hyperlink w:anchor="_Toc173746451" w:history="1">
        <w:r w:rsidRPr="00B86116">
          <w:rPr>
            <w:rStyle w:val="af8"/>
            <w:rFonts w:hint="eastAsia"/>
            <w:noProof/>
          </w:rPr>
          <w:t>四、永續發展債券概述及國際市場概況</w:t>
        </w:r>
        <w:r>
          <w:rPr>
            <w:noProof/>
            <w:webHidden/>
          </w:rPr>
          <w:tab/>
        </w:r>
        <w:r>
          <w:rPr>
            <w:noProof/>
            <w:webHidden/>
          </w:rPr>
          <w:fldChar w:fldCharType="begin"/>
        </w:r>
        <w:r>
          <w:rPr>
            <w:noProof/>
            <w:webHidden/>
          </w:rPr>
          <w:instrText xml:space="preserve"> PAGEREF _Toc173746451 \h </w:instrText>
        </w:r>
        <w:r>
          <w:rPr>
            <w:noProof/>
            <w:webHidden/>
          </w:rPr>
        </w:r>
        <w:r>
          <w:rPr>
            <w:noProof/>
            <w:webHidden/>
          </w:rPr>
          <w:fldChar w:fldCharType="separate"/>
        </w:r>
        <w:r w:rsidR="00B8025C">
          <w:rPr>
            <w:noProof/>
            <w:webHidden/>
          </w:rPr>
          <w:t>6</w:t>
        </w:r>
        <w:r>
          <w:rPr>
            <w:noProof/>
            <w:webHidden/>
          </w:rPr>
          <w:fldChar w:fldCharType="end"/>
        </w:r>
      </w:hyperlink>
    </w:p>
    <w:p w:rsidR="00312DA3" w:rsidRPr="00702F4E" w:rsidRDefault="00312DA3">
      <w:pPr>
        <w:pStyle w:val="11"/>
        <w:rPr>
          <w:rFonts w:ascii="Calibri" w:eastAsia="新細明體" w:hAnsi="Calibri"/>
          <w:b w:val="0"/>
          <w:snapToGrid/>
          <w:szCs w:val="22"/>
        </w:rPr>
      </w:pPr>
      <w:hyperlink w:anchor="_Toc173746452" w:history="1">
        <w:r w:rsidRPr="00B86116">
          <w:rPr>
            <w:rStyle w:val="af8"/>
            <w:rFonts w:hint="eastAsia"/>
          </w:rPr>
          <w:t>參、相關問題探討</w:t>
        </w:r>
        <w:r>
          <w:rPr>
            <w:webHidden/>
          </w:rPr>
          <w:tab/>
        </w:r>
        <w:r>
          <w:rPr>
            <w:webHidden/>
          </w:rPr>
          <w:fldChar w:fldCharType="begin"/>
        </w:r>
        <w:r>
          <w:rPr>
            <w:webHidden/>
          </w:rPr>
          <w:instrText xml:space="preserve"> PAGEREF _Toc173746452 \h </w:instrText>
        </w:r>
        <w:r>
          <w:rPr>
            <w:webHidden/>
          </w:rPr>
        </w:r>
        <w:r>
          <w:rPr>
            <w:webHidden/>
          </w:rPr>
          <w:fldChar w:fldCharType="separate"/>
        </w:r>
        <w:r w:rsidR="00B8025C">
          <w:rPr>
            <w:webHidden/>
          </w:rPr>
          <w:t>7</w:t>
        </w:r>
        <w:r>
          <w:rPr>
            <w:webHidden/>
          </w:rPr>
          <w:fldChar w:fldCharType="end"/>
        </w:r>
      </w:hyperlink>
    </w:p>
    <w:p w:rsidR="00312DA3" w:rsidRPr="00702F4E" w:rsidRDefault="00312DA3">
      <w:pPr>
        <w:pStyle w:val="23"/>
        <w:rPr>
          <w:rFonts w:ascii="Calibri" w:eastAsia="新細明體" w:hAnsi="Calibri"/>
          <w:noProof/>
          <w:snapToGrid/>
          <w:szCs w:val="22"/>
        </w:rPr>
      </w:pPr>
      <w:hyperlink w:anchor="_Toc173746453" w:history="1">
        <w:r w:rsidRPr="00B86116">
          <w:rPr>
            <w:rStyle w:val="af8"/>
            <w:rFonts w:hint="eastAsia"/>
            <w:noProof/>
          </w:rPr>
          <w:t>一、中央政府公債發行雖已採</w:t>
        </w:r>
        <w:r w:rsidRPr="00B86116">
          <w:rPr>
            <w:rStyle w:val="af8"/>
            <w:noProof/>
          </w:rPr>
          <w:t>2</w:t>
        </w:r>
        <w:r w:rsidRPr="00B86116">
          <w:rPr>
            <w:rStyle w:val="af8"/>
            <w:rFonts w:hint="eastAsia"/>
            <w:noProof/>
          </w:rPr>
          <w:t>階段公告方式辦理，惟仍存有公債發行前交易制度成效不彰及小額投資人申購意願待提升等問題，允宜研議改進</w:t>
        </w:r>
        <w:r>
          <w:rPr>
            <w:noProof/>
            <w:webHidden/>
          </w:rPr>
          <w:tab/>
        </w:r>
        <w:r>
          <w:rPr>
            <w:noProof/>
            <w:webHidden/>
          </w:rPr>
          <w:fldChar w:fldCharType="begin"/>
        </w:r>
        <w:r>
          <w:rPr>
            <w:noProof/>
            <w:webHidden/>
          </w:rPr>
          <w:instrText xml:space="preserve"> PAGEREF _Toc173746453 \h </w:instrText>
        </w:r>
        <w:r>
          <w:rPr>
            <w:noProof/>
            <w:webHidden/>
          </w:rPr>
        </w:r>
        <w:r>
          <w:rPr>
            <w:noProof/>
            <w:webHidden/>
          </w:rPr>
          <w:fldChar w:fldCharType="separate"/>
        </w:r>
        <w:r w:rsidR="00B8025C">
          <w:rPr>
            <w:noProof/>
            <w:webHidden/>
          </w:rPr>
          <w:t>7</w:t>
        </w:r>
        <w:r>
          <w:rPr>
            <w:noProof/>
            <w:webHidden/>
          </w:rPr>
          <w:fldChar w:fldCharType="end"/>
        </w:r>
      </w:hyperlink>
    </w:p>
    <w:p w:rsidR="00312DA3" w:rsidRPr="00702F4E" w:rsidRDefault="00312DA3">
      <w:pPr>
        <w:pStyle w:val="23"/>
        <w:rPr>
          <w:rFonts w:ascii="Calibri" w:eastAsia="新細明體" w:hAnsi="Calibri"/>
          <w:noProof/>
          <w:snapToGrid/>
          <w:szCs w:val="22"/>
        </w:rPr>
      </w:pPr>
      <w:hyperlink w:anchor="_Toc173746454" w:history="1">
        <w:r w:rsidRPr="00B86116">
          <w:rPr>
            <w:rStyle w:val="af8"/>
            <w:rFonts w:hint="eastAsia"/>
            <w:noProof/>
          </w:rPr>
          <w:t>二、截至</w:t>
        </w:r>
        <w:r w:rsidRPr="00B86116">
          <w:rPr>
            <w:rStyle w:val="af8"/>
            <w:noProof/>
          </w:rPr>
          <w:t>113</w:t>
        </w:r>
        <w:r w:rsidRPr="00B86116">
          <w:rPr>
            <w:rStyle w:val="af8"/>
            <w:rFonts w:hint="eastAsia"/>
            <w:noProof/>
          </w:rPr>
          <w:t>年</w:t>
        </w:r>
        <w:r w:rsidRPr="00B86116">
          <w:rPr>
            <w:rStyle w:val="af8"/>
            <w:noProof/>
          </w:rPr>
          <w:t>6</w:t>
        </w:r>
        <w:r w:rsidRPr="00B86116">
          <w:rPr>
            <w:rStyle w:val="af8"/>
            <w:rFonts w:hint="eastAsia"/>
            <w:noProof/>
          </w:rPr>
          <w:t>月底止，中央政府尚無發行永續發展債券，仍待相關機關研謀辦理，俾符國際趨勢並利我國永續發展政策</w:t>
        </w:r>
        <w:r>
          <w:rPr>
            <w:noProof/>
            <w:webHidden/>
          </w:rPr>
          <w:tab/>
        </w:r>
        <w:r>
          <w:rPr>
            <w:noProof/>
            <w:webHidden/>
          </w:rPr>
          <w:fldChar w:fldCharType="begin"/>
        </w:r>
        <w:r>
          <w:rPr>
            <w:noProof/>
            <w:webHidden/>
          </w:rPr>
          <w:instrText xml:space="preserve"> PAGEREF _Toc173746454 \h </w:instrText>
        </w:r>
        <w:r>
          <w:rPr>
            <w:noProof/>
            <w:webHidden/>
          </w:rPr>
        </w:r>
        <w:r>
          <w:rPr>
            <w:noProof/>
            <w:webHidden/>
          </w:rPr>
          <w:fldChar w:fldCharType="separate"/>
        </w:r>
        <w:r w:rsidR="00B8025C">
          <w:rPr>
            <w:noProof/>
            <w:webHidden/>
          </w:rPr>
          <w:t>11</w:t>
        </w:r>
        <w:r>
          <w:rPr>
            <w:noProof/>
            <w:webHidden/>
          </w:rPr>
          <w:fldChar w:fldCharType="end"/>
        </w:r>
      </w:hyperlink>
    </w:p>
    <w:p w:rsidR="00312DA3" w:rsidRPr="00702F4E" w:rsidRDefault="00312DA3">
      <w:pPr>
        <w:pStyle w:val="23"/>
        <w:rPr>
          <w:rFonts w:ascii="Calibri" w:eastAsia="新細明體" w:hAnsi="Calibri"/>
          <w:noProof/>
          <w:snapToGrid/>
          <w:szCs w:val="22"/>
        </w:rPr>
      </w:pPr>
      <w:hyperlink w:anchor="_Toc173746455" w:history="1">
        <w:r w:rsidRPr="00B86116">
          <w:rPr>
            <w:rStyle w:val="af8"/>
            <w:rFonts w:hint="eastAsia"/>
            <w:noProof/>
          </w:rPr>
          <w:t>三、近年債務基金辦理轉換高利率債務為低利率債務之財務運作空間有限，允宜密切關注市場利率走向並研謀善策改善，以提升基金運作效能</w:t>
        </w:r>
        <w:r>
          <w:rPr>
            <w:noProof/>
            <w:webHidden/>
          </w:rPr>
          <w:tab/>
        </w:r>
        <w:r>
          <w:rPr>
            <w:noProof/>
            <w:webHidden/>
          </w:rPr>
          <w:fldChar w:fldCharType="begin"/>
        </w:r>
        <w:r>
          <w:rPr>
            <w:noProof/>
            <w:webHidden/>
          </w:rPr>
          <w:instrText xml:space="preserve"> PAGEREF _Toc173746455 \h </w:instrText>
        </w:r>
        <w:r>
          <w:rPr>
            <w:noProof/>
            <w:webHidden/>
          </w:rPr>
        </w:r>
        <w:r>
          <w:rPr>
            <w:noProof/>
            <w:webHidden/>
          </w:rPr>
          <w:fldChar w:fldCharType="separate"/>
        </w:r>
        <w:r w:rsidR="00B8025C">
          <w:rPr>
            <w:noProof/>
            <w:webHidden/>
          </w:rPr>
          <w:t>14</w:t>
        </w:r>
        <w:r>
          <w:rPr>
            <w:noProof/>
            <w:webHidden/>
          </w:rPr>
          <w:fldChar w:fldCharType="end"/>
        </w:r>
      </w:hyperlink>
    </w:p>
    <w:p w:rsidR="00312DA3" w:rsidRPr="00702F4E" w:rsidRDefault="00312DA3">
      <w:pPr>
        <w:pStyle w:val="11"/>
        <w:rPr>
          <w:rFonts w:ascii="Calibri" w:eastAsia="新細明體" w:hAnsi="Calibri"/>
          <w:b w:val="0"/>
          <w:snapToGrid/>
          <w:szCs w:val="22"/>
        </w:rPr>
      </w:pPr>
      <w:hyperlink w:anchor="_Toc173746456" w:history="1">
        <w:r w:rsidRPr="00B86116">
          <w:rPr>
            <w:rStyle w:val="af8"/>
            <w:rFonts w:hint="eastAsia"/>
          </w:rPr>
          <w:t>伍、結論與建議</w:t>
        </w:r>
        <w:r>
          <w:rPr>
            <w:webHidden/>
          </w:rPr>
          <w:tab/>
        </w:r>
        <w:r>
          <w:rPr>
            <w:webHidden/>
          </w:rPr>
          <w:fldChar w:fldCharType="begin"/>
        </w:r>
        <w:r>
          <w:rPr>
            <w:webHidden/>
          </w:rPr>
          <w:instrText xml:space="preserve"> PAGEREF _Toc173746456 \h </w:instrText>
        </w:r>
        <w:r>
          <w:rPr>
            <w:webHidden/>
          </w:rPr>
        </w:r>
        <w:r>
          <w:rPr>
            <w:webHidden/>
          </w:rPr>
          <w:fldChar w:fldCharType="separate"/>
        </w:r>
        <w:r w:rsidR="00B8025C">
          <w:rPr>
            <w:webHidden/>
          </w:rPr>
          <w:t>18</w:t>
        </w:r>
        <w:r>
          <w:rPr>
            <w:webHidden/>
          </w:rPr>
          <w:fldChar w:fldCharType="end"/>
        </w:r>
      </w:hyperlink>
    </w:p>
    <w:p w:rsidR="00312DA3" w:rsidRPr="00702F4E" w:rsidRDefault="00312DA3">
      <w:pPr>
        <w:pStyle w:val="11"/>
        <w:rPr>
          <w:rFonts w:ascii="Calibri" w:eastAsia="新細明體" w:hAnsi="Calibri"/>
          <w:b w:val="0"/>
          <w:snapToGrid/>
          <w:szCs w:val="22"/>
        </w:rPr>
      </w:pPr>
      <w:hyperlink w:anchor="_Toc173746457" w:history="1">
        <w:r w:rsidRPr="00B86116">
          <w:rPr>
            <w:rStyle w:val="af8"/>
            <w:rFonts w:hint="eastAsia"/>
          </w:rPr>
          <w:t>參考文獻</w:t>
        </w:r>
        <w:r>
          <w:rPr>
            <w:webHidden/>
          </w:rPr>
          <w:tab/>
        </w:r>
        <w:r>
          <w:rPr>
            <w:webHidden/>
          </w:rPr>
          <w:fldChar w:fldCharType="begin"/>
        </w:r>
        <w:r>
          <w:rPr>
            <w:webHidden/>
          </w:rPr>
          <w:instrText xml:space="preserve"> PAGEREF _Toc173746457 \h </w:instrText>
        </w:r>
        <w:r>
          <w:rPr>
            <w:webHidden/>
          </w:rPr>
        </w:r>
        <w:r>
          <w:rPr>
            <w:webHidden/>
          </w:rPr>
          <w:fldChar w:fldCharType="separate"/>
        </w:r>
        <w:r w:rsidR="00B8025C">
          <w:rPr>
            <w:webHidden/>
          </w:rPr>
          <w:t>19</w:t>
        </w:r>
        <w:r>
          <w:rPr>
            <w:webHidden/>
          </w:rPr>
          <w:fldChar w:fldCharType="end"/>
        </w:r>
      </w:hyperlink>
    </w:p>
    <w:p w:rsidR="009C15E7" w:rsidRPr="00103949" w:rsidRDefault="0095127A" w:rsidP="00537817">
      <w:pPr>
        <w:ind w:left="567" w:rightChars="49" w:right="139" w:firstLine="487"/>
        <w:rPr>
          <w:rFonts w:hAnsi="標楷體" w:hint="eastAsia"/>
        </w:rPr>
        <w:sectPr w:rsidR="009C15E7" w:rsidRPr="00103949" w:rsidSect="00C8439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103949">
        <w:rPr>
          <w:rFonts w:hAnsi="標楷體"/>
          <w:b/>
          <w:sz w:val="24"/>
          <w:szCs w:val="24"/>
        </w:rPr>
        <w:fldChar w:fldCharType="end"/>
      </w:r>
    </w:p>
    <w:p w:rsidR="00BC4D6C" w:rsidRDefault="00793CC2" w:rsidP="00C75080">
      <w:pPr>
        <w:pStyle w:val="aff"/>
        <w:ind w:left="-54" w:right="31"/>
        <w:jc w:val="left"/>
        <w:rPr>
          <w:rFonts w:hint="eastAsia"/>
        </w:rPr>
      </w:pP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r w:rsidRPr="00793CC2">
        <w:rPr>
          <w:rFonts w:hint="eastAsia"/>
        </w:rPr>
        <w:lastRenderedPageBreak/>
        <w:t>近年中央政府公債發行制度及流通市場、永續發展債券與債務管理相關問題之探討</w:t>
      </w:r>
    </w:p>
    <w:p w:rsidR="00181341" w:rsidRDefault="00181341" w:rsidP="009F6839">
      <w:pPr>
        <w:pStyle w:val="aa"/>
        <w:ind w:firstLine="567"/>
        <w:rPr>
          <w:rFonts w:hint="eastAsia"/>
        </w:rPr>
      </w:pPr>
    </w:p>
    <w:p w:rsidR="00C75080" w:rsidRDefault="00C75080" w:rsidP="00C75080">
      <w:pPr>
        <w:pStyle w:val="142"/>
        <w:ind w:left="567" w:hanging="567"/>
        <w:rPr>
          <w:rFonts w:hint="eastAsia"/>
        </w:rPr>
      </w:pPr>
      <w:bookmarkStart w:id="10" w:name="_Toc424402837"/>
      <w:bookmarkStart w:id="11" w:name="_Toc519516972"/>
      <w:bookmarkStart w:id="12" w:name="_Toc173746446"/>
      <w:r>
        <w:rPr>
          <w:rFonts w:hint="eastAsia"/>
        </w:rPr>
        <w:t>壹、前言</w:t>
      </w:r>
      <w:bookmarkEnd w:id="11"/>
      <w:bookmarkEnd w:id="12"/>
    </w:p>
    <w:p w:rsidR="00C75080" w:rsidRDefault="00FD4C9B" w:rsidP="00C75080">
      <w:pPr>
        <w:pStyle w:val="aa"/>
        <w:ind w:firstLine="567"/>
        <w:rPr>
          <w:rFonts w:hint="eastAsia"/>
        </w:rPr>
      </w:pPr>
      <w:r>
        <w:rPr>
          <w:rFonts w:hint="eastAsia"/>
        </w:rPr>
        <w:t>自</w:t>
      </w:r>
      <w:r w:rsidR="00C3254C">
        <w:rPr>
          <w:rFonts w:hint="eastAsia"/>
        </w:rPr>
        <w:t>110</w:t>
      </w:r>
      <w:r>
        <w:rPr>
          <w:rFonts w:hint="eastAsia"/>
        </w:rPr>
        <w:t>年度起，</w:t>
      </w:r>
      <w:r w:rsidR="00FC2BFB" w:rsidRPr="00FC2BFB">
        <w:rPr>
          <w:rFonts w:hint="eastAsia"/>
        </w:rPr>
        <w:t>中央政府</w:t>
      </w:r>
      <w:r>
        <w:rPr>
          <w:rFonts w:hint="eastAsia"/>
        </w:rPr>
        <w:t>稅收實徵數均超逾預算數，歲出歲入均為賸餘，惟</w:t>
      </w:r>
      <w:r w:rsidR="00FC2BFB" w:rsidRPr="00FC2BFB">
        <w:rPr>
          <w:rFonts w:hint="eastAsia"/>
        </w:rPr>
        <w:t>因執行嚴重特殊傳染性肺炎防治及紓困振興、前瞻基礎建設計畫、新式戰機採購及海空戰力提升計畫等特別預算，致債務未償餘額仍持續攀升。</w:t>
      </w:r>
      <w:r w:rsidR="002C0119">
        <w:rPr>
          <w:rFonts w:hint="eastAsia"/>
        </w:rPr>
        <w:t>為</w:t>
      </w:r>
      <w:r>
        <w:rPr>
          <w:rFonts w:hint="eastAsia"/>
        </w:rPr>
        <w:t>降低政府舉債壓力，財政部鼓勵非營業基金</w:t>
      </w:r>
      <w:r w:rsidR="00C3254C">
        <w:rPr>
          <w:rFonts w:hint="eastAsia"/>
        </w:rPr>
        <w:t>興建具有</w:t>
      </w:r>
      <w:r>
        <w:rPr>
          <w:rFonts w:hint="eastAsia"/>
        </w:rPr>
        <w:t>自償性之公共建設，</w:t>
      </w:r>
      <w:r w:rsidR="00C3254C">
        <w:rPr>
          <w:rFonts w:hint="eastAsia"/>
        </w:rPr>
        <w:t>所需經費可評估採發行乙類公債辦理，</w:t>
      </w:r>
      <w:r w:rsidR="0078224E">
        <w:rPr>
          <w:rFonts w:hint="eastAsia"/>
        </w:rPr>
        <w:t>嗣</w:t>
      </w:r>
      <w:r w:rsidR="00C3254C" w:rsidRPr="00C3254C">
        <w:rPr>
          <w:rFonts w:hint="eastAsia"/>
        </w:rPr>
        <w:t>財團法人中華民國證券櫃檯買賣中心110年12月16</w:t>
      </w:r>
      <w:r w:rsidR="00C3254C">
        <w:rPr>
          <w:rFonts w:hint="eastAsia"/>
        </w:rPr>
        <w:t>日修正永續發展債券作業要點，將政府債券納入永續發展債券範疇。</w:t>
      </w:r>
      <w:r w:rsidR="00FC2BFB" w:rsidRPr="00FC2BFB">
        <w:rPr>
          <w:rFonts w:hint="eastAsia"/>
        </w:rPr>
        <w:t>是以，本文擬</w:t>
      </w:r>
      <w:r w:rsidR="003D0AFA">
        <w:rPr>
          <w:rFonts w:hint="eastAsia"/>
        </w:rPr>
        <w:t>介紹</w:t>
      </w:r>
      <w:r w:rsidR="0099454F" w:rsidRPr="0099454F">
        <w:rPr>
          <w:rFonts w:hint="eastAsia"/>
        </w:rPr>
        <w:t>債務</w:t>
      </w:r>
      <w:r w:rsidR="007C0B8C">
        <w:rPr>
          <w:rFonts w:hint="eastAsia"/>
        </w:rPr>
        <w:t>管理</w:t>
      </w:r>
      <w:r w:rsidR="0099454F" w:rsidRPr="0099454F">
        <w:rPr>
          <w:rFonts w:hint="eastAsia"/>
        </w:rPr>
        <w:t>相關規定</w:t>
      </w:r>
      <w:r w:rsidR="00CA21E3">
        <w:rPr>
          <w:rFonts w:hint="eastAsia"/>
        </w:rPr>
        <w:t>、公債發行</w:t>
      </w:r>
      <w:r w:rsidR="003D0AFA">
        <w:rPr>
          <w:rFonts w:hint="eastAsia"/>
        </w:rPr>
        <w:t>及流通與</w:t>
      </w:r>
      <w:r w:rsidR="00CA21E3">
        <w:rPr>
          <w:rFonts w:hint="eastAsia"/>
        </w:rPr>
        <w:t>永續發展債券</w:t>
      </w:r>
      <w:r w:rsidR="0045468F">
        <w:rPr>
          <w:rFonts w:hint="eastAsia"/>
        </w:rPr>
        <w:t>發展</w:t>
      </w:r>
      <w:r w:rsidR="00CA21E3">
        <w:rPr>
          <w:rFonts w:hint="eastAsia"/>
        </w:rPr>
        <w:t>等</w:t>
      </w:r>
      <w:r w:rsidR="0099454F" w:rsidRPr="0099454F">
        <w:rPr>
          <w:rFonts w:hint="eastAsia"/>
        </w:rPr>
        <w:t>概況</w:t>
      </w:r>
      <w:r w:rsidR="00FC2BFB" w:rsidRPr="00FC2BFB">
        <w:rPr>
          <w:rFonts w:hint="eastAsia"/>
        </w:rPr>
        <w:t>，並探討</w:t>
      </w:r>
      <w:r w:rsidR="007C0B8C">
        <w:rPr>
          <w:rFonts w:hint="eastAsia"/>
        </w:rPr>
        <w:t>目前</w:t>
      </w:r>
      <w:r w:rsidR="00FC2BFB" w:rsidRPr="00FC2BFB">
        <w:rPr>
          <w:rFonts w:hint="eastAsia"/>
        </w:rPr>
        <w:t>相關問題及提出改善建議供參。</w:t>
      </w:r>
    </w:p>
    <w:p w:rsidR="00914918" w:rsidRDefault="00914918" w:rsidP="00C75080">
      <w:pPr>
        <w:pStyle w:val="aa"/>
        <w:ind w:firstLine="567"/>
        <w:rPr>
          <w:rFonts w:hint="eastAsia"/>
        </w:rPr>
      </w:pPr>
    </w:p>
    <w:p w:rsidR="0006012C" w:rsidRDefault="0006012C" w:rsidP="00C75080">
      <w:pPr>
        <w:pStyle w:val="142"/>
        <w:ind w:left="567" w:hanging="567"/>
      </w:pPr>
      <w:bookmarkStart w:id="13" w:name="_Toc519516973"/>
      <w:bookmarkStart w:id="14" w:name="_Toc173746447"/>
      <w:r w:rsidRPr="00024DAF">
        <w:rPr>
          <w:rFonts w:hint="eastAsia"/>
        </w:rPr>
        <w:t>貳、</w:t>
      </w:r>
      <w:r w:rsidR="007F73D8">
        <w:rPr>
          <w:rFonts w:hint="eastAsia"/>
        </w:rPr>
        <w:t>我國公共債務、公債發行</w:t>
      </w:r>
      <w:r w:rsidR="00BB144A">
        <w:rPr>
          <w:rFonts w:hint="eastAsia"/>
        </w:rPr>
        <w:t>制度</w:t>
      </w:r>
      <w:r w:rsidR="007F73D8">
        <w:rPr>
          <w:rFonts w:hint="eastAsia"/>
        </w:rPr>
        <w:t>及流通市場與永續發展債券</w:t>
      </w:r>
      <w:r w:rsidR="00FC2BFB" w:rsidRPr="00FC2BFB">
        <w:rPr>
          <w:rFonts w:hint="eastAsia"/>
        </w:rPr>
        <w:t>概</w:t>
      </w:r>
      <w:r w:rsidR="007F73D8">
        <w:rPr>
          <w:rFonts w:hint="eastAsia"/>
        </w:rPr>
        <w:t>述</w:t>
      </w:r>
      <w:bookmarkEnd w:id="14"/>
    </w:p>
    <w:p w:rsidR="00981075" w:rsidRDefault="00981075" w:rsidP="00981075">
      <w:pPr>
        <w:pStyle w:val="aa"/>
        <w:ind w:firstLine="567"/>
        <w:rPr>
          <w:rFonts w:hint="eastAsia"/>
        </w:rPr>
      </w:pPr>
      <w:r>
        <w:rPr>
          <w:rFonts w:hint="eastAsia"/>
        </w:rPr>
        <w:t>我國中央</w:t>
      </w:r>
      <w:r w:rsidR="009A1967">
        <w:rPr>
          <w:rFonts w:hint="eastAsia"/>
        </w:rPr>
        <w:t>政府公共債務管理機關為財政部，該部並負責發行中央政府建設公債，另</w:t>
      </w:r>
      <w:r w:rsidR="00575089">
        <w:rPr>
          <w:rFonts w:hint="eastAsia"/>
        </w:rPr>
        <w:t>公債</w:t>
      </w:r>
      <w:r w:rsidR="009A1967">
        <w:rPr>
          <w:rFonts w:hint="eastAsia"/>
        </w:rPr>
        <w:t>流通市場</w:t>
      </w:r>
      <w:r w:rsidR="00575089">
        <w:rPr>
          <w:rFonts w:hint="eastAsia"/>
        </w:rPr>
        <w:t>及與永續發展債券</w:t>
      </w:r>
      <w:r w:rsidR="009A1967">
        <w:rPr>
          <w:rFonts w:hint="eastAsia"/>
        </w:rPr>
        <w:t>涉及</w:t>
      </w:r>
      <w:r w:rsidR="00575089">
        <w:rPr>
          <w:rFonts w:hint="eastAsia"/>
        </w:rPr>
        <w:t>財政部、</w:t>
      </w:r>
      <w:r w:rsidR="009A1967">
        <w:rPr>
          <w:rFonts w:hint="eastAsia"/>
        </w:rPr>
        <w:t>金融監督管理委員會(下稱金管會)、財團法人</w:t>
      </w:r>
      <w:r w:rsidR="009A1967" w:rsidRPr="00F445EB">
        <w:rPr>
          <w:rFonts w:hint="eastAsia"/>
        </w:rPr>
        <w:t>證券櫃檯買賣中心</w:t>
      </w:r>
      <w:r w:rsidR="009A1967">
        <w:rPr>
          <w:rFonts w:hint="eastAsia"/>
        </w:rPr>
        <w:t>(下稱櫃買中心)等，</w:t>
      </w:r>
      <w:r w:rsidR="00D86425">
        <w:rPr>
          <w:rFonts w:hint="eastAsia"/>
        </w:rPr>
        <w:t>爰</w:t>
      </w:r>
      <w:r w:rsidR="009A1967">
        <w:rPr>
          <w:rFonts w:hint="eastAsia"/>
        </w:rPr>
        <w:t>就我國</w:t>
      </w:r>
      <w:r>
        <w:rPr>
          <w:rFonts w:hint="eastAsia"/>
        </w:rPr>
        <w:t>公共債務定義、公債</w:t>
      </w:r>
      <w:r w:rsidRPr="00981075">
        <w:rPr>
          <w:rFonts w:hint="eastAsia"/>
        </w:rPr>
        <w:t>發行制度及流通市場</w:t>
      </w:r>
      <w:r>
        <w:rPr>
          <w:rFonts w:hint="eastAsia"/>
        </w:rPr>
        <w:t>等</w:t>
      </w:r>
      <w:r w:rsidR="00575089">
        <w:rPr>
          <w:rFonts w:hint="eastAsia"/>
        </w:rPr>
        <w:t>概述</w:t>
      </w:r>
      <w:r w:rsidR="009A1967">
        <w:rPr>
          <w:rFonts w:hint="eastAsia"/>
        </w:rPr>
        <w:t>如下：</w:t>
      </w:r>
    </w:p>
    <w:p w:rsidR="00C3254C" w:rsidRDefault="0006012C" w:rsidP="00C75080">
      <w:pPr>
        <w:pStyle w:val="14"/>
        <w:ind w:left="567" w:hanging="567"/>
      </w:pPr>
      <w:bookmarkStart w:id="15" w:name="_Toc173746448"/>
      <w:r w:rsidRPr="00024DAF">
        <w:rPr>
          <w:rFonts w:hint="eastAsia"/>
        </w:rPr>
        <w:t>一、</w:t>
      </w:r>
      <w:r w:rsidR="00C3254C">
        <w:rPr>
          <w:rFonts w:hint="eastAsia"/>
        </w:rPr>
        <w:t>公共債務之種類、功能及</w:t>
      </w:r>
      <w:r w:rsidR="004C4600">
        <w:rPr>
          <w:rFonts w:hint="eastAsia"/>
        </w:rPr>
        <w:t>基本價值</w:t>
      </w:r>
      <w:r w:rsidR="00C3254C">
        <w:rPr>
          <w:rFonts w:hint="eastAsia"/>
        </w:rPr>
        <w:t>原則</w:t>
      </w:r>
      <w:bookmarkEnd w:id="15"/>
    </w:p>
    <w:p w:rsidR="009A1967" w:rsidRPr="009A1967" w:rsidRDefault="004641C7" w:rsidP="009A1967">
      <w:pPr>
        <w:ind w:left="567" w:firstLine="567"/>
        <w:rPr>
          <w:rFonts w:hint="eastAsia"/>
        </w:rPr>
      </w:pPr>
      <w:r>
        <w:rPr>
          <w:rFonts w:hint="eastAsia"/>
        </w:rPr>
        <w:t>為</w:t>
      </w:r>
      <w:r w:rsidR="00D86425">
        <w:rPr>
          <w:rFonts w:hint="eastAsia"/>
        </w:rPr>
        <w:t>維護國家財政之健全，支應國家發展需要，並</w:t>
      </w:r>
      <w:r>
        <w:rPr>
          <w:rFonts w:hint="eastAsia"/>
        </w:rPr>
        <w:t>規範各級政府舉債之上限，行政院於83年</w:t>
      </w:r>
      <w:r w:rsidR="00D86425">
        <w:rPr>
          <w:rFonts w:hint="eastAsia"/>
        </w:rPr>
        <w:t>12月21日</w:t>
      </w:r>
      <w:r>
        <w:rPr>
          <w:rFonts w:hint="eastAsia"/>
        </w:rPr>
        <w:t>函送本院公共債務法草案</w:t>
      </w:r>
      <w:r>
        <w:rPr>
          <w:rStyle w:val="af7"/>
        </w:rPr>
        <w:footnoteReference w:id="1"/>
      </w:r>
      <w:r>
        <w:rPr>
          <w:rFonts w:hint="eastAsia"/>
        </w:rPr>
        <w:t>，經</w:t>
      </w:r>
      <w:r w:rsidR="009251AC">
        <w:rPr>
          <w:rFonts w:hint="eastAsia"/>
        </w:rPr>
        <w:t>本院84年12月29日審議通過及</w:t>
      </w:r>
      <w:r>
        <w:rPr>
          <w:rFonts w:hint="eastAsia"/>
        </w:rPr>
        <w:t>總統85年1月17日公布。</w:t>
      </w:r>
      <w:r w:rsidR="00D86425">
        <w:rPr>
          <w:rFonts w:hint="eastAsia"/>
        </w:rPr>
        <w:t>謹就我國公共債務之種類、功能及基本價值原則概述如下：</w:t>
      </w:r>
    </w:p>
    <w:p w:rsidR="00C3254C" w:rsidRDefault="00C3254C" w:rsidP="00C3254C">
      <w:pPr>
        <w:pStyle w:val="a4"/>
        <w:ind w:left="851" w:hanging="284"/>
      </w:pPr>
      <w:r>
        <w:rPr>
          <w:rFonts w:hint="eastAsia"/>
          <w:b/>
        </w:rPr>
        <w:lastRenderedPageBreak/>
        <w:t>(一)</w:t>
      </w:r>
      <w:r w:rsidRPr="00C3254C">
        <w:rPr>
          <w:rFonts w:hint="eastAsia"/>
          <w:b/>
        </w:rPr>
        <w:t>公共債務之種類</w:t>
      </w:r>
      <w:r>
        <w:rPr>
          <w:rFonts w:hint="eastAsia"/>
        </w:rPr>
        <w:t>：公共債務法(下稱公債法)第4條</w:t>
      </w:r>
      <w:r w:rsidR="003312B2">
        <w:rPr>
          <w:rFonts w:hint="eastAsia"/>
        </w:rPr>
        <w:t>第1項</w:t>
      </w:r>
      <w:r w:rsidR="001F43E8">
        <w:rPr>
          <w:rFonts w:hint="eastAsia"/>
        </w:rPr>
        <w:t>明定</w:t>
      </w:r>
      <w:r>
        <w:rPr>
          <w:rFonts w:hint="eastAsia"/>
        </w:rPr>
        <w:t>：「本法所稱公共債務，指中央、直轄市、縣</w:t>
      </w:r>
      <w:r w:rsidR="003D0AFA">
        <w:rPr>
          <w:rFonts w:hint="eastAsia"/>
        </w:rPr>
        <w:t>(市)</w:t>
      </w:r>
      <w:r>
        <w:rPr>
          <w:rFonts w:hint="eastAsia"/>
        </w:rPr>
        <w:t>及鄉</w:t>
      </w:r>
      <w:r w:rsidR="003D0AFA">
        <w:rPr>
          <w:rFonts w:hint="eastAsia"/>
        </w:rPr>
        <w:t>(</w:t>
      </w:r>
      <w:r>
        <w:rPr>
          <w:rFonts w:hint="eastAsia"/>
        </w:rPr>
        <w:t>鎮、市</w:t>
      </w:r>
      <w:r w:rsidR="003D0AFA">
        <w:rPr>
          <w:rFonts w:hint="eastAsia"/>
        </w:rPr>
        <w:t>)</w:t>
      </w:r>
      <w:r>
        <w:rPr>
          <w:rFonts w:hint="eastAsia"/>
        </w:rPr>
        <w:t>為應公共事務支出所負擔之下列債務：一、中央公債、國庫券、國內外借款及保證債務。二、直轄市、縣</w:t>
      </w:r>
      <w:r w:rsidR="003D0AFA">
        <w:rPr>
          <w:rFonts w:hint="eastAsia"/>
        </w:rPr>
        <w:t>(市)</w:t>
      </w:r>
      <w:r>
        <w:rPr>
          <w:rFonts w:hint="eastAsia"/>
        </w:rPr>
        <w:t>公債、庫券及國內外借款。三、鄉</w:t>
      </w:r>
      <w:r w:rsidR="003D0AFA">
        <w:rPr>
          <w:rFonts w:hint="eastAsia"/>
        </w:rPr>
        <w:t>(鎮、市)</w:t>
      </w:r>
      <w:r>
        <w:rPr>
          <w:rFonts w:hint="eastAsia"/>
        </w:rPr>
        <w:t>國內外借款。」</w:t>
      </w:r>
    </w:p>
    <w:p w:rsidR="00C3254C" w:rsidRDefault="00C3254C" w:rsidP="00C3254C">
      <w:pPr>
        <w:pStyle w:val="a4"/>
        <w:ind w:left="851" w:hanging="284"/>
      </w:pPr>
      <w:r w:rsidRPr="00C3254C">
        <w:rPr>
          <w:rFonts w:hint="eastAsia"/>
          <w:b/>
        </w:rPr>
        <w:t>(二)公共債務之功能</w:t>
      </w:r>
      <w:r>
        <w:rPr>
          <w:rFonts w:hint="eastAsia"/>
        </w:rPr>
        <w:t>：</w:t>
      </w:r>
      <w:r w:rsidR="007662D8">
        <w:rPr>
          <w:rFonts w:hint="eastAsia"/>
        </w:rPr>
        <w:t>財政學</w:t>
      </w:r>
      <w:r w:rsidR="001F43E8">
        <w:rPr>
          <w:rFonts w:hint="eastAsia"/>
        </w:rPr>
        <w:t>理論</w:t>
      </w:r>
      <w:r w:rsidR="007662D8">
        <w:rPr>
          <w:rFonts w:hint="eastAsia"/>
        </w:rPr>
        <w:t>及</w:t>
      </w:r>
      <w:r w:rsidR="00390628">
        <w:rPr>
          <w:rFonts w:hint="eastAsia"/>
        </w:rPr>
        <w:t>部分</w:t>
      </w:r>
      <w:r w:rsidR="007662D8">
        <w:rPr>
          <w:rFonts w:hint="eastAsia"/>
        </w:rPr>
        <w:t>學者等</w:t>
      </w:r>
      <w:r w:rsidR="007662D8">
        <w:rPr>
          <w:rStyle w:val="af7"/>
        </w:rPr>
        <w:footnoteReference w:id="2"/>
      </w:r>
      <w:r w:rsidR="007662D8">
        <w:rPr>
          <w:rFonts w:hint="eastAsia"/>
        </w:rPr>
        <w:t>認為，公共債務之功能主要表現下列層面：</w:t>
      </w:r>
    </w:p>
    <w:p w:rsidR="007662D8" w:rsidRDefault="007662D8" w:rsidP="007662D8">
      <w:pPr>
        <w:pStyle w:val="123"/>
        <w:ind w:left="1134" w:hanging="284"/>
      </w:pPr>
      <w:r w:rsidRPr="007662D8">
        <w:rPr>
          <w:rFonts w:hint="eastAsia"/>
          <w:b/>
        </w:rPr>
        <w:t>1.彌補財政赤字</w:t>
      </w:r>
      <w:r>
        <w:rPr>
          <w:rFonts w:hint="eastAsia"/>
          <w:b/>
        </w:rPr>
        <w:t>：</w:t>
      </w:r>
      <w:r>
        <w:rPr>
          <w:rFonts w:hint="eastAsia"/>
        </w:rPr>
        <w:t>為彌補公共收支差額短缺，</w:t>
      </w:r>
      <w:r w:rsidR="00E22F6C">
        <w:rPr>
          <w:rFonts w:hint="eastAsia"/>
        </w:rPr>
        <w:t>有必要依法舉借公共債務，如發行公債及舉辦借款等。</w:t>
      </w:r>
    </w:p>
    <w:p w:rsidR="00E22F6C" w:rsidRDefault="00E22F6C" w:rsidP="007662D8">
      <w:pPr>
        <w:pStyle w:val="123"/>
        <w:ind w:left="1134" w:hanging="284"/>
      </w:pPr>
      <w:r>
        <w:rPr>
          <w:rFonts w:hint="eastAsia"/>
          <w:b/>
        </w:rPr>
        <w:t>2.對財政預算進行季節性資金短缺之調劑</w:t>
      </w:r>
      <w:r w:rsidRPr="00E22F6C">
        <w:rPr>
          <w:rFonts w:hint="eastAsia"/>
        </w:rPr>
        <w:t>：</w:t>
      </w:r>
      <w:r>
        <w:rPr>
          <w:rFonts w:hint="eastAsia"/>
        </w:rPr>
        <w:t>預算於年度執行期間，若遇收支不平衡時，透過舉債，以靈活調劑</w:t>
      </w:r>
      <w:r w:rsidRPr="00E22F6C">
        <w:rPr>
          <w:rFonts w:hint="eastAsia"/>
        </w:rPr>
        <w:t>季節性資金短缺</w:t>
      </w:r>
      <w:r>
        <w:rPr>
          <w:rFonts w:hint="eastAsia"/>
        </w:rPr>
        <w:t>之需求，如發行國庫券。</w:t>
      </w:r>
    </w:p>
    <w:p w:rsidR="00E22F6C" w:rsidRDefault="00E22F6C" w:rsidP="007662D8">
      <w:pPr>
        <w:pStyle w:val="123"/>
        <w:ind w:left="1134" w:hanging="284"/>
      </w:pPr>
      <w:r>
        <w:rPr>
          <w:rFonts w:hint="eastAsia"/>
          <w:b/>
        </w:rPr>
        <w:t>3.對於國民經濟進行宏觀調控：</w:t>
      </w:r>
      <w:r w:rsidRPr="00E22F6C">
        <w:rPr>
          <w:rFonts w:hint="eastAsia"/>
        </w:rPr>
        <w:t>國民經濟</w:t>
      </w:r>
      <w:r>
        <w:rPr>
          <w:rFonts w:hint="eastAsia"/>
        </w:rPr>
        <w:t>有時呈現繁榮或衰退現象，政府適時採取經濟干預措施，以使經濟運行回歸常軌。</w:t>
      </w:r>
    </w:p>
    <w:p w:rsidR="00E22F6C" w:rsidRDefault="00E22F6C" w:rsidP="007662D8">
      <w:pPr>
        <w:pStyle w:val="123"/>
        <w:ind w:left="1134" w:hanging="284"/>
      </w:pPr>
      <w:r>
        <w:rPr>
          <w:rFonts w:hint="eastAsia"/>
          <w:b/>
        </w:rPr>
        <w:t>4.籌措公共建設資金：</w:t>
      </w:r>
      <w:r w:rsidRPr="00E22F6C">
        <w:rPr>
          <w:rFonts w:hint="eastAsia"/>
        </w:rPr>
        <w:t>部分</w:t>
      </w:r>
      <w:r>
        <w:rPr>
          <w:rFonts w:hint="eastAsia"/>
        </w:rPr>
        <w:t>學者</w:t>
      </w:r>
      <w:r>
        <w:rPr>
          <w:rStyle w:val="af7"/>
        </w:rPr>
        <w:footnoteReference w:id="3"/>
      </w:r>
      <w:r>
        <w:rPr>
          <w:rFonts w:hint="eastAsia"/>
        </w:rPr>
        <w:t>認為政府許多重大公共建設，所需資金龐大</w:t>
      </w:r>
      <w:r w:rsidR="008C0DB0">
        <w:rPr>
          <w:rFonts w:hint="eastAsia"/>
        </w:rPr>
        <w:t>，無法以當期財政收入支應，因此需要舉債支應，且經由公共建設帶動經濟發展，解決就業問題，優化市場經濟結構，又可促進經濟復甦與繁榮。</w:t>
      </w:r>
    </w:p>
    <w:p w:rsidR="008C0DB0" w:rsidRPr="004C4600" w:rsidRDefault="008C0DB0" w:rsidP="004C4600">
      <w:pPr>
        <w:pStyle w:val="a4"/>
        <w:wordWrap w:val="0"/>
        <w:ind w:left="851" w:hanging="284"/>
        <w:rPr>
          <w:rFonts w:hint="eastAsia"/>
          <w:b/>
        </w:rPr>
      </w:pPr>
      <w:r>
        <w:rPr>
          <w:rFonts w:hint="eastAsia"/>
          <w:b/>
        </w:rPr>
        <w:t>(三)公共債務</w:t>
      </w:r>
      <w:r w:rsidR="004C4600">
        <w:rPr>
          <w:rFonts w:hint="eastAsia"/>
          <w:b/>
        </w:rPr>
        <w:t>之</w:t>
      </w:r>
      <w:r w:rsidR="004C4600" w:rsidRPr="004C4600">
        <w:rPr>
          <w:rFonts w:hint="eastAsia"/>
          <w:b/>
        </w:rPr>
        <w:t>基本價值原則</w:t>
      </w:r>
      <w:r w:rsidR="004C4600">
        <w:rPr>
          <w:rFonts w:hint="eastAsia"/>
          <w:b/>
        </w:rPr>
        <w:t>：</w:t>
      </w:r>
      <w:r w:rsidR="004C4600" w:rsidRPr="004C4600">
        <w:rPr>
          <w:rFonts w:hint="eastAsia"/>
        </w:rPr>
        <w:t>學者</w:t>
      </w:r>
      <w:r w:rsidR="004C4600">
        <w:rPr>
          <w:rFonts w:hint="eastAsia"/>
        </w:rPr>
        <w:t>陳清秀參考經濟合作暨發展組織(Organization for Economic Co-operation and Development，OECD)所訂定「十項預算治理原則」</w:t>
      </w:r>
      <w:r w:rsidR="004C4600">
        <w:rPr>
          <w:rStyle w:val="af7"/>
        </w:rPr>
        <w:footnoteReference w:id="4"/>
      </w:r>
      <w:r w:rsidR="004C4600">
        <w:rPr>
          <w:rFonts w:hint="eastAsia"/>
        </w:rPr>
        <w:t>，歸納</w:t>
      </w:r>
      <w:r w:rsidR="001F43E8">
        <w:rPr>
          <w:rFonts w:hint="eastAsia"/>
        </w:rPr>
        <w:t>出9項</w:t>
      </w:r>
      <w:r w:rsidR="001F43E8" w:rsidRPr="004C4600">
        <w:rPr>
          <w:rFonts w:hint="eastAsia"/>
        </w:rPr>
        <w:t>公共債務之</w:t>
      </w:r>
      <w:r w:rsidR="004C4600" w:rsidRPr="004C4600">
        <w:rPr>
          <w:rFonts w:hint="eastAsia"/>
        </w:rPr>
        <w:t>基本價值原則</w:t>
      </w:r>
      <w:r w:rsidR="001F43E8">
        <w:rPr>
          <w:rStyle w:val="af7"/>
        </w:rPr>
        <w:footnoteReference w:id="5"/>
      </w:r>
      <w:r w:rsidR="004C4600">
        <w:rPr>
          <w:rFonts w:hint="eastAsia"/>
        </w:rPr>
        <w:t>，分別為1.財政公債民主原則與法定原則。2.</w:t>
      </w:r>
      <w:r w:rsidR="00414173">
        <w:rPr>
          <w:rFonts w:hint="eastAsia"/>
        </w:rPr>
        <w:t>受益負擔原則與建設公債之原則</w:t>
      </w:r>
      <w:r w:rsidR="001F43E8">
        <w:rPr>
          <w:rFonts w:hint="eastAsia"/>
        </w:rPr>
        <w:t>：財政政策之「黃金條款」</w:t>
      </w:r>
      <w:r w:rsidR="00414173">
        <w:rPr>
          <w:rFonts w:hint="eastAsia"/>
        </w:rPr>
        <w:t>。3.宏觀調控原則</w:t>
      </w:r>
      <w:r w:rsidR="001F43E8">
        <w:rPr>
          <w:rFonts w:hint="eastAsia"/>
        </w:rPr>
        <w:t>：穩定經濟、調整景氣之經濟政策上管制功能</w:t>
      </w:r>
      <w:r w:rsidR="00414173">
        <w:rPr>
          <w:rFonts w:hint="eastAsia"/>
        </w:rPr>
        <w:t>。4.財政之永續發展(可持續性)原則</w:t>
      </w:r>
      <w:r w:rsidR="001F43E8">
        <w:rPr>
          <w:rFonts w:hint="eastAsia"/>
        </w:rPr>
        <w:t>：償債能力原則與規模適度原則</w:t>
      </w:r>
      <w:r w:rsidR="00414173">
        <w:rPr>
          <w:rFonts w:hint="eastAsia"/>
        </w:rPr>
        <w:t>。5.成本效益原則與履約信用原則。6.公債市場消化之原則。7.資訊公開與透明化原則。8.健全監督制度。9.司法監督與審查密度。</w:t>
      </w:r>
    </w:p>
    <w:p w:rsidR="00FB2D94" w:rsidRDefault="00FB2D94" w:rsidP="00FB2D94">
      <w:pPr>
        <w:ind w:left="567" w:firstLine="567"/>
        <w:rPr>
          <w:rFonts w:hint="eastAsia"/>
        </w:rPr>
      </w:pPr>
    </w:p>
    <w:p w:rsidR="002D60B7" w:rsidRDefault="005D2757" w:rsidP="002D60B7">
      <w:pPr>
        <w:pStyle w:val="14"/>
        <w:ind w:left="567" w:hanging="567"/>
        <w:rPr>
          <w:snapToGrid/>
        </w:rPr>
      </w:pPr>
      <w:bookmarkStart w:id="16" w:name="_Toc173746449"/>
      <w:r>
        <w:rPr>
          <w:rFonts w:hint="eastAsia"/>
          <w:snapToGrid/>
        </w:rPr>
        <w:t>二</w:t>
      </w:r>
      <w:r w:rsidR="002D60B7">
        <w:rPr>
          <w:rFonts w:hint="eastAsia"/>
          <w:snapToGrid/>
        </w:rPr>
        <w:t>、</w:t>
      </w:r>
      <w:r w:rsidR="002D60B7" w:rsidRPr="002D60B7">
        <w:rPr>
          <w:rFonts w:hint="eastAsia"/>
          <w:snapToGrid/>
        </w:rPr>
        <w:t>近年中央政府</w:t>
      </w:r>
      <w:r w:rsidR="00A64076">
        <w:rPr>
          <w:rFonts w:hint="eastAsia"/>
          <w:snapToGrid/>
        </w:rPr>
        <w:t>總預算及特別預算債務舉借</w:t>
      </w:r>
      <w:r w:rsidR="00D86425">
        <w:rPr>
          <w:rFonts w:hint="eastAsia"/>
          <w:snapToGrid/>
        </w:rPr>
        <w:t>情形</w:t>
      </w:r>
      <w:r w:rsidR="00A64076">
        <w:rPr>
          <w:rFonts w:hint="eastAsia"/>
          <w:snapToGrid/>
        </w:rPr>
        <w:t>及公</w:t>
      </w:r>
      <w:r w:rsidR="00D86425">
        <w:rPr>
          <w:rFonts w:hint="eastAsia"/>
          <w:snapToGrid/>
        </w:rPr>
        <w:t>共</w:t>
      </w:r>
      <w:r w:rsidR="00A64076">
        <w:rPr>
          <w:rFonts w:hint="eastAsia"/>
          <w:snapToGrid/>
        </w:rPr>
        <w:t>債</w:t>
      </w:r>
      <w:r w:rsidR="00D86425">
        <w:rPr>
          <w:rFonts w:hint="eastAsia"/>
          <w:snapToGrid/>
        </w:rPr>
        <w:t>務</w:t>
      </w:r>
      <w:r w:rsidR="00A64076">
        <w:rPr>
          <w:rFonts w:hint="eastAsia"/>
          <w:snapToGrid/>
        </w:rPr>
        <w:t>法</w:t>
      </w:r>
      <w:r w:rsidR="00D86425">
        <w:rPr>
          <w:rFonts w:hint="eastAsia"/>
          <w:snapToGrid/>
        </w:rPr>
        <w:t>相關</w:t>
      </w:r>
      <w:r w:rsidR="00A64076">
        <w:rPr>
          <w:rFonts w:hint="eastAsia"/>
          <w:snapToGrid/>
        </w:rPr>
        <w:t>規定</w:t>
      </w:r>
      <w:bookmarkEnd w:id="16"/>
    </w:p>
    <w:p w:rsidR="00015FCA" w:rsidRPr="00015FCA" w:rsidRDefault="00015FCA" w:rsidP="00015FCA">
      <w:pPr>
        <w:ind w:left="567" w:firstLine="567"/>
        <w:rPr>
          <w:rFonts w:hint="eastAsia"/>
          <w:snapToGrid/>
        </w:rPr>
      </w:pPr>
      <w:r w:rsidRPr="00015FCA">
        <w:rPr>
          <w:rFonts w:hint="eastAsia"/>
          <w:snapToGrid/>
        </w:rPr>
        <w:t>公共債務法</w:t>
      </w:r>
      <w:r w:rsidR="00B73B0B">
        <w:rPr>
          <w:rFonts w:hint="eastAsia"/>
          <w:snapToGrid/>
        </w:rPr>
        <w:t>除</w:t>
      </w:r>
      <w:r w:rsidR="00D42557">
        <w:rPr>
          <w:rFonts w:hint="eastAsia"/>
          <w:snapToGrid/>
        </w:rPr>
        <w:t>於第4條明定</w:t>
      </w:r>
      <w:r>
        <w:rPr>
          <w:rFonts w:hint="eastAsia"/>
          <w:snapToGrid/>
        </w:rPr>
        <w:t>中央政府公共債務</w:t>
      </w:r>
      <w:r w:rsidR="00D42557">
        <w:rPr>
          <w:rFonts w:hint="eastAsia"/>
          <w:snapToGrid/>
        </w:rPr>
        <w:t>範疇</w:t>
      </w:r>
      <w:r w:rsidR="00B73B0B">
        <w:rPr>
          <w:rFonts w:hint="eastAsia"/>
          <w:snapToGrid/>
        </w:rPr>
        <w:t>外，</w:t>
      </w:r>
      <w:r w:rsidRPr="00015FCA">
        <w:rPr>
          <w:rFonts w:hint="eastAsia"/>
          <w:snapToGrid/>
        </w:rPr>
        <w:t>並於</w:t>
      </w:r>
      <w:r w:rsidR="00B73B0B">
        <w:rPr>
          <w:rFonts w:hint="eastAsia"/>
          <w:snapToGrid/>
        </w:rPr>
        <w:t>該法第5</w:t>
      </w:r>
      <w:r w:rsidR="00D42557">
        <w:rPr>
          <w:rFonts w:hint="eastAsia"/>
          <w:snapToGrid/>
        </w:rPr>
        <w:t>條中列示</w:t>
      </w:r>
      <w:r w:rsidR="00B73B0B">
        <w:rPr>
          <w:rFonts w:hint="eastAsia"/>
          <w:snapToGrid/>
        </w:rPr>
        <w:t>公共債務流量及存量債限</w:t>
      </w:r>
      <w:r w:rsidR="0043182C">
        <w:rPr>
          <w:rFonts w:hint="eastAsia"/>
          <w:snapToGrid/>
        </w:rPr>
        <w:t>之</w:t>
      </w:r>
      <w:r w:rsidR="00B73B0B">
        <w:rPr>
          <w:rFonts w:hint="eastAsia"/>
          <w:snapToGrid/>
        </w:rPr>
        <w:t>規定</w:t>
      </w:r>
      <w:r w:rsidRPr="00015FCA">
        <w:rPr>
          <w:rFonts w:hint="eastAsia"/>
          <w:snapToGrid/>
        </w:rPr>
        <w:t>：</w:t>
      </w:r>
    </w:p>
    <w:p w:rsidR="00015FCA" w:rsidRPr="00015FCA" w:rsidRDefault="00015FCA" w:rsidP="00015FCA">
      <w:pPr>
        <w:pStyle w:val="a4"/>
        <w:ind w:left="851" w:hanging="284"/>
        <w:rPr>
          <w:rFonts w:hint="eastAsia"/>
        </w:rPr>
      </w:pPr>
      <w:r w:rsidRPr="00D86425">
        <w:rPr>
          <w:rFonts w:hint="eastAsia"/>
          <w:b/>
          <w:snapToGrid/>
        </w:rPr>
        <w:t>(一)流</w:t>
      </w:r>
      <w:r w:rsidR="00B73B0B" w:rsidRPr="00D86425">
        <w:rPr>
          <w:rFonts w:hint="eastAsia"/>
          <w:b/>
        </w:rPr>
        <w:t>量債限</w:t>
      </w:r>
      <w:r w:rsidRPr="00D86425">
        <w:rPr>
          <w:rFonts w:hint="eastAsia"/>
          <w:b/>
        </w:rPr>
        <w:t>：</w:t>
      </w:r>
      <w:r w:rsidRPr="00015FCA">
        <w:rPr>
          <w:rFonts w:hint="eastAsia"/>
        </w:rPr>
        <w:t>中央總預算及特別預算每年度舉債額度，不得超過其總預算及特別預算歲出總額之15%(第5條第7項)。</w:t>
      </w:r>
    </w:p>
    <w:p w:rsidR="00A64076" w:rsidRDefault="00015FCA" w:rsidP="00015FCA">
      <w:pPr>
        <w:pStyle w:val="a4"/>
        <w:ind w:left="851" w:hanging="284"/>
        <w:rPr>
          <w:snapToGrid/>
        </w:rPr>
      </w:pPr>
      <w:r w:rsidRPr="00D86425">
        <w:rPr>
          <w:b/>
        </w:rPr>
        <w:t>(</w:t>
      </w:r>
      <w:r w:rsidRPr="00D86425">
        <w:rPr>
          <w:rFonts w:hint="eastAsia"/>
          <w:b/>
        </w:rPr>
        <w:t>二</w:t>
      </w:r>
      <w:r w:rsidRPr="00D86425">
        <w:rPr>
          <w:b/>
        </w:rPr>
        <w:t>)</w:t>
      </w:r>
      <w:r w:rsidRPr="00D86425">
        <w:rPr>
          <w:rFonts w:hint="eastAsia"/>
          <w:b/>
        </w:rPr>
        <w:t>存</w:t>
      </w:r>
      <w:r w:rsidR="00B73B0B" w:rsidRPr="00D86425">
        <w:rPr>
          <w:rFonts w:hint="eastAsia"/>
          <w:b/>
          <w:snapToGrid/>
        </w:rPr>
        <w:t>量債限</w:t>
      </w:r>
      <w:r w:rsidRPr="00D86425">
        <w:rPr>
          <w:rFonts w:hint="eastAsia"/>
          <w:b/>
          <w:snapToGrid/>
        </w:rPr>
        <w:t>：</w:t>
      </w:r>
      <w:r w:rsidRPr="00015FCA">
        <w:rPr>
          <w:rFonts w:hint="eastAsia"/>
          <w:snapToGrid/>
        </w:rPr>
        <w:t>中央在其總預算、特別預算及在營業基金、信託基金以外之特種基金預算內，所舉借之一年以上公共債務未償餘額預算數，合計不得超過行政院主計總處發布之前3年度名目國內生產毛額平均數之40.6%(第5條第1項)。</w:t>
      </w:r>
    </w:p>
    <w:p w:rsidR="00015FCA" w:rsidRDefault="00015FCA" w:rsidP="00015FCA">
      <w:pPr>
        <w:ind w:left="567" w:firstLine="567"/>
        <w:rPr>
          <w:snapToGrid/>
        </w:rPr>
      </w:pPr>
      <w:r>
        <w:rPr>
          <w:rFonts w:hint="eastAsia"/>
          <w:snapToGrid/>
        </w:rPr>
        <w:t>據財政部國庫署說明，各年度債務舉借數概分為</w:t>
      </w:r>
      <w:r w:rsidR="00381AEA">
        <w:rPr>
          <w:rFonts w:hint="eastAsia"/>
          <w:snapToGrid/>
        </w:rPr>
        <w:t>「</w:t>
      </w:r>
      <w:r>
        <w:rPr>
          <w:rFonts w:hint="eastAsia"/>
          <w:snapToGrid/>
        </w:rPr>
        <w:t>列入流量債限</w:t>
      </w:r>
      <w:r w:rsidR="00381AEA">
        <w:rPr>
          <w:rFonts w:hint="eastAsia"/>
          <w:snapToGrid/>
        </w:rPr>
        <w:t>」</w:t>
      </w:r>
      <w:r>
        <w:rPr>
          <w:rFonts w:hint="eastAsia"/>
          <w:snapToGrid/>
        </w:rPr>
        <w:t>及</w:t>
      </w:r>
      <w:r w:rsidR="00381AEA">
        <w:rPr>
          <w:rFonts w:hint="eastAsia"/>
          <w:snapToGrid/>
        </w:rPr>
        <w:t>「</w:t>
      </w:r>
      <w:r>
        <w:rPr>
          <w:rFonts w:hint="eastAsia"/>
          <w:snapToGrid/>
        </w:rPr>
        <w:t>不列入流量債限</w:t>
      </w:r>
      <w:r w:rsidR="00381AEA">
        <w:rPr>
          <w:rFonts w:hint="eastAsia"/>
          <w:snapToGrid/>
        </w:rPr>
        <w:t>」</w:t>
      </w:r>
      <w:r>
        <w:rPr>
          <w:rFonts w:hint="eastAsia"/>
          <w:snapToGrid/>
        </w:rPr>
        <w:t>兩類，</w:t>
      </w:r>
      <w:r w:rsidR="00381AEA" w:rsidRPr="00381AEA">
        <w:rPr>
          <w:rFonts w:hint="eastAsia"/>
          <w:snapToGrid/>
        </w:rPr>
        <w:t>「列入流量債限」係指依公共債務法第5條第7</w:t>
      </w:r>
      <w:r w:rsidR="00053301">
        <w:rPr>
          <w:rFonts w:hint="eastAsia"/>
          <w:snapToGrid/>
        </w:rPr>
        <w:t>項規定納入年度流量債限計算</w:t>
      </w:r>
      <w:r w:rsidR="00381AEA" w:rsidRPr="00381AEA">
        <w:rPr>
          <w:rFonts w:hint="eastAsia"/>
          <w:snapToGrid/>
        </w:rPr>
        <w:t>之舉借數</w:t>
      </w:r>
      <w:r w:rsidR="00381AEA">
        <w:rPr>
          <w:rFonts w:hint="eastAsia"/>
          <w:snapToGrid/>
        </w:rPr>
        <w:t>，</w:t>
      </w:r>
      <w:r w:rsidR="00381AEA" w:rsidRPr="00381AEA">
        <w:rPr>
          <w:rFonts w:hint="eastAsia"/>
          <w:snapToGrid/>
        </w:rPr>
        <w:t>「不列入流量債限」係指不受公共債務法第5條第7</w:t>
      </w:r>
      <w:r w:rsidR="00381AEA">
        <w:rPr>
          <w:rFonts w:hint="eastAsia"/>
          <w:snapToGrid/>
        </w:rPr>
        <w:t>項規定之舉借數</w:t>
      </w:r>
      <w:r w:rsidR="006C2234">
        <w:rPr>
          <w:rFonts w:hint="eastAsia"/>
          <w:snapToGrid/>
        </w:rPr>
        <w:t>；</w:t>
      </w:r>
      <w:r w:rsidR="00A90114">
        <w:rPr>
          <w:rFonts w:hint="eastAsia"/>
          <w:snapToGrid/>
        </w:rPr>
        <w:t>不論是否</w:t>
      </w:r>
      <w:r w:rsidR="0043182C">
        <w:rPr>
          <w:rFonts w:hint="eastAsia"/>
          <w:snapToGrid/>
        </w:rPr>
        <w:t>納入年度</w:t>
      </w:r>
      <w:r w:rsidR="00A90114">
        <w:rPr>
          <w:rFonts w:hint="eastAsia"/>
          <w:snapToGrid/>
        </w:rPr>
        <w:t>流量債限</w:t>
      </w:r>
      <w:r w:rsidR="0043182C">
        <w:rPr>
          <w:rFonts w:hint="eastAsia"/>
          <w:snapToGrid/>
        </w:rPr>
        <w:t>計算</w:t>
      </w:r>
      <w:r w:rsidR="00A90114">
        <w:rPr>
          <w:rFonts w:hint="eastAsia"/>
          <w:snapToGrid/>
        </w:rPr>
        <w:t>，</w:t>
      </w:r>
      <w:r>
        <w:rPr>
          <w:rFonts w:hint="eastAsia"/>
          <w:snapToGrid/>
        </w:rPr>
        <w:t>均須計入存量</w:t>
      </w:r>
      <w:r w:rsidR="00A90114">
        <w:rPr>
          <w:rFonts w:hint="eastAsia"/>
          <w:snapToGrid/>
        </w:rPr>
        <w:t>債限</w:t>
      </w:r>
      <w:r w:rsidR="00D42557">
        <w:rPr>
          <w:rFonts w:hint="eastAsia"/>
          <w:snapToGrid/>
        </w:rPr>
        <w:t>計算。</w:t>
      </w:r>
      <w:r>
        <w:rPr>
          <w:rFonts w:hint="eastAsia"/>
          <w:snapToGrid/>
        </w:rPr>
        <w:t>彙整</w:t>
      </w:r>
      <w:r w:rsidR="00381AEA">
        <w:rPr>
          <w:rFonts w:hint="eastAsia"/>
          <w:snapToGrid/>
        </w:rPr>
        <w:t>中央政府</w:t>
      </w:r>
      <w:r>
        <w:rPr>
          <w:rFonts w:hint="eastAsia"/>
          <w:snapToGrid/>
        </w:rPr>
        <w:t>10</w:t>
      </w:r>
      <w:r w:rsidR="00381AEA">
        <w:rPr>
          <w:rFonts w:hint="eastAsia"/>
          <w:snapToGrid/>
        </w:rPr>
        <w:t>4至113</w:t>
      </w:r>
      <w:r>
        <w:rPr>
          <w:rFonts w:hint="eastAsia"/>
          <w:snapToGrid/>
        </w:rPr>
        <w:t>年度</w:t>
      </w:r>
      <w:r w:rsidR="00381AEA" w:rsidRPr="00381AEA">
        <w:rPr>
          <w:rFonts w:hint="eastAsia"/>
          <w:snapToGrid/>
        </w:rPr>
        <w:t>債務舉借預算</w:t>
      </w:r>
      <w:r w:rsidR="00381AEA">
        <w:rPr>
          <w:rFonts w:hint="eastAsia"/>
          <w:snapToGrid/>
        </w:rPr>
        <w:t>概況</w:t>
      </w:r>
      <w:r w:rsidR="00561FE2">
        <w:rPr>
          <w:rFonts w:hint="eastAsia"/>
          <w:snapToGrid/>
        </w:rPr>
        <w:t>(詳表2-2-1)</w:t>
      </w:r>
      <w:r w:rsidR="00381AEA">
        <w:rPr>
          <w:rFonts w:hint="eastAsia"/>
          <w:snapToGrid/>
        </w:rPr>
        <w:t>，其中列入流量債限部分均為總預算，金額介於439億餘元至2,570億餘元間，最高</w:t>
      </w:r>
      <w:r w:rsidR="00561FE2">
        <w:rPr>
          <w:rFonts w:hint="eastAsia"/>
          <w:snapToGrid/>
        </w:rPr>
        <w:t>及最低</w:t>
      </w:r>
      <w:r w:rsidR="00381AEA">
        <w:rPr>
          <w:rFonts w:hint="eastAsia"/>
          <w:snapToGrid/>
        </w:rPr>
        <w:t>者</w:t>
      </w:r>
      <w:r w:rsidR="00561FE2">
        <w:rPr>
          <w:rFonts w:hint="eastAsia"/>
          <w:snapToGrid/>
        </w:rPr>
        <w:t>分別</w:t>
      </w:r>
      <w:r w:rsidR="00381AEA">
        <w:rPr>
          <w:rFonts w:hint="eastAsia"/>
          <w:snapToGrid/>
        </w:rPr>
        <w:t>為113</w:t>
      </w:r>
      <w:r w:rsidR="00561FE2">
        <w:rPr>
          <w:rFonts w:hint="eastAsia"/>
          <w:snapToGrid/>
        </w:rPr>
        <w:t>及111</w:t>
      </w:r>
      <w:r w:rsidR="00381AEA">
        <w:rPr>
          <w:rFonts w:hint="eastAsia"/>
          <w:snapToGrid/>
        </w:rPr>
        <w:t>年度；</w:t>
      </w:r>
      <w:r w:rsidR="00381AEA" w:rsidRPr="00381AEA">
        <w:rPr>
          <w:rFonts w:hint="eastAsia"/>
          <w:snapToGrid/>
        </w:rPr>
        <w:t>不列入流量債限</w:t>
      </w:r>
      <w:r w:rsidR="00381AEA">
        <w:rPr>
          <w:rFonts w:hint="eastAsia"/>
          <w:snapToGrid/>
        </w:rPr>
        <w:t>均為特別預算，金額介於932億餘元至4</w:t>
      </w:r>
      <w:r w:rsidR="00381AEA">
        <w:rPr>
          <w:snapToGrid/>
        </w:rPr>
        <w:t>,351</w:t>
      </w:r>
      <w:r w:rsidR="00381AEA">
        <w:rPr>
          <w:rFonts w:hint="eastAsia"/>
          <w:snapToGrid/>
        </w:rPr>
        <w:t>億元間，最高</w:t>
      </w:r>
      <w:r w:rsidR="00561FE2">
        <w:rPr>
          <w:rFonts w:hint="eastAsia"/>
          <w:snapToGrid/>
        </w:rPr>
        <w:t>及最低</w:t>
      </w:r>
      <w:r w:rsidR="00381AEA">
        <w:rPr>
          <w:rFonts w:hint="eastAsia"/>
          <w:snapToGrid/>
        </w:rPr>
        <w:t>者</w:t>
      </w:r>
      <w:r w:rsidR="00561FE2">
        <w:rPr>
          <w:rFonts w:hint="eastAsia"/>
          <w:snapToGrid/>
        </w:rPr>
        <w:t>分別</w:t>
      </w:r>
      <w:r w:rsidR="00381AEA">
        <w:rPr>
          <w:rFonts w:hint="eastAsia"/>
          <w:snapToGrid/>
        </w:rPr>
        <w:t>為110</w:t>
      </w:r>
      <w:r w:rsidR="00561FE2">
        <w:rPr>
          <w:rFonts w:hint="eastAsia"/>
          <w:snapToGrid/>
        </w:rPr>
        <w:t>及104</w:t>
      </w:r>
      <w:r w:rsidR="00381AEA">
        <w:rPr>
          <w:rFonts w:hint="eastAsia"/>
          <w:snapToGrid/>
        </w:rPr>
        <w:t>年度。</w:t>
      </w:r>
    </w:p>
    <w:p w:rsidR="00A90114" w:rsidRDefault="00A90114" w:rsidP="00A90114">
      <w:pPr>
        <w:adjustRightInd w:val="0"/>
        <w:ind w:leftChars="0" w:left="658" w:hangingChars="232" w:hanging="658"/>
        <w:jc w:val="left"/>
        <w:rPr>
          <w:rFonts w:hAnsi="標楷體"/>
          <w:b/>
          <w:bCs/>
          <w:kern w:val="0"/>
        </w:rPr>
      </w:pPr>
      <w:r w:rsidRPr="00A90114">
        <w:rPr>
          <w:rFonts w:hAnsi="標楷體" w:hint="eastAsia"/>
          <w:b/>
          <w:bCs/>
          <w:kern w:val="0"/>
        </w:rPr>
        <w:t>表</w:t>
      </w:r>
      <w:r w:rsidR="00561FE2">
        <w:rPr>
          <w:rFonts w:hAnsi="標楷體" w:hint="eastAsia"/>
          <w:b/>
          <w:bCs/>
          <w:kern w:val="0"/>
        </w:rPr>
        <w:t>2</w:t>
      </w:r>
      <w:r w:rsidRPr="00A90114">
        <w:rPr>
          <w:rFonts w:hAnsi="標楷體" w:hint="eastAsia"/>
          <w:b/>
          <w:bCs/>
          <w:kern w:val="0"/>
        </w:rPr>
        <w:t>-</w:t>
      </w:r>
      <w:r w:rsidR="00561FE2">
        <w:rPr>
          <w:rFonts w:hAnsi="標楷體" w:hint="eastAsia"/>
          <w:b/>
          <w:bCs/>
          <w:kern w:val="0"/>
        </w:rPr>
        <w:t>2-1</w:t>
      </w:r>
      <w:r w:rsidRPr="00A90114">
        <w:rPr>
          <w:rFonts w:hAnsi="標楷體" w:hint="eastAsia"/>
          <w:b/>
          <w:bCs/>
          <w:kern w:val="0"/>
        </w:rPr>
        <w:t xml:space="preserve"> 中央政府</w:t>
      </w:r>
      <w:r>
        <w:rPr>
          <w:rFonts w:hAnsi="標楷體" w:hint="eastAsia"/>
          <w:b/>
          <w:bCs/>
          <w:kern w:val="0"/>
        </w:rPr>
        <w:t>104至113年度債務舉借預算概況表</w:t>
      </w:r>
    </w:p>
    <w:p w:rsidR="00015FCA" w:rsidRPr="00A90114" w:rsidRDefault="00A90114" w:rsidP="00A90114">
      <w:pPr>
        <w:adjustRightInd w:val="0"/>
        <w:spacing w:line="400" w:lineRule="exact"/>
        <w:ind w:leftChars="0" w:left="565" w:hangingChars="232" w:hanging="565"/>
        <w:jc w:val="right"/>
        <w:rPr>
          <w:snapToGrid/>
          <w:sz w:val="24"/>
          <w:szCs w:val="24"/>
        </w:rPr>
      </w:pPr>
      <w:r>
        <w:rPr>
          <w:rFonts w:hAnsi="標楷體" w:hint="eastAsia"/>
          <w:bCs/>
          <w:kern w:val="0"/>
          <w:sz w:val="24"/>
          <w:szCs w:val="24"/>
        </w:rPr>
        <w:t>單位：新臺幣百萬元；%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CellMar>
          <w:left w:w="28" w:type="dxa"/>
          <w:right w:w="28" w:type="dxa"/>
        </w:tblCellMar>
        <w:tblLook w:val="04A0" w:firstRow="1" w:lastRow="0" w:firstColumn="1" w:lastColumn="0" w:noHBand="0" w:noVBand="1"/>
      </w:tblPr>
      <w:tblGrid>
        <w:gridCol w:w="554"/>
        <w:gridCol w:w="1952"/>
        <w:gridCol w:w="1953"/>
        <w:gridCol w:w="1778"/>
        <w:gridCol w:w="2268"/>
      </w:tblGrid>
      <w:tr w:rsidR="00561FE2" w:rsidRPr="00DD6B34" w:rsidTr="001E204C">
        <w:trPr>
          <w:trHeight w:hRule="exact" w:val="409"/>
          <w:tblHeader/>
        </w:trPr>
        <w:tc>
          <w:tcPr>
            <w:tcW w:w="554" w:type="dxa"/>
            <w:vMerge w:val="restart"/>
            <w:shd w:val="clear" w:color="auto" w:fill="FFFFFF"/>
            <w:noWrap/>
            <w:vAlign w:val="center"/>
          </w:tcPr>
          <w:p w:rsidR="00561FE2" w:rsidRPr="001E204C" w:rsidRDefault="00561FE2" w:rsidP="000226DC">
            <w:pPr>
              <w:pStyle w:val="144"/>
              <w:jc w:val="center"/>
              <w:rPr>
                <w:rFonts w:hint="eastAsia"/>
                <w:b/>
                <w:color w:val="000000"/>
              </w:rPr>
            </w:pPr>
            <w:r w:rsidRPr="001E204C">
              <w:rPr>
                <w:rFonts w:hint="eastAsia"/>
                <w:b/>
                <w:color w:val="000000"/>
              </w:rPr>
              <w:t>年度</w:t>
            </w:r>
          </w:p>
        </w:tc>
        <w:tc>
          <w:tcPr>
            <w:tcW w:w="3905" w:type="dxa"/>
            <w:gridSpan w:val="2"/>
            <w:shd w:val="clear" w:color="auto" w:fill="FFFFFF"/>
            <w:noWrap/>
            <w:vAlign w:val="center"/>
          </w:tcPr>
          <w:p w:rsidR="00561FE2" w:rsidRPr="001E204C" w:rsidRDefault="00561FE2" w:rsidP="00015FCA">
            <w:pPr>
              <w:pStyle w:val="144"/>
              <w:jc w:val="center"/>
              <w:rPr>
                <w:rFonts w:hint="eastAsia"/>
                <w:b/>
                <w:color w:val="000000"/>
              </w:rPr>
            </w:pPr>
            <w:r w:rsidRPr="001E204C">
              <w:rPr>
                <w:rFonts w:hint="eastAsia"/>
                <w:b/>
                <w:color w:val="000000"/>
              </w:rPr>
              <w:t>當年度舉借債務預算數</w:t>
            </w:r>
          </w:p>
        </w:tc>
        <w:tc>
          <w:tcPr>
            <w:tcW w:w="1778" w:type="dxa"/>
            <w:vMerge w:val="restart"/>
            <w:shd w:val="clear" w:color="auto" w:fill="FFFFFF"/>
            <w:vAlign w:val="center"/>
          </w:tcPr>
          <w:p w:rsidR="00561FE2" w:rsidRPr="001E204C" w:rsidRDefault="00561FE2" w:rsidP="00B73B0B">
            <w:pPr>
              <w:pStyle w:val="144"/>
              <w:jc w:val="center"/>
              <w:rPr>
                <w:rFonts w:hint="eastAsia"/>
                <w:b/>
                <w:color w:val="000000"/>
              </w:rPr>
            </w:pPr>
            <w:r w:rsidRPr="001E204C">
              <w:rPr>
                <w:rFonts w:hint="eastAsia"/>
                <w:b/>
                <w:color w:val="000000"/>
              </w:rPr>
              <w:t>歲出預算數</w:t>
            </w:r>
          </w:p>
        </w:tc>
        <w:tc>
          <w:tcPr>
            <w:tcW w:w="2268" w:type="dxa"/>
            <w:vMerge w:val="restart"/>
            <w:shd w:val="clear" w:color="auto" w:fill="FFFFFF"/>
            <w:vAlign w:val="center"/>
          </w:tcPr>
          <w:p w:rsidR="005009C4" w:rsidRDefault="005009C4" w:rsidP="00A90114">
            <w:pPr>
              <w:pStyle w:val="144"/>
              <w:jc w:val="center"/>
              <w:rPr>
                <w:b/>
                <w:color w:val="000000"/>
              </w:rPr>
            </w:pPr>
            <w:r>
              <w:rPr>
                <w:rFonts w:hint="eastAsia"/>
                <w:b/>
                <w:color w:val="000000"/>
              </w:rPr>
              <w:t>當年度舉借比率</w:t>
            </w:r>
          </w:p>
          <w:p w:rsidR="00561FE2" w:rsidRPr="001E204C" w:rsidRDefault="005009C4" w:rsidP="00A90114">
            <w:pPr>
              <w:pStyle w:val="144"/>
              <w:jc w:val="center"/>
              <w:rPr>
                <w:rFonts w:hint="eastAsia"/>
                <w:b/>
                <w:color w:val="000000"/>
              </w:rPr>
            </w:pPr>
            <w:r>
              <w:rPr>
                <w:rFonts w:hint="eastAsia"/>
                <w:b/>
                <w:color w:val="000000"/>
              </w:rPr>
              <w:t>(</w:t>
            </w:r>
            <w:r w:rsidR="00561FE2" w:rsidRPr="001E204C">
              <w:rPr>
                <w:rFonts w:hint="eastAsia"/>
                <w:b/>
                <w:color w:val="000000"/>
              </w:rPr>
              <w:t>當年度舉借債務預算數/歲出預算數</w:t>
            </w:r>
            <w:r>
              <w:rPr>
                <w:rFonts w:hint="eastAsia"/>
                <w:b/>
                <w:color w:val="000000"/>
              </w:rPr>
              <w:t>)</w:t>
            </w:r>
          </w:p>
        </w:tc>
      </w:tr>
      <w:tr w:rsidR="00561FE2" w:rsidRPr="00DD6B34" w:rsidTr="001E204C">
        <w:trPr>
          <w:trHeight w:hRule="exact" w:val="624"/>
          <w:tblHeader/>
        </w:trPr>
        <w:tc>
          <w:tcPr>
            <w:tcW w:w="554" w:type="dxa"/>
            <w:vMerge/>
            <w:shd w:val="clear" w:color="auto" w:fill="FFFFFF"/>
            <w:noWrap/>
            <w:vAlign w:val="center"/>
          </w:tcPr>
          <w:p w:rsidR="00561FE2" w:rsidRDefault="00561FE2" w:rsidP="000226DC">
            <w:pPr>
              <w:pStyle w:val="144"/>
              <w:jc w:val="center"/>
              <w:rPr>
                <w:rFonts w:hint="eastAsia"/>
                <w:color w:val="000000"/>
              </w:rPr>
            </w:pPr>
          </w:p>
        </w:tc>
        <w:tc>
          <w:tcPr>
            <w:tcW w:w="1952" w:type="dxa"/>
            <w:shd w:val="clear" w:color="auto" w:fill="FFFFFF"/>
            <w:noWrap/>
            <w:vAlign w:val="center"/>
          </w:tcPr>
          <w:p w:rsidR="00561FE2" w:rsidRPr="001E204C" w:rsidRDefault="00561FE2" w:rsidP="00015FCA">
            <w:pPr>
              <w:pStyle w:val="144"/>
              <w:jc w:val="center"/>
              <w:rPr>
                <w:b/>
                <w:color w:val="000000"/>
              </w:rPr>
            </w:pPr>
            <w:r w:rsidRPr="001E204C">
              <w:rPr>
                <w:rFonts w:hint="eastAsia"/>
                <w:b/>
                <w:color w:val="000000"/>
              </w:rPr>
              <w:t>列入流量債限</w:t>
            </w:r>
          </w:p>
          <w:p w:rsidR="00561FE2" w:rsidRPr="001E204C" w:rsidRDefault="00561FE2" w:rsidP="00015FCA">
            <w:pPr>
              <w:pStyle w:val="144"/>
              <w:jc w:val="center"/>
              <w:rPr>
                <w:b/>
                <w:color w:val="000000"/>
              </w:rPr>
            </w:pPr>
            <w:r w:rsidRPr="001E204C">
              <w:rPr>
                <w:rFonts w:hint="eastAsia"/>
                <w:b/>
                <w:color w:val="000000"/>
              </w:rPr>
              <w:t>亦列入存量債限</w:t>
            </w:r>
          </w:p>
        </w:tc>
        <w:tc>
          <w:tcPr>
            <w:tcW w:w="1953" w:type="dxa"/>
            <w:shd w:val="clear" w:color="auto" w:fill="FFFFFF"/>
            <w:noWrap/>
            <w:vAlign w:val="center"/>
          </w:tcPr>
          <w:p w:rsidR="00561FE2" w:rsidRPr="001E204C" w:rsidRDefault="00561FE2" w:rsidP="00015FCA">
            <w:pPr>
              <w:pStyle w:val="144"/>
              <w:jc w:val="center"/>
              <w:rPr>
                <w:b/>
                <w:color w:val="000000"/>
              </w:rPr>
            </w:pPr>
            <w:r w:rsidRPr="001E204C">
              <w:rPr>
                <w:rFonts w:hint="eastAsia"/>
                <w:b/>
                <w:color w:val="000000"/>
              </w:rPr>
              <w:t>不列入流量債限但列入存量債限</w:t>
            </w:r>
          </w:p>
        </w:tc>
        <w:tc>
          <w:tcPr>
            <w:tcW w:w="1778" w:type="dxa"/>
            <w:vMerge/>
            <w:shd w:val="clear" w:color="auto" w:fill="FFFFFF"/>
            <w:vAlign w:val="center"/>
          </w:tcPr>
          <w:p w:rsidR="00561FE2" w:rsidRPr="00DD6B34" w:rsidRDefault="00561FE2" w:rsidP="00B73B0B">
            <w:pPr>
              <w:pStyle w:val="144"/>
              <w:jc w:val="center"/>
              <w:rPr>
                <w:color w:val="000000"/>
              </w:rPr>
            </w:pPr>
          </w:p>
        </w:tc>
        <w:tc>
          <w:tcPr>
            <w:tcW w:w="2268" w:type="dxa"/>
            <w:vMerge/>
            <w:shd w:val="clear" w:color="auto" w:fill="FFFFFF"/>
            <w:vAlign w:val="center"/>
          </w:tcPr>
          <w:p w:rsidR="00561FE2" w:rsidRPr="00DD6B34" w:rsidRDefault="00561FE2" w:rsidP="000226DC">
            <w:pPr>
              <w:pStyle w:val="144"/>
              <w:jc w:val="right"/>
              <w:rPr>
                <w:rFonts w:hint="eastAsia"/>
                <w:color w:val="000000"/>
              </w:rPr>
            </w:pPr>
          </w:p>
        </w:tc>
      </w:tr>
      <w:tr w:rsidR="00015FCA" w:rsidRPr="00DD6B34" w:rsidTr="00A613BC">
        <w:trPr>
          <w:trHeight w:hRule="exact" w:val="340"/>
        </w:trPr>
        <w:tc>
          <w:tcPr>
            <w:tcW w:w="554" w:type="dxa"/>
            <w:shd w:val="clear" w:color="auto" w:fill="FFFFFF"/>
            <w:noWrap/>
            <w:vAlign w:val="center"/>
          </w:tcPr>
          <w:p w:rsidR="00015FCA" w:rsidRPr="00DD6B34" w:rsidRDefault="00015FCA" w:rsidP="000226DC">
            <w:pPr>
              <w:pStyle w:val="144"/>
              <w:jc w:val="center"/>
              <w:rPr>
                <w:rFonts w:hint="eastAsia"/>
                <w:color w:val="000000"/>
              </w:rPr>
            </w:pPr>
            <w:r>
              <w:rPr>
                <w:rFonts w:hint="eastAsia"/>
                <w:color w:val="000000"/>
              </w:rPr>
              <w:t>104</w:t>
            </w:r>
          </w:p>
        </w:tc>
        <w:tc>
          <w:tcPr>
            <w:tcW w:w="1952" w:type="dxa"/>
            <w:shd w:val="clear" w:color="auto" w:fill="FFFFFF"/>
            <w:noWrap/>
            <w:vAlign w:val="center"/>
          </w:tcPr>
          <w:p w:rsidR="00015FCA" w:rsidRPr="00DD6B34" w:rsidRDefault="00C40699" w:rsidP="000226DC">
            <w:pPr>
              <w:pStyle w:val="144"/>
              <w:jc w:val="right"/>
              <w:rPr>
                <w:color w:val="000000"/>
              </w:rPr>
            </w:pPr>
            <w:r>
              <w:rPr>
                <w:rFonts w:hint="eastAsia"/>
                <w:color w:val="000000"/>
              </w:rPr>
              <w:t>223,</w:t>
            </w:r>
            <w:r>
              <w:rPr>
                <w:color w:val="000000"/>
              </w:rPr>
              <w:t>933</w:t>
            </w:r>
          </w:p>
        </w:tc>
        <w:tc>
          <w:tcPr>
            <w:tcW w:w="1953" w:type="dxa"/>
            <w:shd w:val="clear" w:color="auto" w:fill="FFFFFF"/>
            <w:noWrap/>
            <w:vAlign w:val="center"/>
          </w:tcPr>
          <w:p w:rsidR="00015FCA" w:rsidRPr="00DD6B34" w:rsidRDefault="00B73B0B" w:rsidP="000226DC">
            <w:pPr>
              <w:pStyle w:val="144"/>
              <w:jc w:val="right"/>
              <w:rPr>
                <w:color w:val="000000"/>
              </w:rPr>
            </w:pPr>
            <w:r>
              <w:rPr>
                <w:rFonts w:hint="eastAsia"/>
                <w:color w:val="000000"/>
              </w:rPr>
              <w:t>9</w:t>
            </w:r>
            <w:r>
              <w:rPr>
                <w:color w:val="000000"/>
              </w:rPr>
              <w:t>,326</w:t>
            </w:r>
          </w:p>
        </w:tc>
        <w:tc>
          <w:tcPr>
            <w:tcW w:w="1778" w:type="dxa"/>
            <w:shd w:val="clear" w:color="auto" w:fill="FFFFFF"/>
            <w:vAlign w:val="center"/>
          </w:tcPr>
          <w:p w:rsidR="00015FCA" w:rsidRPr="00DD6B34" w:rsidRDefault="00B73B0B" w:rsidP="000226DC">
            <w:pPr>
              <w:pStyle w:val="144"/>
              <w:jc w:val="right"/>
              <w:rPr>
                <w:color w:val="000000"/>
              </w:rPr>
            </w:pPr>
            <w:r>
              <w:rPr>
                <w:rFonts w:hint="eastAsia"/>
                <w:color w:val="000000"/>
              </w:rPr>
              <w:t>1</w:t>
            </w:r>
            <w:r>
              <w:rPr>
                <w:color w:val="000000"/>
              </w:rPr>
              <w:t>,</w:t>
            </w:r>
            <w:r>
              <w:rPr>
                <w:rFonts w:hint="eastAsia"/>
                <w:color w:val="000000"/>
              </w:rPr>
              <w:t>934</w:t>
            </w:r>
            <w:r>
              <w:rPr>
                <w:color w:val="000000"/>
              </w:rPr>
              <w:t>,636</w:t>
            </w:r>
          </w:p>
        </w:tc>
        <w:tc>
          <w:tcPr>
            <w:tcW w:w="2268" w:type="dxa"/>
            <w:shd w:val="clear" w:color="auto" w:fill="FFFFFF"/>
            <w:vAlign w:val="center"/>
          </w:tcPr>
          <w:p w:rsidR="00015FCA" w:rsidRPr="00DD6B34" w:rsidRDefault="00B73B0B" w:rsidP="000226DC">
            <w:pPr>
              <w:pStyle w:val="144"/>
              <w:jc w:val="right"/>
              <w:rPr>
                <w:rFonts w:hint="eastAsia"/>
                <w:color w:val="000000"/>
              </w:rPr>
            </w:pPr>
            <w:r>
              <w:rPr>
                <w:rFonts w:hint="eastAsia"/>
                <w:color w:val="000000"/>
              </w:rPr>
              <w:t>1</w:t>
            </w:r>
            <w:r>
              <w:rPr>
                <w:color w:val="000000"/>
              </w:rPr>
              <w:t>1.6</w:t>
            </w:r>
          </w:p>
        </w:tc>
      </w:tr>
      <w:tr w:rsidR="00015FCA" w:rsidRPr="00DD6B34" w:rsidTr="00A613BC">
        <w:trPr>
          <w:trHeight w:hRule="exact" w:val="340"/>
        </w:trPr>
        <w:tc>
          <w:tcPr>
            <w:tcW w:w="554" w:type="dxa"/>
            <w:shd w:val="clear" w:color="auto" w:fill="FFFFFF"/>
            <w:noWrap/>
            <w:vAlign w:val="center"/>
          </w:tcPr>
          <w:p w:rsidR="00015FCA" w:rsidRPr="00DD6B34" w:rsidRDefault="00015FCA" w:rsidP="000226DC">
            <w:pPr>
              <w:pStyle w:val="144"/>
              <w:jc w:val="center"/>
              <w:rPr>
                <w:color w:val="000000"/>
              </w:rPr>
            </w:pPr>
            <w:r w:rsidRPr="00DD6B34">
              <w:rPr>
                <w:color w:val="000000"/>
              </w:rPr>
              <w:t>105</w:t>
            </w:r>
          </w:p>
        </w:tc>
        <w:tc>
          <w:tcPr>
            <w:tcW w:w="1952" w:type="dxa"/>
            <w:shd w:val="clear" w:color="auto" w:fill="FFFFFF"/>
            <w:noWrap/>
            <w:vAlign w:val="center"/>
          </w:tcPr>
          <w:p w:rsidR="00015FCA" w:rsidRPr="00DD6B34" w:rsidRDefault="00C40699" w:rsidP="000226DC">
            <w:pPr>
              <w:pStyle w:val="144"/>
              <w:jc w:val="right"/>
              <w:rPr>
                <w:color w:val="000000"/>
              </w:rPr>
            </w:pPr>
            <w:r>
              <w:rPr>
                <w:rFonts w:hint="eastAsia"/>
                <w:color w:val="000000"/>
              </w:rPr>
              <w:t>2</w:t>
            </w:r>
            <w:r>
              <w:rPr>
                <w:color w:val="000000"/>
              </w:rPr>
              <w:t>26,489</w:t>
            </w:r>
          </w:p>
        </w:tc>
        <w:tc>
          <w:tcPr>
            <w:tcW w:w="1953" w:type="dxa"/>
            <w:shd w:val="clear" w:color="auto" w:fill="FFFFFF"/>
            <w:noWrap/>
            <w:vAlign w:val="center"/>
          </w:tcPr>
          <w:p w:rsidR="00015FCA" w:rsidRPr="00DD6B34" w:rsidRDefault="00B73B0B" w:rsidP="000226DC">
            <w:pPr>
              <w:pStyle w:val="144"/>
              <w:jc w:val="right"/>
              <w:rPr>
                <w:color w:val="000000"/>
              </w:rPr>
            </w:pPr>
            <w:r>
              <w:rPr>
                <w:rFonts w:hint="eastAsia"/>
                <w:color w:val="000000"/>
              </w:rPr>
              <w:t>9</w:t>
            </w:r>
            <w:r>
              <w:rPr>
                <w:color w:val="000000"/>
              </w:rPr>
              <w:t>,970</w:t>
            </w:r>
          </w:p>
        </w:tc>
        <w:tc>
          <w:tcPr>
            <w:tcW w:w="1778" w:type="dxa"/>
            <w:shd w:val="clear" w:color="auto" w:fill="FFFFFF"/>
            <w:vAlign w:val="center"/>
          </w:tcPr>
          <w:p w:rsidR="00015FCA" w:rsidRPr="00DD6B34" w:rsidRDefault="00B73B0B" w:rsidP="000226DC">
            <w:pPr>
              <w:pStyle w:val="144"/>
              <w:jc w:val="right"/>
              <w:rPr>
                <w:color w:val="000000"/>
              </w:rPr>
            </w:pPr>
            <w:r>
              <w:rPr>
                <w:rFonts w:hint="eastAsia"/>
                <w:color w:val="000000"/>
              </w:rPr>
              <w:t>1</w:t>
            </w:r>
            <w:r>
              <w:rPr>
                <w:color w:val="000000"/>
              </w:rPr>
              <w:t>,975,866</w:t>
            </w:r>
          </w:p>
        </w:tc>
        <w:tc>
          <w:tcPr>
            <w:tcW w:w="2268" w:type="dxa"/>
            <w:shd w:val="clear" w:color="auto" w:fill="FFFFFF"/>
            <w:vAlign w:val="center"/>
          </w:tcPr>
          <w:p w:rsidR="00015FCA" w:rsidRPr="00DD6B34" w:rsidRDefault="00B73B0B" w:rsidP="000226DC">
            <w:pPr>
              <w:pStyle w:val="144"/>
              <w:jc w:val="right"/>
              <w:rPr>
                <w:color w:val="000000"/>
              </w:rPr>
            </w:pPr>
            <w:r>
              <w:rPr>
                <w:rFonts w:hint="eastAsia"/>
                <w:color w:val="000000"/>
              </w:rPr>
              <w:t>1</w:t>
            </w:r>
            <w:r>
              <w:rPr>
                <w:color w:val="000000"/>
              </w:rPr>
              <w:t>1.5</w:t>
            </w:r>
          </w:p>
        </w:tc>
      </w:tr>
      <w:tr w:rsidR="00015FCA" w:rsidRPr="00DD6B34" w:rsidTr="00A613BC">
        <w:trPr>
          <w:trHeight w:hRule="exact" w:val="340"/>
        </w:trPr>
        <w:tc>
          <w:tcPr>
            <w:tcW w:w="554" w:type="dxa"/>
            <w:shd w:val="clear" w:color="auto" w:fill="FFFFFF"/>
            <w:noWrap/>
            <w:vAlign w:val="center"/>
          </w:tcPr>
          <w:p w:rsidR="00015FCA" w:rsidRPr="00DD6B34" w:rsidRDefault="00015FCA" w:rsidP="000226DC">
            <w:pPr>
              <w:pStyle w:val="144"/>
              <w:jc w:val="center"/>
              <w:rPr>
                <w:color w:val="000000"/>
              </w:rPr>
            </w:pPr>
            <w:r w:rsidRPr="00DD6B34">
              <w:rPr>
                <w:color w:val="000000"/>
              </w:rPr>
              <w:t>106</w:t>
            </w:r>
          </w:p>
        </w:tc>
        <w:tc>
          <w:tcPr>
            <w:tcW w:w="1952" w:type="dxa"/>
            <w:shd w:val="clear" w:color="auto" w:fill="FFFFFF"/>
            <w:noWrap/>
            <w:vAlign w:val="center"/>
          </w:tcPr>
          <w:p w:rsidR="00015FCA" w:rsidRPr="00DD6B34" w:rsidRDefault="00C40699" w:rsidP="000226DC">
            <w:pPr>
              <w:pStyle w:val="144"/>
              <w:jc w:val="right"/>
              <w:rPr>
                <w:color w:val="000000"/>
              </w:rPr>
            </w:pPr>
            <w:r>
              <w:rPr>
                <w:rFonts w:hint="eastAsia"/>
                <w:color w:val="000000"/>
              </w:rPr>
              <w:t>2</w:t>
            </w:r>
            <w:r>
              <w:rPr>
                <w:color w:val="000000"/>
              </w:rPr>
              <w:t>06,545</w:t>
            </w:r>
          </w:p>
        </w:tc>
        <w:tc>
          <w:tcPr>
            <w:tcW w:w="1953" w:type="dxa"/>
            <w:shd w:val="clear" w:color="auto" w:fill="FFFFFF"/>
            <w:noWrap/>
            <w:vAlign w:val="center"/>
          </w:tcPr>
          <w:p w:rsidR="00015FCA" w:rsidRPr="00DD6B34" w:rsidRDefault="00B73B0B" w:rsidP="000226DC">
            <w:pPr>
              <w:pStyle w:val="144"/>
              <w:jc w:val="right"/>
              <w:rPr>
                <w:color w:val="000000"/>
              </w:rPr>
            </w:pPr>
            <w:r>
              <w:rPr>
                <w:rFonts w:hint="eastAsia"/>
                <w:color w:val="000000"/>
              </w:rPr>
              <w:t>1</w:t>
            </w:r>
            <w:r>
              <w:rPr>
                <w:color w:val="000000"/>
              </w:rPr>
              <w:t>6,079</w:t>
            </w:r>
          </w:p>
        </w:tc>
        <w:tc>
          <w:tcPr>
            <w:tcW w:w="1778" w:type="dxa"/>
            <w:shd w:val="clear" w:color="auto" w:fill="FFFFFF"/>
            <w:vAlign w:val="center"/>
          </w:tcPr>
          <w:p w:rsidR="00015FCA" w:rsidRPr="00DD6B34" w:rsidRDefault="00B73B0B" w:rsidP="00B73B0B">
            <w:pPr>
              <w:pStyle w:val="144"/>
              <w:jc w:val="right"/>
              <w:rPr>
                <w:color w:val="000000"/>
              </w:rPr>
            </w:pPr>
            <w:r>
              <w:rPr>
                <w:rFonts w:hint="eastAsia"/>
                <w:color w:val="000000"/>
              </w:rPr>
              <w:t>1</w:t>
            </w:r>
            <w:r>
              <w:rPr>
                <w:color w:val="000000"/>
              </w:rPr>
              <w:t>,973,996</w:t>
            </w:r>
          </w:p>
        </w:tc>
        <w:tc>
          <w:tcPr>
            <w:tcW w:w="2268" w:type="dxa"/>
            <w:shd w:val="clear" w:color="auto" w:fill="FFFFFF"/>
            <w:vAlign w:val="center"/>
          </w:tcPr>
          <w:p w:rsidR="00015FCA" w:rsidRPr="00DD6B34" w:rsidRDefault="00B73B0B" w:rsidP="000226DC">
            <w:pPr>
              <w:pStyle w:val="144"/>
              <w:jc w:val="right"/>
              <w:rPr>
                <w:color w:val="000000"/>
              </w:rPr>
            </w:pPr>
            <w:r>
              <w:rPr>
                <w:rFonts w:hint="eastAsia"/>
                <w:color w:val="000000"/>
              </w:rPr>
              <w:t>1</w:t>
            </w:r>
            <w:r>
              <w:rPr>
                <w:color w:val="000000"/>
              </w:rPr>
              <w:t>0.5</w:t>
            </w:r>
          </w:p>
        </w:tc>
      </w:tr>
      <w:tr w:rsidR="00015FCA" w:rsidRPr="00DD6B34" w:rsidTr="00A613BC">
        <w:trPr>
          <w:trHeight w:hRule="exact" w:val="340"/>
        </w:trPr>
        <w:tc>
          <w:tcPr>
            <w:tcW w:w="554" w:type="dxa"/>
            <w:shd w:val="clear" w:color="auto" w:fill="FFFFFF"/>
            <w:noWrap/>
            <w:vAlign w:val="center"/>
          </w:tcPr>
          <w:p w:rsidR="00015FCA" w:rsidRPr="00DD6B34" w:rsidRDefault="00015FCA" w:rsidP="000226DC">
            <w:pPr>
              <w:pStyle w:val="144"/>
              <w:jc w:val="center"/>
              <w:rPr>
                <w:color w:val="000000"/>
              </w:rPr>
            </w:pPr>
            <w:r w:rsidRPr="00DD6B34">
              <w:rPr>
                <w:rFonts w:hint="eastAsia"/>
                <w:color w:val="000000"/>
              </w:rPr>
              <w:t>107</w:t>
            </w:r>
          </w:p>
        </w:tc>
        <w:tc>
          <w:tcPr>
            <w:tcW w:w="1952" w:type="dxa"/>
            <w:shd w:val="clear" w:color="auto" w:fill="FFFFFF"/>
            <w:noWrap/>
            <w:vAlign w:val="center"/>
          </w:tcPr>
          <w:p w:rsidR="00015FCA" w:rsidRPr="00DD6B34" w:rsidRDefault="00C40699" w:rsidP="000226DC">
            <w:pPr>
              <w:pStyle w:val="144"/>
              <w:jc w:val="right"/>
              <w:rPr>
                <w:color w:val="000000"/>
              </w:rPr>
            </w:pPr>
            <w:r>
              <w:rPr>
                <w:rFonts w:hint="eastAsia"/>
                <w:color w:val="000000"/>
              </w:rPr>
              <w:t>1</w:t>
            </w:r>
            <w:r>
              <w:rPr>
                <w:color w:val="000000"/>
              </w:rPr>
              <w:t>26,686</w:t>
            </w:r>
          </w:p>
        </w:tc>
        <w:tc>
          <w:tcPr>
            <w:tcW w:w="1953" w:type="dxa"/>
            <w:shd w:val="clear" w:color="auto" w:fill="FFFFFF"/>
            <w:noWrap/>
            <w:vAlign w:val="center"/>
          </w:tcPr>
          <w:p w:rsidR="00015FCA" w:rsidRPr="00DD6B34" w:rsidRDefault="00B73B0B" w:rsidP="000226DC">
            <w:pPr>
              <w:pStyle w:val="144"/>
              <w:jc w:val="right"/>
              <w:rPr>
                <w:color w:val="000000"/>
              </w:rPr>
            </w:pPr>
            <w:r>
              <w:rPr>
                <w:rFonts w:hint="eastAsia"/>
                <w:color w:val="000000"/>
              </w:rPr>
              <w:t>1</w:t>
            </w:r>
            <w:r>
              <w:rPr>
                <w:color w:val="000000"/>
              </w:rPr>
              <w:t>01,373</w:t>
            </w:r>
          </w:p>
        </w:tc>
        <w:tc>
          <w:tcPr>
            <w:tcW w:w="1778" w:type="dxa"/>
            <w:shd w:val="clear" w:color="auto" w:fill="FFFFFF"/>
            <w:vAlign w:val="center"/>
          </w:tcPr>
          <w:p w:rsidR="00015FCA" w:rsidRPr="00DD6B34" w:rsidRDefault="00B73B0B" w:rsidP="000226DC">
            <w:pPr>
              <w:pStyle w:val="144"/>
              <w:jc w:val="right"/>
              <w:rPr>
                <w:color w:val="000000"/>
              </w:rPr>
            </w:pPr>
            <w:r>
              <w:rPr>
                <w:rFonts w:hint="eastAsia"/>
                <w:color w:val="000000"/>
              </w:rPr>
              <w:t>1</w:t>
            </w:r>
            <w:r>
              <w:rPr>
                <w:color w:val="000000"/>
              </w:rPr>
              <w:t>,966,862</w:t>
            </w:r>
          </w:p>
        </w:tc>
        <w:tc>
          <w:tcPr>
            <w:tcW w:w="2268" w:type="dxa"/>
            <w:shd w:val="clear" w:color="auto" w:fill="FFFFFF"/>
            <w:vAlign w:val="center"/>
          </w:tcPr>
          <w:p w:rsidR="00015FCA" w:rsidRPr="00DD6B34" w:rsidRDefault="00B73B0B" w:rsidP="000226DC">
            <w:pPr>
              <w:pStyle w:val="144"/>
              <w:jc w:val="right"/>
              <w:rPr>
                <w:color w:val="000000"/>
              </w:rPr>
            </w:pPr>
            <w:r>
              <w:rPr>
                <w:rFonts w:hint="eastAsia"/>
                <w:color w:val="000000"/>
              </w:rPr>
              <w:t>6</w:t>
            </w:r>
            <w:r>
              <w:rPr>
                <w:color w:val="000000"/>
              </w:rPr>
              <w:t>.4</w:t>
            </w:r>
          </w:p>
        </w:tc>
      </w:tr>
      <w:tr w:rsidR="00015FCA" w:rsidRPr="00DD6B34" w:rsidTr="00A613BC">
        <w:trPr>
          <w:trHeight w:hRule="exact" w:val="340"/>
        </w:trPr>
        <w:tc>
          <w:tcPr>
            <w:tcW w:w="554" w:type="dxa"/>
            <w:shd w:val="clear" w:color="auto" w:fill="FFFFFF"/>
            <w:noWrap/>
            <w:vAlign w:val="center"/>
          </w:tcPr>
          <w:p w:rsidR="00015FCA" w:rsidRPr="00DD6B34" w:rsidRDefault="00015FCA" w:rsidP="000226DC">
            <w:pPr>
              <w:pStyle w:val="144"/>
              <w:jc w:val="center"/>
              <w:rPr>
                <w:color w:val="000000"/>
              </w:rPr>
            </w:pPr>
            <w:r w:rsidRPr="00DD6B34">
              <w:rPr>
                <w:rFonts w:hint="eastAsia"/>
                <w:color w:val="000000"/>
              </w:rPr>
              <w:t>108</w:t>
            </w:r>
          </w:p>
        </w:tc>
        <w:tc>
          <w:tcPr>
            <w:tcW w:w="1952" w:type="dxa"/>
            <w:shd w:val="clear" w:color="auto" w:fill="FFFFFF"/>
            <w:noWrap/>
            <w:vAlign w:val="center"/>
          </w:tcPr>
          <w:p w:rsidR="00015FCA" w:rsidRPr="00DD6B34" w:rsidRDefault="00B73B0B" w:rsidP="000226DC">
            <w:pPr>
              <w:pStyle w:val="144"/>
              <w:jc w:val="right"/>
              <w:rPr>
                <w:color w:val="000000"/>
              </w:rPr>
            </w:pPr>
            <w:r>
              <w:rPr>
                <w:rFonts w:hint="eastAsia"/>
                <w:color w:val="000000"/>
              </w:rPr>
              <w:t>88,</w:t>
            </w:r>
            <w:r>
              <w:rPr>
                <w:color w:val="000000"/>
              </w:rPr>
              <w:t>915</w:t>
            </w:r>
          </w:p>
        </w:tc>
        <w:tc>
          <w:tcPr>
            <w:tcW w:w="1953" w:type="dxa"/>
            <w:shd w:val="clear" w:color="auto" w:fill="FFFFFF"/>
            <w:noWrap/>
            <w:vAlign w:val="center"/>
          </w:tcPr>
          <w:p w:rsidR="00015FCA" w:rsidRPr="00DD6B34" w:rsidRDefault="00B73B0B" w:rsidP="000226DC">
            <w:pPr>
              <w:pStyle w:val="144"/>
              <w:jc w:val="right"/>
              <w:rPr>
                <w:color w:val="000000"/>
              </w:rPr>
            </w:pPr>
            <w:r>
              <w:rPr>
                <w:rFonts w:hint="eastAsia"/>
                <w:color w:val="000000"/>
              </w:rPr>
              <w:t>1</w:t>
            </w:r>
            <w:r>
              <w:rPr>
                <w:color w:val="000000"/>
              </w:rPr>
              <w:t>04,743</w:t>
            </w:r>
          </w:p>
        </w:tc>
        <w:tc>
          <w:tcPr>
            <w:tcW w:w="1778" w:type="dxa"/>
            <w:shd w:val="clear" w:color="auto" w:fill="FFFFFF"/>
            <w:vAlign w:val="center"/>
          </w:tcPr>
          <w:p w:rsidR="00015FCA" w:rsidRPr="00DD6B34" w:rsidRDefault="00B73B0B" w:rsidP="000226DC">
            <w:pPr>
              <w:pStyle w:val="144"/>
              <w:jc w:val="right"/>
              <w:rPr>
                <w:color w:val="000000"/>
              </w:rPr>
            </w:pPr>
            <w:r>
              <w:rPr>
                <w:rFonts w:hint="eastAsia"/>
                <w:color w:val="000000"/>
              </w:rPr>
              <w:t>1</w:t>
            </w:r>
            <w:r>
              <w:rPr>
                <w:color w:val="000000"/>
              </w:rPr>
              <w:t>,997,978</w:t>
            </w:r>
          </w:p>
        </w:tc>
        <w:tc>
          <w:tcPr>
            <w:tcW w:w="2268" w:type="dxa"/>
            <w:shd w:val="clear" w:color="auto" w:fill="FFFFFF"/>
            <w:vAlign w:val="center"/>
          </w:tcPr>
          <w:p w:rsidR="00015FCA" w:rsidRPr="00DD6B34" w:rsidRDefault="00B73B0B" w:rsidP="000226DC">
            <w:pPr>
              <w:pStyle w:val="144"/>
              <w:jc w:val="right"/>
              <w:rPr>
                <w:color w:val="000000"/>
              </w:rPr>
            </w:pPr>
            <w:r>
              <w:rPr>
                <w:rFonts w:hint="eastAsia"/>
                <w:color w:val="000000"/>
              </w:rPr>
              <w:t>4</w:t>
            </w:r>
            <w:r>
              <w:rPr>
                <w:color w:val="000000"/>
              </w:rPr>
              <w:t>.5</w:t>
            </w:r>
          </w:p>
        </w:tc>
      </w:tr>
      <w:tr w:rsidR="00015FCA" w:rsidRPr="00DD6B34" w:rsidTr="00A613BC">
        <w:trPr>
          <w:trHeight w:hRule="exact" w:val="340"/>
        </w:trPr>
        <w:tc>
          <w:tcPr>
            <w:tcW w:w="554" w:type="dxa"/>
            <w:shd w:val="clear" w:color="auto" w:fill="FFFFFF"/>
            <w:noWrap/>
            <w:vAlign w:val="center"/>
          </w:tcPr>
          <w:p w:rsidR="00015FCA" w:rsidRPr="00DD6B34" w:rsidRDefault="00015FCA" w:rsidP="000226DC">
            <w:pPr>
              <w:pStyle w:val="144"/>
              <w:jc w:val="center"/>
              <w:rPr>
                <w:color w:val="000000"/>
              </w:rPr>
            </w:pPr>
            <w:r w:rsidRPr="00DD6B34">
              <w:rPr>
                <w:rFonts w:hint="eastAsia"/>
                <w:color w:val="000000"/>
              </w:rPr>
              <w:t>109</w:t>
            </w:r>
          </w:p>
        </w:tc>
        <w:tc>
          <w:tcPr>
            <w:tcW w:w="1952" w:type="dxa"/>
            <w:shd w:val="clear" w:color="auto" w:fill="FFFFFF"/>
            <w:noWrap/>
            <w:vAlign w:val="center"/>
          </w:tcPr>
          <w:p w:rsidR="00015FCA" w:rsidRPr="00DD6B34" w:rsidRDefault="00B73B0B" w:rsidP="000226DC">
            <w:pPr>
              <w:pStyle w:val="144"/>
              <w:jc w:val="right"/>
              <w:rPr>
                <w:color w:val="000000"/>
              </w:rPr>
            </w:pPr>
            <w:r>
              <w:rPr>
                <w:rFonts w:hint="eastAsia"/>
                <w:color w:val="000000"/>
              </w:rPr>
              <w:t>5</w:t>
            </w:r>
            <w:r>
              <w:rPr>
                <w:color w:val="000000"/>
              </w:rPr>
              <w:t>5,541</w:t>
            </w:r>
          </w:p>
        </w:tc>
        <w:tc>
          <w:tcPr>
            <w:tcW w:w="1953" w:type="dxa"/>
            <w:shd w:val="clear" w:color="auto" w:fill="FFFFFF"/>
            <w:noWrap/>
            <w:vAlign w:val="center"/>
          </w:tcPr>
          <w:p w:rsidR="00015FCA" w:rsidRPr="00DD6B34" w:rsidRDefault="00B73B0B" w:rsidP="000226DC">
            <w:pPr>
              <w:pStyle w:val="144"/>
              <w:jc w:val="right"/>
              <w:rPr>
                <w:color w:val="000000"/>
              </w:rPr>
            </w:pPr>
            <w:r>
              <w:rPr>
                <w:color w:val="000000"/>
              </w:rPr>
              <w:t>409,745</w:t>
            </w:r>
          </w:p>
        </w:tc>
        <w:tc>
          <w:tcPr>
            <w:tcW w:w="1778" w:type="dxa"/>
            <w:shd w:val="clear" w:color="auto" w:fill="FFFFFF"/>
            <w:vAlign w:val="center"/>
          </w:tcPr>
          <w:p w:rsidR="00015FCA" w:rsidRPr="00DD6B34" w:rsidRDefault="00B73B0B" w:rsidP="000226DC">
            <w:pPr>
              <w:pStyle w:val="144"/>
              <w:jc w:val="right"/>
              <w:rPr>
                <w:color w:val="000000"/>
              </w:rPr>
            </w:pPr>
            <w:r>
              <w:rPr>
                <w:rFonts w:hint="eastAsia"/>
                <w:color w:val="000000"/>
              </w:rPr>
              <w:t>2</w:t>
            </w:r>
            <w:r>
              <w:rPr>
                <w:color w:val="000000"/>
              </w:rPr>
              <w:t>,077,569</w:t>
            </w:r>
          </w:p>
        </w:tc>
        <w:tc>
          <w:tcPr>
            <w:tcW w:w="2268" w:type="dxa"/>
            <w:shd w:val="clear" w:color="auto" w:fill="FFFFFF"/>
            <w:vAlign w:val="center"/>
          </w:tcPr>
          <w:p w:rsidR="00015FCA" w:rsidRPr="00DD6B34" w:rsidRDefault="00B73B0B" w:rsidP="000226DC">
            <w:pPr>
              <w:pStyle w:val="144"/>
              <w:jc w:val="right"/>
              <w:rPr>
                <w:color w:val="000000"/>
              </w:rPr>
            </w:pPr>
            <w:r>
              <w:rPr>
                <w:rFonts w:hint="eastAsia"/>
                <w:color w:val="000000"/>
              </w:rPr>
              <w:t>2</w:t>
            </w:r>
            <w:r>
              <w:rPr>
                <w:color w:val="000000"/>
              </w:rPr>
              <w:t>.7</w:t>
            </w:r>
          </w:p>
        </w:tc>
      </w:tr>
      <w:tr w:rsidR="00015FCA" w:rsidRPr="00DD6B34" w:rsidTr="00A613BC">
        <w:trPr>
          <w:trHeight w:hRule="exact" w:val="340"/>
        </w:trPr>
        <w:tc>
          <w:tcPr>
            <w:tcW w:w="554" w:type="dxa"/>
            <w:shd w:val="clear" w:color="auto" w:fill="FFFFFF"/>
            <w:noWrap/>
            <w:vAlign w:val="center"/>
          </w:tcPr>
          <w:p w:rsidR="00015FCA" w:rsidRPr="00DD6B34" w:rsidRDefault="00015FCA" w:rsidP="000226DC">
            <w:pPr>
              <w:pStyle w:val="144"/>
              <w:jc w:val="center"/>
              <w:rPr>
                <w:color w:val="000000"/>
              </w:rPr>
            </w:pPr>
            <w:r w:rsidRPr="00DD6B34">
              <w:rPr>
                <w:rFonts w:hint="eastAsia"/>
                <w:color w:val="000000"/>
              </w:rPr>
              <w:t>110</w:t>
            </w:r>
          </w:p>
        </w:tc>
        <w:tc>
          <w:tcPr>
            <w:tcW w:w="1952" w:type="dxa"/>
            <w:shd w:val="clear" w:color="auto" w:fill="FFFFFF"/>
            <w:noWrap/>
            <w:vAlign w:val="center"/>
          </w:tcPr>
          <w:p w:rsidR="00015FCA" w:rsidRPr="00DD6B34" w:rsidRDefault="00B73B0B" w:rsidP="000226DC">
            <w:pPr>
              <w:pStyle w:val="144"/>
              <w:jc w:val="right"/>
              <w:rPr>
                <w:color w:val="000000"/>
              </w:rPr>
            </w:pPr>
            <w:r>
              <w:rPr>
                <w:rFonts w:hint="eastAsia"/>
                <w:color w:val="000000"/>
              </w:rPr>
              <w:t>1</w:t>
            </w:r>
            <w:r>
              <w:rPr>
                <w:color w:val="000000"/>
              </w:rPr>
              <w:t>67,379</w:t>
            </w:r>
          </w:p>
        </w:tc>
        <w:tc>
          <w:tcPr>
            <w:tcW w:w="1953" w:type="dxa"/>
            <w:shd w:val="clear" w:color="auto" w:fill="FFFFFF"/>
            <w:noWrap/>
            <w:vAlign w:val="center"/>
          </w:tcPr>
          <w:p w:rsidR="00015FCA" w:rsidRPr="00DD6B34" w:rsidRDefault="00B73B0B" w:rsidP="000226DC">
            <w:pPr>
              <w:pStyle w:val="144"/>
              <w:jc w:val="right"/>
              <w:rPr>
                <w:color w:val="000000"/>
              </w:rPr>
            </w:pPr>
            <w:r>
              <w:rPr>
                <w:rFonts w:hint="eastAsia"/>
                <w:color w:val="000000"/>
              </w:rPr>
              <w:t>4</w:t>
            </w:r>
            <w:r>
              <w:rPr>
                <w:color w:val="000000"/>
              </w:rPr>
              <w:t>35,100</w:t>
            </w:r>
          </w:p>
        </w:tc>
        <w:tc>
          <w:tcPr>
            <w:tcW w:w="1778" w:type="dxa"/>
            <w:shd w:val="clear" w:color="auto" w:fill="FFFFFF"/>
            <w:vAlign w:val="center"/>
          </w:tcPr>
          <w:p w:rsidR="00015FCA" w:rsidRPr="00DD6B34" w:rsidRDefault="00B73B0B" w:rsidP="000226DC">
            <w:pPr>
              <w:pStyle w:val="144"/>
              <w:jc w:val="right"/>
              <w:rPr>
                <w:color w:val="000000"/>
              </w:rPr>
            </w:pPr>
            <w:r>
              <w:rPr>
                <w:rFonts w:hint="eastAsia"/>
                <w:color w:val="000000"/>
              </w:rPr>
              <w:t>2</w:t>
            </w:r>
            <w:r>
              <w:rPr>
                <w:color w:val="000000"/>
              </w:rPr>
              <w:t>,135,897</w:t>
            </w:r>
          </w:p>
        </w:tc>
        <w:tc>
          <w:tcPr>
            <w:tcW w:w="2268" w:type="dxa"/>
            <w:shd w:val="clear" w:color="auto" w:fill="FFFFFF"/>
            <w:vAlign w:val="center"/>
          </w:tcPr>
          <w:p w:rsidR="00015FCA" w:rsidRPr="00DD6B34" w:rsidRDefault="00B73B0B" w:rsidP="000226DC">
            <w:pPr>
              <w:pStyle w:val="144"/>
              <w:jc w:val="right"/>
              <w:rPr>
                <w:color w:val="000000"/>
              </w:rPr>
            </w:pPr>
            <w:r>
              <w:rPr>
                <w:rFonts w:hint="eastAsia"/>
                <w:color w:val="000000"/>
              </w:rPr>
              <w:t>7</w:t>
            </w:r>
            <w:r>
              <w:rPr>
                <w:color w:val="000000"/>
              </w:rPr>
              <w:t>.8</w:t>
            </w:r>
          </w:p>
        </w:tc>
      </w:tr>
      <w:tr w:rsidR="00015FCA" w:rsidRPr="00DD6B34" w:rsidTr="00A613BC">
        <w:trPr>
          <w:trHeight w:hRule="exact" w:val="340"/>
        </w:trPr>
        <w:tc>
          <w:tcPr>
            <w:tcW w:w="554" w:type="dxa"/>
            <w:shd w:val="clear" w:color="auto" w:fill="FFFFFF"/>
            <w:noWrap/>
            <w:vAlign w:val="center"/>
          </w:tcPr>
          <w:p w:rsidR="00015FCA" w:rsidRPr="00DD6B34" w:rsidRDefault="00015FCA" w:rsidP="000226DC">
            <w:pPr>
              <w:pStyle w:val="144"/>
              <w:jc w:val="center"/>
              <w:rPr>
                <w:color w:val="000000"/>
              </w:rPr>
            </w:pPr>
            <w:r w:rsidRPr="00DD6B34">
              <w:rPr>
                <w:rFonts w:hint="eastAsia"/>
                <w:color w:val="000000"/>
              </w:rPr>
              <w:t>111</w:t>
            </w:r>
          </w:p>
        </w:tc>
        <w:tc>
          <w:tcPr>
            <w:tcW w:w="1952" w:type="dxa"/>
            <w:shd w:val="clear" w:color="auto" w:fill="FFFFFF"/>
            <w:noWrap/>
            <w:vAlign w:val="center"/>
          </w:tcPr>
          <w:p w:rsidR="00015FCA" w:rsidRPr="00DD6B34" w:rsidRDefault="00B73B0B" w:rsidP="000226DC">
            <w:pPr>
              <w:pStyle w:val="144"/>
              <w:jc w:val="right"/>
              <w:rPr>
                <w:color w:val="000000"/>
              </w:rPr>
            </w:pPr>
            <w:r>
              <w:rPr>
                <w:rFonts w:hint="eastAsia"/>
                <w:color w:val="000000"/>
              </w:rPr>
              <w:t>4</w:t>
            </w:r>
            <w:r>
              <w:rPr>
                <w:color w:val="000000"/>
              </w:rPr>
              <w:t>3,904</w:t>
            </w:r>
          </w:p>
        </w:tc>
        <w:tc>
          <w:tcPr>
            <w:tcW w:w="1953" w:type="dxa"/>
            <w:shd w:val="clear" w:color="auto" w:fill="FFFFFF"/>
            <w:noWrap/>
            <w:vAlign w:val="center"/>
          </w:tcPr>
          <w:p w:rsidR="00015FCA" w:rsidRPr="00DD6B34" w:rsidRDefault="00B73B0B" w:rsidP="000226DC">
            <w:pPr>
              <w:pStyle w:val="144"/>
              <w:jc w:val="right"/>
              <w:rPr>
                <w:color w:val="000000"/>
              </w:rPr>
            </w:pPr>
            <w:r>
              <w:rPr>
                <w:rFonts w:hint="eastAsia"/>
                <w:color w:val="000000"/>
              </w:rPr>
              <w:t>4</w:t>
            </w:r>
            <w:r>
              <w:rPr>
                <w:color w:val="000000"/>
              </w:rPr>
              <w:t>19,638</w:t>
            </w:r>
          </w:p>
        </w:tc>
        <w:tc>
          <w:tcPr>
            <w:tcW w:w="1778" w:type="dxa"/>
            <w:shd w:val="clear" w:color="auto" w:fill="FFFFFF"/>
            <w:vAlign w:val="center"/>
          </w:tcPr>
          <w:p w:rsidR="00015FCA" w:rsidRPr="00DD6B34" w:rsidRDefault="00B73B0B" w:rsidP="000226DC">
            <w:pPr>
              <w:pStyle w:val="144"/>
              <w:jc w:val="right"/>
              <w:rPr>
                <w:color w:val="000000"/>
              </w:rPr>
            </w:pPr>
            <w:r>
              <w:rPr>
                <w:rFonts w:hint="eastAsia"/>
                <w:color w:val="000000"/>
              </w:rPr>
              <w:t>2</w:t>
            </w:r>
            <w:r>
              <w:rPr>
                <w:color w:val="000000"/>
              </w:rPr>
              <w:t>,251,065</w:t>
            </w:r>
          </w:p>
        </w:tc>
        <w:tc>
          <w:tcPr>
            <w:tcW w:w="2268" w:type="dxa"/>
            <w:shd w:val="clear" w:color="auto" w:fill="FFFFFF"/>
            <w:vAlign w:val="center"/>
          </w:tcPr>
          <w:p w:rsidR="00015FCA" w:rsidRPr="00DD6B34" w:rsidRDefault="00B73B0B" w:rsidP="000226DC">
            <w:pPr>
              <w:pStyle w:val="144"/>
              <w:jc w:val="right"/>
              <w:rPr>
                <w:color w:val="000000"/>
              </w:rPr>
            </w:pPr>
            <w:r>
              <w:rPr>
                <w:color w:val="000000"/>
              </w:rPr>
              <w:t>2.0</w:t>
            </w:r>
          </w:p>
        </w:tc>
      </w:tr>
      <w:tr w:rsidR="00015FCA" w:rsidRPr="00DD6B34" w:rsidTr="00A613BC">
        <w:trPr>
          <w:trHeight w:hRule="exact" w:val="340"/>
        </w:trPr>
        <w:tc>
          <w:tcPr>
            <w:tcW w:w="554" w:type="dxa"/>
            <w:shd w:val="clear" w:color="auto" w:fill="FFFFFF"/>
            <w:noWrap/>
            <w:vAlign w:val="center"/>
          </w:tcPr>
          <w:p w:rsidR="00015FCA" w:rsidRPr="00DD6B34" w:rsidRDefault="00015FCA" w:rsidP="000226DC">
            <w:pPr>
              <w:pStyle w:val="144"/>
              <w:jc w:val="center"/>
              <w:rPr>
                <w:rFonts w:hint="eastAsia"/>
                <w:color w:val="000000"/>
              </w:rPr>
            </w:pPr>
            <w:r>
              <w:rPr>
                <w:rFonts w:hint="eastAsia"/>
                <w:color w:val="000000"/>
              </w:rPr>
              <w:t>112</w:t>
            </w:r>
          </w:p>
        </w:tc>
        <w:tc>
          <w:tcPr>
            <w:tcW w:w="1952" w:type="dxa"/>
            <w:shd w:val="clear" w:color="auto" w:fill="FFFFFF"/>
            <w:noWrap/>
            <w:vAlign w:val="center"/>
          </w:tcPr>
          <w:p w:rsidR="00015FCA" w:rsidRPr="00DD6B34" w:rsidRDefault="00B73B0B" w:rsidP="000226DC">
            <w:pPr>
              <w:pStyle w:val="144"/>
              <w:jc w:val="right"/>
              <w:rPr>
                <w:rFonts w:hint="eastAsia"/>
                <w:color w:val="000000"/>
              </w:rPr>
            </w:pPr>
            <w:r>
              <w:rPr>
                <w:rFonts w:hint="eastAsia"/>
                <w:color w:val="000000"/>
              </w:rPr>
              <w:t>1</w:t>
            </w:r>
            <w:r>
              <w:rPr>
                <w:color w:val="000000"/>
              </w:rPr>
              <w:t>73,177</w:t>
            </w:r>
          </w:p>
        </w:tc>
        <w:tc>
          <w:tcPr>
            <w:tcW w:w="1953" w:type="dxa"/>
            <w:shd w:val="clear" w:color="auto" w:fill="FFFFFF"/>
            <w:noWrap/>
            <w:vAlign w:val="center"/>
          </w:tcPr>
          <w:p w:rsidR="00015FCA" w:rsidRPr="00DD6B34" w:rsidRDefault="00B73B0B" w:rsidP="000226DC">
            <w:pPr>
              <w:pStyle w:val="144"/>
              <w:jc w:val="right"/>
              <w:rPr>
                <w:color w:val="000000"/>
              </w:rPr>
            </w:pPr>
            <w:r>
              <w:rPr>
                <w:rFonts w:hint="eastAsia"/>
                <w:color w:val="000000"/>
              </w:rPr>
              <w:t>2</w:t>
            </w:r>
            <w:r>
              <w:rPr>
                <w:color w:val="000000"/>
              </w:rPr>
              <w:t>12,595</w:t>
            </w:r>
          </w:p>
        </w:tc>
        <w:tc>
          <w:tcPr>
            <w:tcW w:w="1778" w:type="dxa"/>
            <w:shd w:val="clear" w:color="auto" w:fill="FFFFFF"/>
            <w:vAlign w:val="center"/>
          </w:tcPr>
          <w:p w:rsidR="00015FCA" w:rsidRPr="00DD6B34" w:rsidRDefault="00B73B0B" w:rsidP="000226DC">
            <w:pPr>
              <w:pStyle w:val="144"/>
              <w:jc w:val="right"/>
              <w:rPr>
                <w:color w:val="000000"/>
              </w:rPr>
            </w:pPr>
            <w:r>
              <w:rPr>
                <w:rFonts w:hint="eastAsia"/>
                <w:color w:val="000000"/>
              </w:rPr>
              <w:t>2</w:t>
            </w:r>
            <w:r>
              <w:rPr>
                <w:color w:val="000000"/>
              </w:rPr>
              <w:t>,965,867</w:t>
            </w:r>
          </w:p>
        </w:tc>
        <w:tc>
          <w:tcPr>
            <w:tcW w:w="2268" w:type="dxa"/>
            <w:shd w:val="clear" w:color="auto" w:fill="FFFFFF"/>
            <w:vAlign w:val="center"/>
          </w:tcPr>
          <w:p w:rsidR="00015FCA" w:rsidRPr="00DD6B34" w:rsidRDefault="00B73B0B" w:rsidP="000226DC">
            <w:pPr>
              <w:pStyle w:val="144"/>
              <w:jc w:val="right"/>
              <w:rPr>
                <w:rFonts w:hint="eastAsia"/>
                <w:color w:val="000000"/>
              </w:rPr>
            </w:pPr>
            <w:r>
              <w:rPr>
                <w:rFonts w:hint="eastAsia"/>
                <w:color w:val="000000"/>
              </w:rPr>
              <w:t>5</w:t>
            </w:r>
            <w:r>
              <w:rPr>
                <w:color w:val="000000"/>
              </w:rPr>
              <w:t>.8</w:t>
            </w:r>
          </w:p>
        </w:tc>
      </w:tr>
      <w:tr w:rsidR="00015FCA" w:rsidRPr="00DD6B34" w:rsidTr="00A613BC">
        <w:trPr>
          <w:trHeight w:hRule="exact" w:val="340"/>
        </w:trPr>
        <w:tc>
          <w:tcPr>
            <w:tcW w:w="554" w:type="dxa"/>
            <w:shd w:val="clear" w:color="auto" w:fill="FFFFFF"/>
            <w:noWrap/>
            <w:vAlign w:val="center"/>
          </w:tcPr>
          <w:p w:rsidR="00015FCA" w:rsidRDefault="00015FCA" w:rsidP="000226DC">
            <w:pPr>
              <w:pStyle w:val="144"/>
              <w:jc w:val="center"/>
              <w:rPr>
                <w:rFonts w:hint="eastAsia"/>
                <w:color w:val="000000"/>
              </w:rPr>
            </w:pPr>
            <w:r>
              <w:rPr>
                <w:rFonts w:hint="eastAsia"/>
                <w:color w:val="000000"/>
              </w:rPr>
              <w:t>113</w:t>
            </w:r>
          </w:p>
        </w:tc>
        <w:tc>
          <w:tcPr>
            <w:tcW w:w="1952" w:type="dxa"/>
            <w:shd w:val="clear" w:color="auto" w:fill="FFFFFF"/>
            <w:noWrap/>
            <w:vAlign w:val="center"/>
          </w:tcPr>
          <w:p w:rsidR="00015FCA" w:rsidRDefault="00B73B0B" w:rsidP="000226DC">
            <w:pPr>
              <w:pStyle w:val="144"/>
              <w:jc w:val="right"/>
              <w:rPr>
                <w:rFonts w:hint="eastAsia"/>
                <w:color w:val="000000"/>
              </w:rPr>
            </w:pPr>
            <w:r>
              <w:rPr>
                <w:rFonts w:hint="eastAsia"/>
                <w:color w:val="000000"/>
              </w:rPr>
              <w:t>2</w:t>
            </w:r>
            <w:r>
              <w:rPr>
                <w:color w:val="000000"/>
              </w:rPr>
              <w:t>57,096</w:t>
            </w:r>
          </w:p>
        </w:tc>
        <w:tc>
          <w:tcPr>
            <w:tcW w:w="1953" w:type="dxa"/>
            <w:shd w:val="clear" w:color="auto" w:fill="FFFFFF"/>
            <w:noWrap/>
            <w:vAlign w:val="center"/>
          </w:tcPr>
          <w:p w:rsidR="00015FCA" w:rsidRDefault="00B73B0B" w:rsidP="000226DC">
            <w:pPr>
              <w:pStyle w:val="144"/>
              <w:jc w:val="right"/>
              <w:rPr>
                <w:rFonts w:hint="eastAsia"/>
                <w:color w:val="000000"/>
              </w:rPr>
            </w:pPr>
            <w:r>
              <w:rPr>
                <w:rFonts w:hint="eastAsia"/>
                <w:color w:val="000000"/>
              </w:rPr>
              <w:t>1</w:t>
            </w:r>
            <w:r>
              <w:rPr>
                <w:color w:val="000000"/>
              </w:rPr>
              <w:t>99,757</w:t>
            </w:r>
          </w:p>
        </w:tc>
        <w:tc>
          <w:tcPr>
            <w:tcW w:w="1778" w:type="dxa"/>
            <w:shd w:val="clear" w:color="auto" w:fill="FFFFFF"/>
            <w:vAlign w:val="center"/>
          </w:tcPr>
          <w:p w:rsidR="00015FCA" w:rsidRDefault="00B73B0B" w:rsidP="000226DC">
            <w:pPr>
              <w:pStyle w:val="144"/>
              <w:jc w:val="right"/>
              <w:rPr>
                <w:rFonts w:hint="eastAsia"/>
                <w:color w:val="000000"/>
              </w:rPr>
            </w:pPr>
            <w:r>
              <w:rPr>
                <w:rFonts w:hint="eastAsia"/>
                <w:color w:val="000000"/>
              </w:rPr>
              <w:t>3</w:t>
            </w:r>
            <w:r>
              <w:rPr>
                <w:color w:val="000000"/>
              </w:rPr>
              <w:t>,015,845</w:t>
            </w:r>
          </w:p>
        </w:tc>
        <w:tc>
          <w:tcPr>
            <w:tcW w:w="2268" w:type="dxa"/>
            <w:shd w:val="clear" w:color="auto" w:fill="FFFFFF"/>
            <w:vAlign w:val="center"/>
          </w:tcPr>
          <w:p w:rsidR="00015FCA" w:rsidRPr="00DD6B34" w:rsidRDefault="00B73B0B" w:rsidP="000226DC">
            <w:pPr>
              <w:pStyle w:val="144"/>
              <w:jc w:val="right"/>
              <w:rPr>
                <w:rFonts w:hint="eastAsia"/>
                <w:color w:val="000000"/>
              </w:rPr>
            </w:pPr>
            <w:r>
              <w:rPr>
                <w:rFonts w:hint="eastAsia"/>
                <w:color w:val="000000"/>
              </w:rPr>
              <w:t>8</w:t>
            </w:r>
            <w:r>
              <w:rPr>
                <w:color w:val="000000"/>
              </w:rPr>
              <w:t>.5</w:t>
            </w:r>
          </w:p>
        </w:tc>
      </w:tr>
    </w:tbl>
    <w:p w:rsidR="00381AEA" w:rsidRDefault="00A90114" w:rsidP="00A90114">
      <w:pPr>
        <w:pStyle w:val="144"/>
        <w:rPr>
          <w:snapToGrid/>
        </w:rPr>
      </w:pPr>
      <w:r>
        <w:rPr>
          <w:rFonts w:hint="eastAsia"/>
          <w:snapToGrid/>
        </w:rPr>
        <w:t>說　　明：</w:t>
      </w:r>
      <w:r w:rsidR="005009C4">
        <w:rPr>
          <w:rFonts w:hint="eastAsia"/>
          <w:snapToGrid/>
        </w:rPr>
        <w:t>1.</w:t>
      </w:r>
      <w:r>
        <w:rPr>
          <w:rFonts w:hint="eastAsia"/>
          <w:snapToGrid/>
        </w:rPr>
        <w:t>本表皆為預算數，113年度含追加預算案。</w:t>
      </w:r>
    </w:p>
    <w:p w:rsidR="005009C4" w:rsidRDefault="005009C4" w:rsidP="005009C4">
      <w:pPr>
        <w:pStyle w:val="144"/>
        <w:ind w:left="1461" w:hangingChars="600" w:hanging="1461"/>
        <w:rPr>
          <w:rFonts w:hint="eastAsia"/>
          <w:snapToGrid/>
        </w:rPr>
      </w:pPr>
      <w:r>
        <w:rPr>
          <w:rFonts w:hint="eastAsia"/>
          <w:snapToGrid/>
        </w:rPr>
        <w:t xml:space="preserve">          2.</w:t>
      </w:r>
      <w:r w:rsidR="00452355">
        <w:rPr>
          <w:rFonts w:hint="eastAsia"/>
          <w:snapToGrid/>
        </w:rPr>
        <w:t>因</w:t>
      </w:r>
      <w:r>
        <w:rPr>
          <w:rFonts w:hint="eastAsia"/>
          <w:snapToGrid/>
        </w:rPr>
        <w:t>特別預算</w:t>
      </w:r>
      <w:r w:rsidR="00452355">
        <w:rPr>
          <w:rFonts w:hint="eastAsia"/>
          <w:snapToGrid/>
        </w:rPr>
        <w:t>相關條例明定施行期間</w:t>
      </w:r>
      <w:r w:rsidR="00452355" w:rsidRPr="00452355">
        <w:rPr>
          <w:rFonts w:hint="eastAsia"/>
          <w:snapToGrid/>
        </w:rPr>
        <w:t>每年度</w:t>
      </w:r>
      <w:r w:rsidR="00452355">
        <w:rPr>
          <w:rFonts w:hint="eastAsia"/>
          <w:snapToGrid/>
        </w:rPr>
        <w:t>之</w:t>
      </w:r>
      <w:r w:rsidR="00452355" w:rsidRPr="00452355">
        <w:rPr>
          <w:rFonts w:hint="eastAsia"/>
          <w:snapToGrid/>
        </w:rPr>
        <w:t>舉借債務，不受公共債務法第</w:t>
      </w:r>
      <w:r w:rsidR="00452355">
        <w:rPr>
          <w:rFonts w:hint="eastAsia"/>
          <w:snapToGrid/>
        </w:rPr>
        <w:t>5</w:t>
      </w:r>
      <w:r w:rsidR="00452355" w:rsidRPr="00452355">
        <w:rPr>
          <w:rFonts w:hint="eastAsia"/>
          <w:snapToGrid/>
        </w:rPr>
        <w:t>條第</w:t>
      </w:r>
      <w:r w:rsidR="00452355">
        <w:rPr>
          <w:rFonts w:hint="eastAsia"/>
          <w:snapToGrid/>
        </w:rPr>
        <w:t>7</w:t>
      </w:r>
      <w:r w:rsidR="00452355" w:rsidRPr="00452355">
        <w:rPr>
          <w:rFonts w:hint="eastAsia"/>
          <w:snapToGrid/>
        </w:rPr>
        <w:t>項規定之限制</w:t>
      </w:r>
      <w:r w:rsidRPr="005009C4">
        <w:rPr>
          <w:rFonts w:hint="eastAsia"/>
          <w:snapToGrid/>
        </w:rPr>
        <w:t>，</w:t>
      </w:r>
      <w:r w:rsidR="00452355">
        <w:rPr>
          <w:rFonts w:hint="eastAsia"/>
          <w:snapToGrid/>
        </w:rPr>
        <w:t>故「</w:t>
      </w:r>
      <w:r w:rsidR="00452355" w:rsidRPr="005009C4">
        <w:rPr>
          <w:rFonts w:hint="eastAsia"/>
          <w:snapToGrid/>
        </w:rPr>
        <w:t>不列入流量債限</w:t>
      </w:r>
      <w:r w:rsidR="00452355">
        <w:rPr>
          <w:rFonts w:hint="eastAsia"/>
          <w:snapToGrid/>
        </w:rPr>
        <w:t>」不納入「當年度舉借比率」計算</w:t>
      </w:r>
      <w:r w:rsidRPr="005009C4">
        <w:rPr>
          <w:rFonts w:hint="eastAsia"/>
          <w:snapToGrid/>
        </w:rPr>
        <w:t>。</w:t>
      </w:r>
    </w:p>
    <w:p w:rsidR="00A90114" w:rsidRDefault="00A90114" w:rsidP="00A90114">
      <w:pPr>
        <w:pStyle w:val="144"/>
        <w:rPr>
          <w:snapToGrid/>
        </w:rPr>
      </w:pPr>
      <w:r>
        <w:rPr>
          <w:rFonts w:hint="eastAsia"/>
          <w:snapToGrid/>
        </w:rPr>
        <w:t>資料來源：財政部國庫署。</w:t>
      </w:r>
    </w:p>
    <w:p w:rsidR="0018400D" w:rsidRDefault="0018400D" w:rsidP="00A90114">
      <w:pPr>
        <w:pStyle w:val="144"/>
        <w:rPr>
          <w:rFonts w:hint="eastAsia"/>
          <w:snapToGrid/>
        </w:rPr>
      </w:pPr>
    </w:p>
    <w:p w:rsidR="00021B75" w:rsidRDefault="00021B75" w:rsidP="00021B75">
      <w:pPr>
        <w:pStyle w:val="14"/>
        <w:ind w:left="426" w:hangingChars="150" w:hanging="426"/>
        <w:rPr>
          <w:szCs w:val="28"/>
        </w:rPr>
      </w:pPr>
      <w:bookmarkStart w:id="17" w:name="_Toc173746450"/>
      <w:r>
        <w:rPr>
          <w:rFonts w:hint="eastAsia"/>
          <w:szCs w:val="28"/>
        </w:rPr>
        <w:t>三、近年中央政府公債發行</w:t>
      </w:r>
      <w:r w:rsidR="007652F7">
        <w:rPr>
          <w:rFonts w:hint="eastAsia"/>
          <w:szCs w:val="28"/>
        </w:rPr>
        <w:t>制度</w:t>
      </w:r>
      <w:r w:rsidR="00035F6F">
        <w:rPr>
          <w:rFonts w:hint="eastAsia"/>
          <w:szCs w:val="28"/>
        </w:rPr>
        <w:t>與流通市場</w:t>
      </w:r>
      <w:r>
        <w:rPr>
          <w:rFonts w:hint="eastAsia"/>
          <w:szCs w:val="28"/>
        </w:rPr>
        <w:t>概述</w:t>
      </w:r>
      <w:bookmarkEnd w:id="17"/>
    </w:p>
    <w:p w:rsidR="00035F6F" w:rsidRDefault="0083316F" w:rsidP="00E84AB7">
      <w:pPr>
        <w:ind w:left="567" w:firstLine="567"/>
      </w:pPr>
      <w:r>
        <w:rPr>
          <w:rFonts w:hint="eastAsia"/>
        </w:rPr>
        <w:t>截至112年底止，政府公債發行淨額約6兆601億餘元，占整體</w:t>
      </w:r>
      <w:r w:rsidR="00452355">
        <w:rPr>
          <w:rFonts w:hint="eastAsia"/>
        </w:rPr>
        <w:t>新</w:t>
      </w:r>
      <w:r w:rsidR="002562EE">
        <w:rPr>
          <w:rFonts w:hint="eastAsia"/>
        </w:rPr>
        <w:t>臺幣計價</w:t>
      </w:r>
      <w:r>
        <w:rPr>
          <w:rFonts w:hint="eastAsia"/>
        </w:rPr>
        <w:t>債券發行淨額10兆</w:t>
      </w:r>
      <w:r w:rsidR="002562EE">
        <w:rPr>
          <w:rFonts w:hint="eastAsia"/>
        </w:rPr>
        <w:t>606</w:t>
      </w:r>
      <w:r>
        <w:rPr>
          <w:rFonts w:hint="eastAsia"/>
        </w:rPr>
        <w:t>億餘元之6</w:t>
      </w:r>
      <w:r w:rsidR="002562EE">
        <w:rPr>
          <w:rFonts w:hint="eastAsia"/>
        </w:rPr>
        <w:t>0.2</w:t>
      </w:r>
      <w:r>
        <w:rPr>
          <w:rFonts w:hint="eastAsia"/>
        </w:rPr>
        <w:t>%，</w:t>
      </w:r>
      <w:r w:rsidR="0050526C">
        <w:rPr>
          <w:rFonts w:hint="eastAsia"/>
        </w:rPr>
        <w:t>為債券市場大宗，其發行與流通</w:t>
      </w:r>
      <w:r>
        <w:rPr>
          <w:rFonts w:hint="eastAsia"/>
        </w:rPr>
        <w:t>對債券市場頗具影響力。</w:t>
      </w:r>
      <w:r w:rsidR="0050526C">
        <w:rPr>
          <w:rFonts w:hint="eastAsia"/>
        </w:rPr>
        <w:t>謹</w:t>
      </w:r>
      <w:r w:rsidR="00582DEA">
        <w:rPr>
          <w:rFonts w:hint="eastAsia"/>
        </w:rPr>
        <w:t>就</w:t>
      </w:r>
      <w:r w:rsidR="00582DEA" w:rsidRPr="00582DEA">
        <w:rPr>
          <w:rFonts w:hint="eastAsia"/>
        </w:rPr>
        <w:t>中央政府</w:t>
      </w:r>
      <w:r w:rsidR="00582DEA">
        <w:rPr>
          <w:rFonts w:hint="eastAsia"/>
        </w:rPr>
        <w:t>公債發行</w:t>
      </w:r>
      <w:r w:rsidR="007652F7">
        <w:rPr>
          <w:rFonts w:hint="eastAsia"/>
        </w:rPr>
        <w:t>制度</w:t>
      </w:r>
      <w:r w:rsidR="00582DEA">
        <w:rPr>
          <w:rFonts w:hint="eastAsia"/>
        </w:rPr>
        <w:t>與流通市場概述如下：</w:t>
      </w:r>
    </w:p>
    <w:p w:rsidR="00582DEA" w:rsidRPr="00582DEA" w:rsidRDefault="00582DEA" w:rsidP="00582DEA">
      <w:pPr>
        <w:pStyle w:val="a4"/>
        <w:ind w:left="851" w:hanging="284"/>
        <w:rPr>
          <w:rFonts w:hint="eastAsia"/>
          <w:b/>
        </w:rPr>
      </w:pPr>
      <w:r>
        <w:rPr>
          <w:rFonts w:hint="eastAsia"/>
          <w:b/>
        </w:rPr>
        <w:t>(一)</w:t>
      </w:r>
      <w:r w:rsidRPr="00582DEA">
        <w:rPr>
          <w:rFonts w:hint="eastAsia"/>
          <w:b/>
        </w:rPr>
        <w:t>中央政府</w:t>
      </w:r>
      <w:r>
        <w:rPr>
          <w:rFonts w:hint="eastAsia"/>
          <w:b/>
        </w:rPr>
        <w:t>公債發行制度</w:t>
      </w:r>
      <w:r w:rsidR="009C1199">
        <w:rPr>
          <w:rFonts w:hint="eastAsia"/>
          <w:b/>
        </w:rPr>
        <w:t>概述</w:t>
      </w:r>
    </w:p>
    <w:p w:rsidR="00FB2D94" w:rsidRDefault="00582DEA" w:rsidP="00582DEA">
      <w:pPr>
        <w:pStyle w:val="123"/>
        <w:ind w:left="1133" w:hanging="283"/>
        <w:rPr>
          <w:rFonts w:hint="eastAsia"/>
        </w:rPr>
      </w:pPr>
      <w:r>
        <w:rPr>
          <w:rFonts w:hint="eastAsia"/>
        </w:rPr>
        <w:t>1.中央政府建設公債(</w:t>
      </w:r>
      <w:r w:rsidR="00F445EB">
        <w:rPr>
          <w:rFonts w:hint="eastAsia"/>
        </w:rPr>
        <w:t>下</w:t>
      </w:r>
      <w:r>
        <w:rPr>
          <w:rFonts w:hint="eastAsia"/>
        </w:rPr>
        <w:t>稱</w:t>
      </w:r>
      <w:r w:rsidRPr="00582DEA">
        <w:rPr>
          <w:rFonts w:hint="eastAsia"/>
        </w:rPr>
        <w:t>中央政府公債</w:t>
      </w:r>
      <w:r>
        <w:rPr>
          <w:rFonts w:hint="eastAsia"/>
        </w:rPr>
        <w:t>或公債)</w:t>
      </w:r>
      <w:r w:rsidR="006C2234">
        <w:rPr>
          <w:rFonts w:hint="eastAsia"/>
        </w:rPr>
        <w:t>係</w:t>
      </w:r>
      <w:r>
        <w:rPr>
          <w:rFonts w:hint="eastAsia"/>
        </w:rPr>
        <w:t>政府</w:t>
      </w:r>
      <w:r w:rsidR="007B05E9" w:rsidRPr="007B05E9">
        <w:rPr>
          <w:rFonts w:hint="eastAsia"/>
        </w:rPr>
        <w:t>為支應重大建設，籌集建設資金</w:t>
      </w:r>
      <w:r>
        <w:rPr>
          <w:rFonts w:hint="eastAsia"/>
        </w:rPr>
        <w:t>而發行</w:t>
      </w:r>
      <w:r w:rsidR="007B05E9">
        <w:rPr>
          <w:rFonts w:hint="eastAsia"/>
        </w:rPr>
        <w:t>之</w:t>
      </w:r>
      <w:r>
        <w:rPr>
          <w:rFonts w:hint="eastAsia"/>
        </w:rPr>
        <w:t>1年期以上可轉讓債務憑證。</w:t>
      </w:r>
      <w:r w:rsidR="00452355">
        <w:rPr>
          <w:rFonts w:hint="eastAsia"/>
        </w:rPr>
        <w:t>依</w:t>
      </w:r>
      <w:r w:rsidR="00452355" w:rsidRPr="007B05E9">
        <w:rPr>
          <w:rFonts w:hint="eastAsia"/>
        </w:rPr>
        <w:t>中央政府建設公債及借款條例</w:t>
      </w:r>
      <w:r w:rsidR="00452355">
        <w:rPr>
          <w:rFonts w:hint="eastAsia"/>
        </w:rPr>
        <w:t>第1條第2項</w:t>
      </w:r>
      <w:r w:rsidR="007B05E9">
        <w:rPr>
          <w:rFonts w:hint="eastAsia"/>
        </w:rPr>
        <w:t>規定，</w:t>
      </w:r>
      <w:r>
        <w:rPr>
          <w:rFonts w:hint="eastAsia"/>
        </w:rPr>
        <w:t>公債分為甲、乙</w:t>
      </w:r>
      <w:r w:rsidR="007B05E9">
        <w:rPr>
          <w:rFonts w:hint="eastAsia"/>
        </w:rPr>
        <w:t>兩</w:t>
      </w:r>
      <w:r>
        <w:rPr>
          <w:rFonts w:hint="eastAsia"/>
        </w:rPr>
        <w:t>類</w:t>
      </w:r>
      <w:r w:rsidR="007B05E9">
        <w:rPr>
          <w:rStyle w:val="af7"/>
        </w:rPr>
        <w:footnoteReference w:id="6"/>
      </w:r>
      <w:r>
        <w:rPr>
          <w:rFonts w:hint="eastAsia"/>
        </w:rPr>
        <w:t>。甲類指</w:t>
      </w:r>
      <w:r w:rsidR="0009553E" w:rsidRPr="0009553E">
        <w:rPr>
          <w:rFonts w:hint="eastAsia"/>
        </w:rPr>
        <w:t>支應非自償之建設資金</w:t>
      </w:r>
      <w:r>
        <w:rPr>
          <w:rFonts w:hint="eastAsia"/>
        </w:rPr>
        <w:t>，其還本付息財源，由財政部編列預算償付。乙類指</w:t>
      </w:r>
      <w:r w:rsidR="00350207" w:rsidRPr="00350207">
        <w:rPr>
          <w:rFonts w:hint="eastAsia"/>
        </w:rPr>
        <w:t>支應自償之建設資金</w:t>
      </w:r>
      <w:r>
        <w:rPr>
          <w:rFonts w:hint="eastAsia"/>
        </w:rPr>
        <w:t>，其還本付息財源，由各建設主管機關成立之附屬單位預算特種基金編列償付。</w:t>
      </w:r>
    </w:p>
    <w:p w:rsidR="00CD0189" w:rsidRDefault="00582DEA" w:rsidP="00582DEA">
      <w:pPr>
        <w:pStyle w:val="123"/>
        <w:ind w:left="1133" w:hanging="283"/>
      </w:pPr>
      <w:r>
        <w:rPr>
          <w:rFonts w:hint="eastAsia"/>
        </w:rPr>
        <w:t>2.為使</w:t>
      </w:r>
      <w:r w:rsidRPr="00582DEA">
        <w:rPr>
          <w:rFonts w:hint="eastAsia"/>
        </w:rPr>
        <w:t>公債發行利率貼近市場利率，並提升發行作業效率，自80年11月起，公債發行改採標售制度，取代以往配售予金融機構之方式。標售限中央公債交易商參加投標，原委託之公債承轉行均改委為中央公債交易商。</w:t>
      </w:r>
    </w:p>
    <w:p w:rsidR="00B7500E" w:rsidRDefault="00582DEA" w:rsidP="00B7500E">
      <w:pPr>
        <w:pStyle w:val="123"/>
        <w:ind w:left="1133" w:hanging="283"/>
        <w:rPr>
          <w:rFonts w:hint="eastAsia"/>
        </w:rPr>
      </w:pPr>
      <w:r>
        <w:rPr>
          <w:rFonts w:hint="eastAsia"/>
        </w:rPr>
        <w:t>3.</w:t>
      </w:r>
      <w:r w:rsidRPr="00582DEA">
        <w:rPr>
          <w:rFonts w:hint="eastAsia"/>
        </w:rPr>
        <w:t>為落實政府金融革新政策，促進債券市場之發展，自86年9</w:t>
      </w:r>
      <w:r>
        <w:rPr>
          <w:rFonts w:hint="eastAsia"/>
        </w:rPr>
        <w:t>月起，</w:t>
      </w:r>
      <w:r w:rsidRPr="00582DEA">
        <w:rPr>
          <w:rFonts w:hint="eastAsia"/>
        </w:rPr>
        <w:t>財政部</w:t>
      </w:r>
      <w:r>
        <w:rPr>
          <w:rFonts w:hint="eastAsia"/>
        </w:rPr>
        <w:t>開始</w:t>
      </w:r>
      <w:r w:rsidRPr="00582DEA">
        <w:rPr>
          <w:rFonts w:hint="eastAsia"/>
        </w:rPr>
        <w:t>發行無實體公債</w:t>
      </w:r>
      <w:r>
        <w:rPr>
          <w:rFonts w:hint="eastAsia"/>
        </w:rPr>
        <w:t>，並從88年1月起，陸續辦理</w:t>
      </w:r>
      <w:r w:rsidRPr="00582DEA">
        <w:rPr>
          <w:rFonts w:hint="eastAsia"/>
        </w:rPr>
        <w:t>90年以後到期之實體公債全部轉換為無實體公債</w:t>
      </w:r>
      <w:r>
        <w:rPr>
          <w:rFonts w:hint="eastAsia"/>
        </w:rPr>
        <w:t>。90年3月實施電子投標作業</w:t>
      </w:r>
      <w:r w:rsidR="009C1199">
        <w:rPr>
          <w:rFonts w:hint="eastAsia"/>
        </w:rPr>
        <w:t>，</w:t>
      </w:r>
      <w:r w:rsidR="00350207">
        <w:rPr>
          <w:rFonts w:hint="eastAsia"/>
        </w:rPr>
        <w:t>同</w:t>
      </w:r>
      <w:r w:rsidR="009C1199" w:rsidRPr="009C1199">
        <w:rPr>
          <w:rFonts w:hint="eastAsia"/>
        </w:rPr>
        <w:t>年10月發行無實體國庫券，政府債券全面無實體化</w:t>
      </w:r>
      <w:r w:rsidR="009C1199">
        <w:rPr>
          <w:rFonts w:hint="eastAsia"/>
        </w:rPr>
        <w:t>。</w:t>
      </w:r>
      <w:r w:rsidR="00534CEE">
        <w:rPr>
          <w:rFonts w:hint="eastAsia"/>
        </w:rPr>
        <w:t>91年下半年</w:t>
      </w:r>
      <w:r w:rsidR="008041B0">
        <w:rPr>
          <w:rFonts w:hint="eastAsia"/>
        </w:rPr>
        <w:t>起</w:t>
      </w:r>
      <w:r w:rsidR="00534CEE">
        <w:rPr>
          <w:rFonts w:hint="eastAsia"/>
        </w:rPr>
        <w:t>，推動</w:t>
      </w:r>
      <w:r w:rsidR="008041B0">
        <w:rPr>
          <w:rFonts w:hint="eastAsia"/>
        </w:rPr>
        <w:t>「</w:t>
      </w:r>
      <w:r w:rsidR="00534CEE">
        <w:rPr>
          <w:rFonts w:hint="eastAsia"/>
        </w:rPr>
        <w:t>定期適量發行制度</w:t>
      </w:r>
      <w:r w:rsidR="008041B0">
        <w:rPr>
          <w:rFonts w:hint="eastAsia"/>
        </w:rPr>
        <w:t>」，並以二階段公告方式辦理</w:t>
      </w:r>
      <w:r w:rsidR="00650DF5">
        <w:rPr>
          <w:rFonts w:hint="eastAsia"/>
        </w:rPr>
        <w:t>；</w:t>
      </w:r>
      <w:r w:rsidR="009C1199" w:rsidRPr="009C1199">
        <w:rPr>
          <w:rFonts w:hint="eastAsia"/>
        </w:rPr>
        <w:t>93年</w:t>
      </w:r>
      <w:r w:rsidR="009C1199">
        <w:rPr>
          <w:rFonts w:hint="eastAsia"/>
        </w:rPr>
        <w:t>7</w:t>
      </w:r>
      <w:r w:rsidR="009C1199" w:rsidRPr="009C1199">
        <w:rPr>
          <w:rFonts w:hint="eastAsia"/>
        </w:rPr>
        <w:t>月中央公債之標售改採單一利率標</w:t>
      </w:r>
      <w:r w:rsidR="009C1199">
        <w:rPr>
          <w:rFonts w:hint="eastAsia"/>
        </w:rPr>
        <w:t>，</w:t>
      </w:r>
      <w:r w:rsidR="009C1199" w:rsidRPr="009C1199">
        <w:rPr>
          <w:rFonts w:hint="eastAsia"/>
        </w:rPr>
        <w:t>得標者應繳價款依最高得標利率計算</w:t>
      </w:r>
      <w:r w:rsidR="00B7500E">
        <w:rPr>
          <w:rFonts w:hint="eastAsia"/>
        </w:rPr>
        <w:t>。</w:t>
      </w:r>
    </w:p>
    <w:p w:rsidR="009C1199" w:rsidRDefault="009C1199" w:rsidP="009C1199">
      <w:pPr>
        <w:pStyle w:val="a4"/>
        <w:ind w:left="851" w:hanging="284"/>
        <w:rPr>
          <w:b/>
        </w:rPr>
      </w:pPr>
      <w:r w:rsidRPr="009C1199">
        <w:rPr>
          <w:rFonts w:hint="eastAsia"/>
          <w:b/>
        </w:rPr>
        <w:t>(二)</w:t>
      </w:r>
      <w:r w:rsidRPr="00582DEA">
        <w:rPr>
          <w:rFonts w:hint="eastAsia"/>
          <w:b/>
        </w:rPr>
        <w:t>中央政府</w:t>
      </w:r>
      <w:r>
        <w:rPr>
          <w:rFonts w:hint="eastAsia"/>
          <w:b/>
        </w:rPr>
        <w:t>公債流通市場概述</w:t>
      </w:r>
    </w:p>
    <w:p w:rsidR="00B7500E" w:rsidRDefault="0029332B" w:rsidP="0029332B">
      <w:pPr>
        <w:pStyle w:val="123"/>
        <w:ind w:left="1133" w:hanging="283"/>
      </w:pPr>
      <w:r>
        <w:rPr>
          <w:rFonts w:hint="eastAsia"/>
        </w:rPr>
        <w:t>1.</w:t>
      </w:r>
      <w:r w:rsidR="00F445EB">
        <w:rPr>
          <w:rFonts w:hint="eastAsia"/>
        </w:rPr>
        <w:t>據櫃買中心統計，截至113年4月底止，流通在外</w:t>
      </w:r>
      <w:r>
        <w:rPr>
          <w:rFonts w:hint="eastAsia"/>
        </w:rPr>
        <w:t>之</w:t>
      </w:r>
      <w:r w:rsidR="00F445EB">
        <w:rPr>
          <w:rFonts w:hint="eastAsia"/>
        </w:rPr>
        <w:t>政府公債共173期，</w:t>
      </w:r>
      <w:r w:rsidR="003B13D7">
        <w:rPr>
          <w:rFonts w:hint="eastAsia"/>
        </w:rPr>
        <w:t>合計發行淨額</w:t>
      </w:r>
      <w:r>
        <w:rPr>
          <w:rFonts w:hint="eastAsia"/>
        </w:rPr>
        <w:t>6兆819億餘元，其中</w:t>
      </w:r>
      <w:r w:rsidRPr="00582DEA">
        <w:rPr>
          <w:rFonts w:hint="eastAsia"/>
        </w:rPr>
        <w:t>中央政府公債</w:t>
      </w:r>
      <w:r>
        <w:rPr>
          <w:rFonts w:hint="eastAsia"/>
        </w:rPr>
        <w:t>共134期、5兆9,261億餘元、臺北市政府</w:t>
      </w:r>
      <w:r w:rsidR="00C05044">
        <w:rPr>
          <w:rFonts w:hint="eastAsia"/>
        </w:rPr>
        <w:t>公債</w:t>
      </w:r>
      <w:r>
        <w:rPr>
          <w:rFonts w:hint="eastAsia"/>
        </w:rPr>
        <w:t>共10期284億元，以及高雄市政府</w:t>
      </w:r>
      <w:r w:rsidR="00C05044">
        <w:rPr>
          <w:rFonts w:hint="eastAsia"/>
        </w:rPr>
        <w:t>公債</w:t>
      </w:r>
      <w:r>
        <w:rPr>
          <w:rFonts w:hint="eastAsia"/>
        </w:rPr>
        <w:t>共29期1</w:t>
      </w:r>
      <w:r>
        <w:t>,274</w:t>
      </w:r>
      <w:r>
        <w:rPr>
          <w:rFonts w:hint="eastAsia"/>
        </w:rPr>
        <w:t>億元。</w:t>
      </w:r>
    </w:p>
    <w:p w:rsidR="0029332B" w:rsidRDefault="0029332B" w:rsidP="0029332B">
      <w:pPr>
        <w:pStyle w:val="123"/>
        <w:ind w:left="1133" w:hanging="283"/>
      </w:pPr>
      <w:r>
        <w:rPr>
          <w:rFonts w:hint="eastAsia"/>
        </w:rPr>
        <w:t>2.</w:t>
      </w:r>
      <w:r w:rsidR="00334EA6">
        <w:rPr>
          <w:rFonts w:hint="eastAsia"/>
        </w:rPr>
        <w:t>113年</w:t>
      </w:r>
      <w:r w:rsidR="00C05044">
        <w:rPr>
          <w:rFonts w:hint="eastAsia"/>
        </w:rPr>
        <w:t>截至</w:t>
      </w:r>
      <w:r w:rsidR="00334EA6">
        <w:rPr>
          <w:rFonts w:hint="eastAsia"/>
        </w:rPr>
        <w:t>4月底止，</w:t>
      </w:r>
      <w:r w:rsidR="00554317">
        <w:rPr>
          <w:rFonts w:hint="eastAsia"/>
        </w:rPr>
        <w:t>政府債券</w:t>
      </w:r>
      <w:r w:rsidR="00905200">
        <w:rPr>
          <w:rFonts w:hint="eastAsia"/>
        </w:rPr>
        <w:t>於櫃買市場</w:t>
      </w:r>
      <w:r w:rsidR="00554317">
        <w:rPr>
          <w:rFonts w:hint="eastAsia"/>
        </w:rPr>
        <w:t>營業金額為</w:t>
      </w:r>
      <w:r w:rsidR="00C05044">
        <w:rPr>
          <w:rFonts w:hint="eastAsia"/>
        </w:rPr>
        <w:t>4</w:t>
      </w:r>
      <w:r w:rsidR="00C05044">
        <w:t>,773</w:t>
      </w:r>
      <w:r w:rsidR="00285104">
        <w:rPr>
          <w:rFonts w:hint="eastAsia"/>
        </w:rPr>
        <w:t>億餘元，包含</w:t>
      </w:r>
      <w:r w:rsidR="00C05044" w:rsidRPr="00582DEA">
        <w:rPr>
          <w:rFonts w:hint="eastAsia"/>
        </w:rPr>
        <w:t>中央政府</w:t>
      </w:r>
      <w:r w:rsidR="00285104">
        <w:rPr>
          <w:rFonts w:hint="eastAsia"/>
        </w:rPr>
        <w:t>公債4</w:t>
      </w:r>
      <w:r w:rsidR="00285104">
        <w:t>,712</w:t>
      </w:r>
      <w:r w:rsidR="00285104">
        <w:rPr>
          <w:rFonts w:hint="eastAsia"/>
        </w:rPr>
        <w:t>億餘元</w:t>
      </w:r>
      <w:r w:rsidR="00C05044">
        <w:rPr>
          <w:rFonts w:hint="eastAsia"/>
        </w:rPr>
        <w:t>、臺北市政府</w:t>
      </w:r>
      <w:r w:rsidR="00285104">
        <w:rPr>
          <w:rFonts w:hint="eastAsia"/>
        </w:rPr>
        <w:t>公債33.5億元</w:t>
      </w:r>
      <w:r w:rsidR="00C05044">
        <w:rPr>
          <w:rFonts w:hint="eastAsia"/>
        </w:rPr>
        <w:t>及高雄市政府公債</w:t>
      </w:r>
      <w:r w:rsidR="00735057">
        <w:rPr>
          <w:rFonts w:hint="eastAsia"/>
        </w:rPr>
        <w:t>27</w:t>
      </w:r>
      <w:r w:rsidR="00A613BC">
        <w:rPr>
          <w:rFonts w:hint="eastAsia"/>
        </w:rPr>
        <w:t>億餘元，以中央政府公債占比98.7%為</w:t>
      </w:r>
      <w:r w:rsidR="00C05044">
        <w:rPr>
          <w:rFonts w:hint="eastAsia"/>
        </w:rPr>
        <w:t>大宗。</w:t>
      </w:r>
    </w:p>
    <w:p w:rsidR="0018400D" w:rsidRDefault="0018400D" w:rsidP="0029332B">
      <w:pPr>
        <w:pStyle w:val="123"/>
        <w:ind w:left="1133" w:hanging="283"/>
        <w:rPr>
          <w:rFonts w:hint="eastAsia"/>
        </w:rPr>
      </w:pPr>
    </w:p>
    <w:p w:rsidR="003B13D7" w:rsidRDefault="003B13D7" w:rsidP="003B13D7">
      <w:pPr>
        <w:pStyle w:val="14"/>
        <w:ind w:left="426" w:hangingChars="150" w:hanging="426"/>
      </w:pPr>
      <w:bookmarkStart w:id="18" w:name="_Toc173746451"/>
      <w:r>
        <w:rPr>
          <w:rFonts w:hint="eastAsia"/>
        </w:rPr>
        <w:t>四、</w:t>
      </w:r>
      <w:r w:rsidR="00820049" w:rsidRPr="00820049">
        <w:rPr>
          <w:rFonts w:hint="eastAsia"/>
        </w:rPr>
        <w:t>永續發展債券</w:t>
      </w:r>
      <w:r w:rsidR="00820049">
        <w:rPr>
          <w:rFonts w:hint="eastAsia"/>
        </w:rPr>
        <w:t>概述及國際市場概況</w:t>
      </w:r>
      <w:bookmarkEnd w:id="18"/>
    </w:p>
    <w:p w:rsidR="00820049" w:rsidRDefault="00653BA9" w:rsidP="00653BA9">
      <w:pPr>
        <w:ind w:left="567" w:firstLine="567"/>
      </w:pPr>
      <w:r w:rsidRPr="00653BA9">
        <w:rPr>
          <w:rFonts w:hint="eastAsia"/>
        </w:rPr>
        <w:t>為發展永續金融</w:t>
      </w:r>
      <w:r>
        <w:rPr>
          <w:rFonts w:hint="eastAsia"/>
        </w:rPr>
        <w:t>，並支持企業永續轉型，</w:t>
      </w:r>
      <w:r w:rsidR="008C4CFD">
        <w:rPr>
          <w:rFonts w:hint="eastAsia"/>
        </w:rPr>
        <w:t>金管會</w:t>
      </w:r>
      <w:r w:rsidRPr="00653BA9">
        <w:rPr>
          <w:rFonts w:hint="eastAsia"/>
        </w:rPr>
        <w:t>指導</w:t>
      </w:r>
      <w:r>
        <w:rPr>
          <w:rFonts w:hint="eastAsia"/>
        </w:rPr>
        <w:t>櫃買中心</w:t>
      </w:r>
      <w:r w:rsidRPr="00653BA9">
        <w:rPr>
          <w:rFonts w:hint="eastAsia"/>
        </w:rPr>
        <w:t>於</w:t>
      </w:r>
      <w:r w:rsidR="006A2520">
        <w:rPr>
          <w:rFonts w:hint="eastAsia"/>
        </w:rPr>
        <w:t>106</w:t>
      </w:r>
      <w:r w:rsidRPr="00653BA9">
        <w:rPr>
          <w:rFonts w:hint="eastAsia"/>
        </w:rPr>
        <w:t>年4月</w:t>
      </w:r>
      <w:r w:rsidR="006A2520">
        <w:rPr>
          <w:rFonts w:hint="eastAsia"/>
        </w:rPr>
        <w:t>發布</w:t>
      </w:r>
      <w:r w:rsidR="006A2520" w:rsidRPr="006A2520">
        <w:rPr>
          <w:rFonts w:hint="eastAsia"/>
        </w:rPr>
        <w:t>「綠色債券作業要點」</w:t>
      </w:r>
      <w:r w:rsidR="006A2520">
        <w:rPr>
          <w:rFonts w:hint="eastAsia"/>
        </w:rPr>
        <w:t>，</w:t>
      </w:r>
      <w:r w:rsidRPr="00653BA9">
        <w:rPr>
          <w:rFonts w:hint="eastAsia"/>
        </w:rPr>
        <w:t>建立綠色債券櫃檯買賣制度，隨著我國綠色債券市場發展已具實質成效，為順應國際市場永續金融之發展趨勢，</w:t>
      </w:r>
      <w:r w:rsidR="00CD7D82">
        <w:rPr>
          <w:rFonts w:hint="eastAsia"/>
        </w:rPr>
        <w:t>並</w:t>
      </w:r>
      <w:r w:rsidRPr="00653BA9">
        <w:rPr>
          <w:rFonts w:hint="eastAsia"/>
        </w:rPr>
        <w:t>更完善我國永續發展債券市場，</w:t>
      </w:r>
      <w:r w:rsidR="00CD7D82">
        <w:rPr>
          <w:rFonts w:hint="eastAsia"/>
        </w:rPr>
        <w:t>櫃買中心</w:t>
      </w:r>
      <w:r w:rsidR="0018400D">
        <w:rPr>
          <w:rFonts w:hint="eastAsia"/>
        </w:rPr>
        <w:t>陸續</w:t>
      </w:r>
      <w:r w:rsidRPr="00653BA9">
        <w:rPr>
          <w:rFonts w:hint="eastAsia"/>
        </w:rPr>
        <w:t>推出可持續發展債券、社會責任債券及可持續發展連結債券</w:t>
      </w:r>
      <w:r>
        <w:rPr>
          <w:rFonts w:hint="eastAsia"/>
        </w:rPr>
        <w:t>之</w:t>
      </w:r>
      <w:r w:rsidR="007F73D8">
        <w:rPr>
          <w:rFonts w:hint="eastAsia"/>
        </w:rPr>
        <w:t>櫃檯買賣制度。是以，永續發展債券範疇</w:t>
      </w:r>
      <w:r w:rsidRPr="00653BA9">
        <w:rPr>
          <w:rFonts w:hint="eastAsia"/>
        </w:rPr>
        <w:t>包含綠色債券、社會責任債券、可持續發展債券及可持續發展連結債券，</w:t>
      </w:r>
      <w:r>
        <w:rPr>
          <w:rFonts w:hint="eastAsia"/>
        </w:rPr>
        <w:t>謹概述如下：</w:t>
      </w:r>
    </w:p>
    <w:p w:rsidR="00653BA9" w:rsidRDefault="00653BA9" w:rsidP="00653BA9">
      <w:pPr>
        <w:pStyle w:val="a4"/>
        <w:ind w:left="851" w:hanging="284"/>
      </w:pPr>
      <w:r>
        <w:rPr>
          <w:rFonts w:hint="eastAsia"/>
          <w:b/>
        </w:rPr>
        <w:t>(一)</w:t>
      </w:r>
      <w:r w:rsidRPr="00653BA9">
        <w:rPr>
          <w:rFonts w:hint="eastAsia"/>
          <w:b/>
        </w:rPr>
        <w:t>綠色債券</w:t>
      </w:r>
      <w:r>
        <w:rPr>
          <w:rFonts w:hint="eastAsia"/>
          <w:b/>
        </w:rPr>
        <w:t>：</w:t>
      </w:r>
      <w:r w:rsidR="00305E27" w:rsidRPr="00305E27">
        <w:rPr>
          <w:rFonts w:hint="eastAsia"/>
        </w:rPr>
        <w:t>財團法人中華民國證券櫃檯買賣中心永續發展債券作業要點</w:t>
      </w:r>
      <w:r w:rsidR="00305E27">
        <w:rPr>
          <w:rFonts w:hint="eastAsia"/>
        </w:rPr>
        <w:t>(下稱</w:t>
      </w:r>
      <w:r w:rsidR="00C57521" w:rsidRPr="00305E27">
        <w:rPr>
          <w:rFonts w:hint="eastAsia"/>
        </w:rPr>
        <w:t>永續發展債券作業要點</w:t>
      </w:r>
      <w:r w:rsidR="00305E27">
        <w:rPr>
          <w:rFonts w:hint="eastAsia"/>
        </w:rPr>
        <w:t>)</w:t>
      </w:r>
      <w:r>
        <w:rPr>
          <w:rFonts w:hint="eastAsia"/>
        </w:rPr>
        <w:t>第3條第1款</w:t>
      </w:r>
      <w:r w:rsidR="00CD7D82">
        <w:rPr>
          <w:rFonts w:hint="eastAsia"/>
        </w:rPr>
        <w:t>規定</w:t>
      </w:r>
      <w:r>
        <w:rPr>
          <w:rFonts w:hint="eastAsia"/>
        </w:rPr>
        <w:t>：「</w:t>
      </w:r>
      <w:r w:rsidRPr="00653BA9">
        <w:rPr>
          <w:rFonts w:hint="eastAsia"/>
        </w:rPr>
        <w:t>綠色債券：係指債券所募集之資金全部用於綠色投資計畫</w:t>
      </w:r>
      <w:r w:rsidR="00D05DFB">
        <w:rPr>
          <w:rStyle w:val="af7"/>
        </w:rPr>
        <w:footnoteReference w:id="7"/>
      </w:r>
      <w:r>
        <w:rPr>
          <w:rFonts w:hint="eastAsia"/>
        </w:rPr>
        <w:t>。」</w:t>
      </w:r>
    </w:p>
    <w:p w:rsidR="00653BA9" w:rsidRDefault="00653BA9" w:rsidP="00653BA9">
      <w:pPr>
        <w:pStyle w:val="a4"/>
        <w:ind w:left="851" w:hanging="284"/>
      </w:pPr>
      <w:r>
        <w:rPr>
          <w:rFonts w:hint="eastAsia"/>
          <w:b/>
        </w:rPr>
        <w:t>(二)</w:t>
      </w:r>
      <w:r w:rsidRPr="00653BA9">
        <w:rPr>
          <w:rFonts w:hint="eastAsia"/>
          <w:b/>
        </w:rPr>
        <w:t>社會責任債券：</w:t>
      </w:r>
      <w:r w:rsidR="00C57521" w:rsidRPr="00305E27">
        <w:rPr>
          <w:rFonts w:hint="eastAsia"/>
        </w:rPr>
        <w:t>永續發展債券作業要點</w:t>
      </w:r>
      <w:r>
        <w:rPr>
          <w:rFonts w:hint="eastAsia"/>
        </w:rPr>
        <w:t>第3條第2款</w:t>
      </w:r>
      <w:r w:rsidR="00CD7D82">
        <w:rPr>
          <w:rFonts w:hint="eastAsia"/>
        </w:rPr>
        <w:t>規定</w:t>
      </w:r>
      <w:r>
        <w:rPr>
          <w:rFonts w:hint="eastAsia"/>
        </w:rPr>
        <w:t>：「</w:t>
      </w:r>
      <w:r w:rsidRPr="00653BA9">
        <w:rPr>
          <w:rFonts w:hint="eastAsia"/>
        </w:rPr>
        <w:t>社會責任債券：係指債券所募集之資金全部用於社會效益投資計畫</w:t>
      </w:r>
      <w:r w:rsidR="00D05DFB">
        <w:rPr>
          <w:rStyle w:val="af7"/>
        </w:rPr>
        <w:footnoteReference w:id="8"/>
      </w:r>
      <w:r w:rsidRPr="00653BA9">
        <w:rPr>
          <w:rFonts w:hint="eastAsia"/>
        </w:rPr>
        <w:t>。</w:t>
      </w:r>
      <w:r>
        <w:rPr>
          <w:rFonts w:hint="eastAsia"/>
        </w:rPr>
        <w:t>」</w:t>
      </w:r>
    </w:p>
    <w:p w:rsidR="00653BA9" w:rsidRDefault="00653BA9" w:rsidP="00653BA9">
      <w:pPr>
        <w:pStyle w:val="a4"/>
        <w:ind w:left="851" w:hanging="284"/>
      </w:pPr>
      <w:r>
        <w:rPr>
          <w:rFonts w:hint="eastAsia"/>
          <w:b/>
        </w:rPr>
        <w:t>(三)可持續發展債券：</w:t>
      </w:r>
      <w:r w:rsidR="00C57521" w:rsidRPr="00305E27">
        <w:rPr>
          <w:rFonts w:hint="eastAsia"/>
        </w:rPr>
        <w:t>永續發展債券作業要點</w:t>
      </w:r>
      <w:r>
        <w:rPr>
          <w:rFonts w:hint="eastAsia"/>
        </w:rPr>
        <w:t>第3條第3款</w:t>
      </w:r>
      <w:r w:rsidR="00CD7D82">
        <w:rPr>
          <w:rFonts w:hint="eastAsia"/>
        </w:rPr>
        <w:t>規定</w:t>
      </w:r>
      <w:r>
        <w:rPr>
          <w:rFonts w:hint="eastAsia"/>
        </w:rPr>
        <w:t>：「</w:t>
      </w:r>
      <w:r w:rsidRPr="00653BA9">
        <w:rPr>
          <w:rFonts w:hint="eastAsia"/>
        </w:rPr>
        <w:t>可持續發展債券：係指債券所募集之資金全部同時用於綠色投資計畫及社會效益投資計畫。</w:t>
      </w:r>
      <w:r>
        <w:rPr>
          <w:rFonts w:hint="eastAsia"/>
        </w:rPr>
        <w:t>」另同條第4款規範「永續發展專項資金債券」</w:t>
      </w:r>
      <w:r w:rsidR="00AA0EB7">
        <w:rPr>
          <w:rFonts w:hint="eastAsia"/>
        </w:rPr>
        <w:t>即為前揭3類債券</w:t>
      </w:r>
      <w:r w:rsidRPr="00653BA9">
        <w:rPr>
          <w:rFonts w:hint="eastAsia"/>
        </w:rPr>
        <w:t>。</w:t>
      </w:r>
    </w:p>
    <w:p w:rsidR="00AA0EB7" w:rsidRDefault="00AA0EB7" w:rsidP="00653BA9">
      <w:pPr>
        <w:pStyle w:val="a4"/>
        <w:ind w:left="851" w:hanging="284"/>
      </w:pPr>
      <w:r>
        <w:rPr>
          <w:rFonts w:hint="eastAsia"/>
          <w:b/>
        </w:rPr>
        <w:t>(四)</w:t>
      </w:r>
      <w:r w:rsidRPr="00AA0EB7">
        <w:rPr>
          <w:rFonts w:hint="eastAsia"/>
          <w:b/>
        </w:rPr>
        <w:t>可持續發展連結債券：</w:t>
      </w:r>
      <w:r w:rsidR="00C57521" w:rsidRPr="00305E27">
        <w:rPr>
          <w:rFonts w:hint="eastAsia"/>
        </w:rPr>
        <w:t>永續發展債券作業要點</w:t>
      </w:r>
      <w:r>
        <w:rPr>
          <w:rFonts w:hint="eastAsia"/>
        </w:rPr>
        <w:t>第3條第5款</w:t>
      </w:r>
      <w:r w:rsidR="00CD7D82">
        <w:rPr>
          <w:rFonts w:hint="eastAsia"/>
        </w:rPr>
        <w:t>規定</w:t>
      </w:r>
      <w:r>
        <w:rPr>
          <w:rFonts w:hint="eastAsia"/>
        </w:rPr>
        <w:t>：「</w:t>
      </w:r>
      <w:r w:rsidRPr="00AA0EB7">
        <w:rPr>
          <w:rFonts w:hint="eastAsia"/>
        </w:rPr>
        <w:t>可持續發展連結債券：係指債券本息支付條件與發行人可持續發展績效目標相連結之債券。但以不得減損其本金為限。</w:t>
      </w:r>
      <w:r>
        <w:rPr>
          <w:rFonts w:hint="eastAsia"/>
        </w:rPr>
        <w:t>」</w:t>
      </w:r>
    </w:p>
    <w:p w:rsidR="007B05E9" w:rsidRDefault="0086261E" w:rsidP="0086261E">
      <w:pPr>
        <w:ind w:left="567" w:firstLine="567"/>
      </w:pPr>
      <w:r>
        <w:rPr>
          <w:rFonts w:hint="eastAsia"/>
        </w:rPr>
        <w:t>據櫃買中心統計，我國</w:t>
      </w:r>
      <w:r w:rsidR="007F73D8">
        <w:rPr>
          <w:rFonts w:hint="eastAsia"/>
        </w:rPr>
        <w:t>112年度永續發展債券市場之發行金額與流通餘額雙雙突破新高，</w:t>
      </w:r>
      <w:r>
        <w:rPr>
          <w:rFonts w:hint="eastAsia"/>
        </w:rPr>
        <w:t>該</w:t>
      </w:r>
      <w:r w:rsidR="007F73D8">
        <w:rPr>
          <w:rFonts w:hint="eastAsia"/>
        </w:rPr>
        <w:t>年度發行檔數共計47檔，發行金額1,472.89</w:t>
      </w:r>
      <w:r>
        <w:rPr>
          <w:rFonts w:hint="eastAsia"/>
        </w:rPr>
        <w:t>億元，分別較111年度之44檔、1,122.</w:t>
      </w:r>
      <w:r>
        <w:t>47</w:t>
      </w:r>
      <w:r>
        <w:rPr>
          <w:rFonts w:hint="eastAsia"/>
        </w:rPr>
        <w:t>億元增加3檔(增幅6.8%)、350.42億元(增幅31.2%)。發行人涵</w:t>
      </w:r>
      <w:r w:rsidR="00E71B31">
        <w:rPr>
          <w:rFonts w:hint="eastAsia"/>
        </w:rPr>
        <w:t>括</w:t>
      </w:r>
      <w:r>
        <w:rPr>
          <w:rFonts w:hint="eastAsia"/>
        </w:rPr>
        <w:t>銀行業、電子業、半導體業、運輸業、租賃業及電信業等。截至112</w:t>
      </w:r>
      <w:r w:rsidR="007F73D8">
        <w:rPr>
          <w:rFonts w:hint="eastAsia"/>
        </w:rPr>
        <w:t>年底</w:t>
      </w:r>
      <w:r>
        <w:rPr>
          <w:rFonts w:hint="eastAsia"/>
        </w:rPr>
        <w:t>止，</w:t>
      </w:r>
      <w:r w:rsidR="007F73D8">
        <w:rPr>
          <w:rFonts w:hint="eastAsia"/>
        </w:rPr>
        <w:t>流通</w:t>
      </w:r>
      <w:r>
        <w:rPr>
          <w:rFonts w:hint="eastAsia"/>
        </w:rPr>
        <w:t>在外</w:t>
      </w:r>
      <w:r w:rsidR="007F73D8">
        <w:rPr>
          <w:rFonts w:hint="eastAsia"/>
        </w:rPr>
        <w:t>檔數共計165檔，流通餘額</w:t>
      </w:r>
      <w:r w:rsidR="00E71B31">
        <w:rPr>
          <w:rFonts w:hint="eastAsia"/>
        </w:rPr>
        <w:t>為</w:t>
      </w:r>
      <w:r w:rsidR="007F73D8">
        <w:rPr>
          <w:rFonts w:hint="eastAsia"/>
        </w:rPr>
        <w:t>4,831.27億元。</w:t>
      </w:r>
      <w:r w:rsidR="00DB4237">
        <w:rPr>
          <w:rFonts w:hint="eastAsia"/>
        </w:rPr>
        <w:t>另</w:t>
      </w:r>
      <w:r w:rsidR="00290291" w:rsidRPr="00290291">
        <w:rPr>
          <w:rFonts w:hint="eastAsia"/>
        </w:rPr>
        <w:t>國際市場</w:t>
      </w:r>
      <w:r w:rsidR="00290291">
        <w:rPr>
          <w:rFonts w:hint="eastAsia"/>
        </w:rPr>
        <w:t>部分，</w:t>
      </w:r>
      <w:r w:rsidR="00AC7BEE">
        <w:rPr>
          <w:rFonts w:hint="eastAsia"/>
        </w:rPr>
        <w:t>2023</w:t>
      </w:r>
      <w:r w:rsidR="00290291">
        <w:rPr>
          <w:rFonts w:hint="eastAsia"/>
        </w:rPr>
        <w:t>年分別發行綠色債券、</w:t>
      </w:r>
      <w:r w:rsidR="00290291" w:rsidRPr="00290291">
        <w:rPr>
          <w:rFonts w:hint="eastAsia"/>
        </w:rPr>
        <w:t>社會責任債券</w:t>
      </w:r>
      <w:r w:rsidR="00290291">
        <w:rPr>
          <w:rFonts w:hint="eastAsia"/>
        </w:rPr>
        <w:t>、可持續發展債券、</w:t>
      </w:r>
      <w:r w:rsidR="00290291" w:rsidRPr="00290291">
        <w:rPr>
          <w:rFonts w:hint="eastAsia"/>
        </w:rPr>
        <w:t>可持續發展連結債券</w:t>
      </w:r>
      <w:r w:rsidR="00290291">
        <w:rPr>
          <w:rFonts w:hint="eastAsia"/>
        </w:rPr>
        <w:t>及轉型債券</w:t>
      </w:r>
      <w:r w:rsidR="00290291">
        <w:rPr>
          <w:rStyle w:val="af7"/>
        </w:rPr>
        <w:footnoteReference w:id="9"/>
      </w:r>
      <w:r w:rsidR="00315210">
        <w:rPr>
          <w:rFonts w:hint="eastAsia"/>
        </w:rPr>
        <w:t>各</w:t>
      </w:r>
      <w:r w:rsidR="00AC7BEE">
        <w:rPr>
          <w:rFonts w:hint="eastAsia"/>
        </w:rPr>
        <w:t>約</w:t>
      </w:r>
      <w:r w:rsidR="00290291">
        <w:rPr>
          <w:rFonts w:hint="eastAsia"/>
        </w:rPr>
        <w:t>5</w:t>
      </w:r>
      <w:r w:rsidR="00F91115">
        <w:t>,</w:t>
      </w:r>
      <w:r w:rsidR="00290291">
        <w:rPr>
          <w:rFonts w:hint="eastAsia"/>
        </w:rPr>
        <w:t>75</w:t>
      </w:r>
      <w:r w:rsidR="00F91115">
        <w:t>0</w:t>
      </w:r>
      <w:r w:rsidR="00290291">
        <w:rPr>
          <w:rFonts w:hint="eastAsia"/>
        </w:rPr>
        <w:t>億美元、1</w:t>
      </w:r>
      <w:r w:rsidR="00F91115">
        <w:t>,</w:t>
      </w:r>
      <w:r w:rsidR="00290291">
        <w:rPr>
          <w:rFonts w:hint="eastAsia"/>
        </w:rPr>
        <w:t>77</w:t>
      </w:r>
      <w:r w:rsidR="00F91115">
        <w:t>0</w:t>
      </w:r>
      <w:r w:rsidR="00290291">
        <w:rPr>
          <w:rFonts w:hint="eastAsia"/>
        </w:rPr>
        <w:t>億美元、1</w:t>
      </w:r>
      <w:r w:rsidR="00F91115">
        <w:t>,</w:t>
      </w:r>
      <w:r w:rsidR="00290291">
        <w:rPr>
          <w:rFonts w:hint="eastAsia"/>
        </w:rPr>
        <w:t>60</w:t>
      </w:r>
      <w:r w:rsidR="00F91115">
        <w:t>0</w:t>
      </w:r>
      <w:r w:rsidR="00290291">
        <w:rPr>
          <w:rFonts w:hint="eastAsia"/>
        </w:rPr>
        <w:t>億美元、66</w:t>
      </w:r>
      <w:r w:rsidR="00F91115">
        <w:t>0</w:t>
      </w:r>
      <w:r w:rsidR="00290291">
        <w:rPr>
          <w:rFonts w:hint="eastAsia"/>
        </w:rPr>
        <w:t>億美元</w:t>
      </w:r>
      <w:r w:rsidR="00BF6C8E">
        <w:rPr>
          <w:rFonts w:hint="eastAsia"/>
        </w:rPr>
        <w:t>及</w:t>
      </w:r>
      <w:r w:rsidR="00315210">
        <w:rPr>
          <w:rFonts w:hint="eastAsia"/>
        </w:rPr>
        <w:t>3</w:t>
      </w:r>
      <w:r w:rsidR="00F91115">
        <w:t>0</w:t>
      </w:r>
      <w:r w:rsidR="00315210">
        <w:rPr>
          <w:rFonts w:hint="eastAsia"/>
        </w:rPr>
        <w:t>億美元，合計9</w:t>
      </w:r>
      <w:r w:rsidR="00F91115">
        <w:t>,</w:t>
      </w:r>
      <w:r w:rsidR="00315210">
        <w:t>81</w:t>
      </w:r>
      <w:r w:rsidR="00F91115">
        <w:t>0</w:t>
      </w:r>
      <w:r w:rsidR="00315210">
        <w:rPr>
          <w:rFonts w:hint="eastAsia"/>
        </w:rPr>
        <w:t>億美元</w:t>
      </w:r>
      <w:r w:rsidR="00FF7BAF">
        <w:rPr>
          <w:rFonts w:hint="eastAsia"/>
        </w:rPr>
        <w:t>，</w:t>
      </w:r>
      <w:r w:rsidR="00F961C2">
        <w:rPr>
          <w:rFonts w:hint="eastAsia"/>
        </w:rPr>
        <w:t>相較</w:t>
      </w:r>
      <w:r w:rsidR="00AC7BEE">
        <w:rPr>
          <w:rFonts w:hint="eastAsia"/>
        </w:rPr>
        <w:t>2022</w:t>
      </w:r>
      <w:r w:rsidR="00F961C2">
        <w:rPr>
          <w:rFonts w:hint="eastAsia"/>
        </w:rPr>
        <w:t>年之8</w:t>
      </w:r>
      <w:r w:rsidR="00F961C2">
        <w:t>,820</w:t>
      </w:r>
      <w:r w:rsidR="00F961C2">
        <w:rPr>
          <w:rFonts w:hint="eastAsia"/>
        </w:rPr>
        <w:t>億美元</w:t>
      </w:r>
      <w:r w:rsidR="00BF6C8E">
        <w:rPr>
          <w:rFonts w:hint="eastAsia"/>
        </w:rPr>
        <w:t>增加990億元</w:t>
      </w:r>
      <w:r w:rsidR="00F961C2">
        <w:rPr>
          <w:rFonts w:hint="eastAsia"/>
        </w:rPr>
        <w:t>，</w:t>
      </w:r>
      <w:r w:rsidR="00BF6C8E">
        <w:rPr>
          <w:rFonts w:hint="eastAsia"/>
        </w:rPr>
        <w:t>除增加11.2%外，</w:t>
      </w:r>
      <w:r w:rsidR="00AC7BEE">
        <w:rPr>
          <w:rFonts w:hint="eastAsia"/>
        </w:rPr>
        <w:t>2023</w:t>
      </w:r>
      <w:r w:rsidR="00F961C2">
        <w:rPr>
          <w:rFonts w:hint="eastAsia"/>
        </w:rPr>
        <w:t>年</w:t>
      </w:r>
      <w:r w:rsidR="00FF7BAF">
        <w:rPr>
          <w:rFonts w:hint="eastAsia"/>
        </w:rPr>
        <w:t>發行量已近1兆美元</w:t>
      </w:r>
      <w:r w:rsidR="00290291">
        <w:rPr>
          <w:rFonts w:hint="eastAsia"/>
        </w:rPr>
        <w:t>。</w:t>
      </w:r>
      <w:r>
        <w:rPr>
          <w:rFonts w:hint="eastAsia"/>
        </w:rPr>
        <w:t>顯示我國永續發展債券發行與國際市場情況頗</w:t>
      </w:r>
      <w:r w:rsidR="00452355">
        <w:rPr>
          <w:rFonts w:hint="eastAsia"/>
        </w:rPr>
        <w:t>類似</w:t>
      </w:r>
      <w:r>
        <w:rPr>
          <w:rFonts w:hint="eastAsia"/>
        </w:rPr>
        <w:t>，目前呈增長趨勢。</w:t>
      </w:r>
    </w:p>
    <w:p w:rsidR="0018400D" w:rsidRDefault="0018400D" w:rsidP="0086261E">
      <w:pPr>
        <w:ind w:left="567" w:firstLine="567"/>
        <w:rPr>
          <w:rFonts w:hint="eastAsia"/>
        </w:rPr>
      </w:pPr>
    </w:p>
    <w:p w:rsidR="0006012C" w:rsidRPr="001A6BC5" w:rsidRDefault="00FF13C6" w:rsidP="007B7170">
      <w:pPr>
        <w:pStyle w:val="142"/>
        <w:ind w:left="567" w:hanging="567"/>
        <w:rPr>
          <w:rFonts w:hint="eastAsia"/>
        </w:rPr>
      </w:pPr>
      <w:bookmarkStart w:id="19" w:name="_Toc173746452"/>
      <w:r>
        <w:rPr>
          <w:rFonts w:hint="eastAsia"/>
        </w:rPr>
        <w:t>參</w:t>
      </w:r>
      <w:r w:rsidR="0006012C" w:rsidRPr="001A6BC5">
        <w:rPr>
          <w:rFonts w:hint="eastAsia"/>
        </w:rPr>
        <w:t>、</w:t>
      </w:r>
      <w:r w:rsidR="00BB2F9E">
        <w:rPr>
          <w:rFonts w:hint="eastAsia"/>
        </w:rPr>
        <w:t>相關</w:t>
      </w:r>
      <w:r w:rsidR="003A00B5" w:rsidRPr="003A00B5">
        <w:rPr>
          <w:rFonts w:hint="eastAsia"/>
        </w:rPr>
        <w:t>問題探討</w:t>
      </w:r>
      <w:bookmarkEnd w:id="19"/>
    </w:p>
    <w:p w:rsidR="001071EF" w:rsidRPr="001071EF" w:rsidRDefault="0006012C" w:rsidP="00452355">
      <w:pPr>
        <w:pStyle w:val="14"/>
        <w:ind w:left="426" w:hangingChars="150" w:hanging="426"/>
        <w:rPr>
          <w:rFonts w:hint="eastAsia"/>
        </w:rPr>
      </w:pPr>
      <w:bookmarkStart w:id="20" w:name="_Toc173746453"/>
      <w:r>
        <w:rPr>
          <w:rFonts w:hint="eastAsia"/>
        </w:rPr>
        <w:t>一、</w:t>
      </w:r>
      <w:r w:rsidR="001B27CD">
        <w:rPr>
          <w:rFonts w:hint="eastAsia"/>
        </w:rPr>
        <w:t>中央政府公債發行</w:t>
      </w:r>
      <w:r w:rsidR="00452355">
        <w:rPr>
          <w:rFonts w:hint="eastAsia"/>
        </w:rPr>
        <w:t>雖已</w:t>
      </w:r>
      <w:r w:rsidR="001B27CD">
        <w:rPr>
          <w:rFonts w:hint="eastAsia"/>
        </w:rPr>
        <w:t>採</w:t>
      </w:r>
      <w:r w:rsidR="00452355">
        <w:rPr>
          <w:rFonts w:hint="eastAsia"/>
        </w:rPr>
        <w:t>2</w:t>
      </w:r>
      <w:r w:rsidR="001B27CD">
        <w:rPr>
          <w:rFonts w:hint="eastAsia"/>
        </w:rPr>
        <w:t>階段公告方式辦理，惟</w:t>
      </w:r>
      <w:r w:rsidR="00452355">
        <w:rPr>
          <w:rFonts w:hint="eastAsia"/>
        </w:rPr>
        <w:t>仍</w:t>
      </w:r>
      <w:r w:rsidR="001B27CD">
        <w:rPr>
          <w:rFonts w:hint="eastAsia"/>
        </w:rPr>
        <w:t>存有公債發行前交易制度成效不彰及小額投資人申購意願待提升等問題，允宜</w:t>
      </w:r>
      <w:r w:rsidR="00452355">
        <w:rPr>
          <w:rFonts w:hint="eastAsia"/>
        </w:rPr>
        <w:t>研議</w:t>
      </w:r>
      <w:r w:rsidR="001B27CD">
        <w:rPr>
          <w:rFonts w:hint="eastAsia"/>
        </w:rPr>
        <w:t>改進</w:t>
      </w:r>
      <w:bookmarkEnd w:id="20"/>
    </w:p>
    <w:p w:rsidR="00394C6C" w:rsidRDefault="00E726FB" w:rsidP="001071EF">
      <w:pPr>
        <w:ind w:left="567" w:firstLine="567"/>
        <w:rPr>
          <w:rFonts w:hint="eastAsia"/>
        </w:rPr>
      </w:pPr>
      <w:r>
        <w:rPr>
          <w:rFonts w:hint="eastAsia"/>
        </w:rPr>
        <w:t>中央政府建設</w:t>
      </w:r>
      <w:r w:rsidR="001B27CD">
        <w:rPr>
          <w:rFonts w:hint="eastAsia"/>
        </w:rPr>
        <w:t>公債目前採「</w:t>
      </w:r>
      <w:r w:rsidR="001B27CD" w:rsidRPr="00B7500E">
        <w:rPr>
          <w:rFonts w:hint="eastAsia"/>
        </w:rPr>
        <w:t>定期適量</w:t>
      </w:r>
      <w:r w:rsidR="001B27CD">
        <w:rPr>
          <w:rFonts w:hint="eastAsia"/>
        </w:rPr>
        <w:t>發行</w:t>
      </w:r>
      <w:r w:rsidR="001B27CD" w:rsidRPr="00B7500E">
        <w:rPr>
          <w:rFonts w:hint="eastAsia"/>
        </w:rPr>
        <w:t>制度</w:t>
      </w:r>
      <w:r w:rsidR="001B27CD">
        <w:rPr>
          <w:rFonts w:hint="eastAsia"/>
        </w:rPr>
        <w:t>」，以</w:t>
      </w:r>
      <w:r w:rsidR="00E15B2F">
        <w:rPr>
          <w:rFonts w:hint="eastAsia"/>
        </w:rPr>
        <w:t>2</w:t>
      </w:r>
      <w:r w:rsidR="001B27CD" w:rsidRPr="00B7500E">
        <w:rPr>
          <w:rFonts w:hint="eastAsia"/>
        </w:rPr>
        <w:t>階段公告方式辦理，</w:t>
      </w:r>
      <w:r w:rsidR="001B27CD">
        <w:rPr>
          <w:rFonts w:hint="eastAsia"/>
        </w:rPr>
        <w:t>第1階段於每年底（12月23日）公告次一年度全年各月公債發行年期暨第一季各月發行金額、標售日及發行日等資料明細；第2階段於當年度按季於3月23日、6月23日及9月23日，公告次一季各月發行金額、標售日及發行日等資料明細資料</w:t>
      </w:r>
      <w:r w:rsidR="00C311AD">
        <w:rPr>
          <w:rFonts w:hint="eastAsia"/>
        </w:rPr>
        <w:t>。</w:t>
      </w:r>
      <w:r w:rsidR="00394C6C">
        <w:rPr>
          <w:rFonts w:hint="eastAsia"/>
        </w:rPr>
        <w:t>經查：</w:t>
      </w:r>
    </w:p>
    <w:p w:rsidR="009957B3" w:rsidRDefault="00BE0AA1" w:rsidP="009957B3">
      <w:pPr>
        <w:pStyle w:val="a4"/>
        <w:ind w:left="851" w:hanging="284"/>
        <w:rPr>
          <w:rFonts w:hAnsi="標楷體"/>
          <w:b/>
        </w:rPr>
      </w:pPr>
      <w:r w:rsidRPr="000A1407">
        <w:rPr>
          <w:rFonts w:hint="eastAsia"/>
          <w:b/>
        </w:rPr>
        <w:t>(一)</w:t>
      </w:r>
      <w:r w:rsidR="00E15B2F">
        <w:rPr>
          <w:rFonts w:hint="eastAsia"/>
          <w:b/>
        </w:rPr>
        <w:t>112年度</w:t>
      </w:r>
      <w:r w:rsidR="00A535E2" w:rsidRPr="00A535E2">
        <w:rPr>
          <w:rFonts w:hAnsi="標楷體" w:hint="eastAsia"/>
          <w:b/>
        </w:rPr>
        <w:t>公債發行前交易</w:t>
      </w:r>
      <w:r w:rsidR="00D01701">
        <w:rPr>
          <w:rFonts w:hAnsi="標楷體" w:hint="eastAsia"/>
          <w:b/>
        </w:rPr>
        <w:t>金額不高，</w:t>
      </w:r>
      <w:r w:rsidR="00E15B2F">
        <w:rPr>
          <w:rFonts w:hAnsi="標楷體" w:hint="eastAsia"/>
          <w:b/>
        </w:rPr>
        <w:t>113年度各期交易金額占各該期公債比率偏</w:t>
      </w:r>
      <w:r w:rsidR="00D01701">
        <w:rPr>
          <w:rFonts w:hAnsi="標楷體" w:hint="eastAsia"/>
          <w:b/>
        </w:rPr>
        <w:t>低</w:t>
      </w:r>
    </w:p>
    <w:p w:rsidR="00501F89" w:rsidRDefault="009957B3" w:rsidP="00A535E2">
      <w:pPr>
        <w:pStyle w:val="123"/>
        <w:ind w:left="1133" w:hanging="283"/>
      </w:pPr>
      <w:r>
        <w:rPr>
          <w:rFonts w:hint="eastAsia"/>
        </w:rPr>
        <w:t>1.</w:t>
      </w:r>
      <w:r w:rsidR="00A535E2">
        <w:rPr>
          <w:rFonts w:hint="eastAsia"/>
        </w:rPr>
        <w:t>公債發行前交易</w:t>
      </w:r>
      <w:r w:rsidR="00464777">
        <w:rPr>
          <w:rFonts w:hint="eastAsia"/>
        </w:rPr>
        <w:t>(下稱期前交易)</w:t>
      </w:r>
      <w:r w:rsidR="00625990">
        <w:rPr>
          <w:rFonts w:hint="eastAsia"/>
        </w:rPr>
        <w:t>具有投資、避險及價格發現等功能，</w:t>
      </w:r>
      <w:r w:rsidR="00B755CF">
        <w:rPr>
          <w:rFonts w:hint="eastAsia"/>
        </w:rPr>
        <w:t>係政府發行公債時，</w:t>
      </w:r>
      <w:r w:rsidR="00A535E2">
        <w:rPr>
          <w:rFonts w:hint="eastAsia"/>
        </w:rPr>
        <w:t>有效減低交易商投資風險與提高競標意願之重要機制。</w:t>
      </w:r>
      <w:r w:rsidR="00501F89">
        <w:rPr>
          <w:rFonts w:hint="eastAsia"/>
        </w:rPr>
        <w:t>為健全我國債券市場發展，擴大證券商債券業務經營空間及買賣操作彈性，前行政院金融改革專案小組參考國外先進債券市場制度慣例，及配合國內市場發展需要，規劃建立我國公債發行前交易制度。據</w:t>
      </w:r>
      <w:r w:rsidR="00216455">
        <w:rPr>
          <w:rFonts w:hint="eastAsia"/>
        </w:rPr>
        <w:t>金融監督管理委員會</w:t>
      </w:r>
      <w:r w:rsidR="00501F89">
        <w:rPr>
          <w:rFonts w:hint="eastAsia"/>
        </w:rPr>
        <w:t>統計</w:t>
      </w:r>
      <w:r w:rsidR="00501F89">
        <w:rPr>
          <w:rStyle w:val="af7"/>
        </w:rPr>
        <w:footnoteReference w:id="10"/>
      </w:r>
      <w:r w:rsidR="00501F89">
        <w:rPr>
          <w:rFonts w:hint="eastAsia"/>
        </w:rPr>
        <w:t>，</w:t>
      </w:r>
      <w:r w:rsidR="00501F89" w:rsidRPr="009A02B3">
        <w:rPr>
          <w:rFonts w:hint="eastAsia"/>
        </w:rPr>
        <w:t>公債發行前交易</w:t>
      </w:r>
      <w:r w:rsidR="00501F89">
        <w:rPr>
          <w:rFonts w:hint="eastAsia"/>
        </w:rPr>
        <w:t>制度於91年12月2日實施，截至92年6月12日止，</w:t>
      </w:r>
      <w:r w:rsidR="00625990">
        <w:rPr>
          <w:rFonts w:hint="eastAsia"/>
        </w:rPr>
        <w:t>約半年</w:t>
      </w:r>
      <w:r w:rsidR="00501F89">
        <w:rPr>
          <w:rFonts w:hint="eastAsia"/>
        </w:rPr>
        <w:t>累計成交金額</w:t>
      </w:r>
      <w:r w:rsidR="00501F89">
        <w:t>7,328</w:t>
      </w:r>
      <w:r w:rsidR="00501F89">
        <w:rPr>
          <w:rFonts w:hint="eastAsia"/>
        </w:rPr>
        <w:t>億元。</w:t>
      </w:r>
    </w:p>
    <w:p w:rsidR="009957B3" w:rsidRDefault="00501F89" w:rsidP="00A535E2">
      <w:pPr>
        <w:pStyle w:val="123"/>
        <w:ind w:left="1133" w:hanging="283"/>
      </w:pPr>
      <w:r>
        <w:rPr>
          <w:rFonts w:hint="eastAsia"/>
        </w:rPr>
        <w:t>2</w:t>
      </w:r>
      <w:r>
        <w:t>.</w:t>
      </w:r>
      <w:r w:rsidR="00B755CF">
        <w:rPr>
          <w:rFonts w:hint="eastAsia"/>
        </w:rPr>
        <w:t>嗣</w:t>
      </w:r>
      <w:r>
        <w:rPr>
          <w:rFonts w:hint="eastAsia"/>
        </w:rPr>
        <w:t>為活絡公債市場交易、提升公債交易量及</w:t>
      </w:r>
      <w:r w:rsidRPr="00501F89">
        <w:rPr>
          <w:rFonts w:hint="eastAsia"/>
        </w:rPr>
        <w:t>參考各界意見，櫃買中心自110年5月24日起，將</w:t>
      </w:r>
      <w:r w:rsidR="00B755CF">
        <w:rPr>
          <w:rFonts w:hint="eastAsia"/>
        </w:rPr>
        <w:t>公債發行前交易</w:t>
      </w:r>
      <w:r w:rsidRPr="00501F89">
        <w:rPr>
          <w:rFonts w:hint="eastAsia"/>
        </w:rPr>
        <w:t>期間由現行15個營業日，延長為自財政部發布每季發債計畫之次一營業日起至發行日前一個營業日止</w:t>
      </w:r>
      <w:r>
        <w:rPr>
          <w:rFonts w:hint="eastAsia"/>
        </w:rPr>
        <w:t>，並修改「</w:t>
      </w:r>
      <w:r w:rsidRPr="00501F89">
        <w:rPr>
          <w:rFonts w:hint="eastAsia"/>
        </w:rPr>
        <w:t>財團法人中華民國證券櫃檯買賣中心債券等殖成交系統買賣辦法</w:t>
      </w:r>
      <w:r>
        <w:rPr>
          <w:rFonts w:hint="eastAsia"/>
        </w:rPr>
        <w:t>」第2條第5項</w:t>
      </w:r>
      <w:r>
        <w:rPr>
          <w:rStyle w:val="af7"/>
        </w:rPr>
        <w:footnoteReference w:id="11"/>
      </w:r>
      <w:r w:rsidR="00B3654C">
        <w:rPr>
          <w:rFonts w:hint="eastAsia"/>
        </w:rPr>
        <w:t>及「</w:t>
      </w:r>
      <w:r w:rsidR="00B3654C" w:rsidRPr="00B3654C">
        <w:rPr>
          <w:rFonts w:hint="eastAsia"/>
        </w:rPr>
        <w:t>財團法人中華民國證券櫃檯買賣中心證券商營業處所中央政府公債發行前交易辦法</w:t>
      </w:r>
      <w:r w:rsidR="00B3654C">
        <w:rPr>
          <w:rFonts w:hint="eastAsia"/>
        </w:rPr>
        <w:t>」第3條</w:t>
      </w:r>
      <w:r w:rsidR="00B3654C">
        <w:rPr>
          <w:rStyle w:val="af7"/>
        </w:rPr>
        <w:footnoteReference w:id="12"/>
      </w:r>
      <w:r>
        <w:rPr>
          <w:rFonts w:hint="eastAsia"/>
        </w:rPr>
        <w:t>規定。</w:t>
      </w:r>
    </w:p>
    <w:p w:rsidR="00281E27" w:rsidRDefault="00501F89" w:rsidP="009957B3">
      <w:pPr>
        <w:pStyle w:val="123"/>
        <w:ind w:left="1133" w:hanging="283"/>
      </w:pPr>
      <w:r>
        <w:rPr>
          <w:rFonts w:hint="eastAsia"/>
        </w:rPr>
        <w:t>3</w:t>
      </w:r>
      <w:r w:rsidR="00281E27">
        <w:rPr>
          <w:rFonts w:hint="eastAsia"/>
        </w:rPr>
        <w:t>.</w:t>
      </w:r>
      <w:r w:rsidR="00913810">
        <w:rPr>
          <w:rFonts w:hint="eastAsia"/>
        </w:rPr>
        <w:t>詢據櫃買中心</w:t>
      </w:r>
      <w:r w:rsidR="00714EF4">
        <w:rPr>
          <w:rFonts w:hint="eastAsia"/>
        </w:rPr>
        <w:t>近6年(</w:t>
      </w:r>
      <w:r w:rsidR="00302662">
        <w:rPr>
          <w:rFonts w:hint="eastAsia"/>
        </w:rPr>
        <w:t>107至112年</w:t>
      </w:r>
      <w:r w:rsidR="00B755CF">
        <w:rPr>
          <w:rFonts w:hint="eastAsia"/>
        </w:rPr>
        <w:t>度</w:t>
      </w:r>
      <w:r w:rsidR="00302662">
        <w:rPr>
          <w:rFonts w:hint="eastAsia"/>
        </w:rPr>
        <w:t>，以下同)</w:t>
      </w:r>
      <w:r w:rsidR="00913810">
        <w:rPr>
          <w:rFonts w:hint="eastAsia"/>
        </w:rPr>
        <w:t>公債發行前交易成交金額</w:t>
      </w:r>
      <w:r w:rsidR="00714EF4">
        <w:rPr>
          <w:rFonts w:hint="eastAsia"/>
        </w:rPr>
        <w:t>，</w:t>
      </w:r>
      <w:r w:rsidR="00913810">
        <w:rPr>
          <w:rFonts w:hint="eastAsia"/>
        </w:rPr>
        <w:t>介於1,290.95億元至5,998億元間，其中以107</w:t>
      </w:r>
      <w:r w:rsidR="00464777">
        <w:rPr>
          <w:rFonts w:hint="eastAsia"/>
        </w:rPr>
        <w:t>年度</w:t>
      </w:r>
      <w:r w:rsidR="00913810">
        <w:rPr>
          <w:rFonts w:hint="eastAsia"/>
        </w:rPr>
        <w:t>最高，112年度最低，且</w:t>
      </w:r>
      <w:r w:rsidR="00464777">
        <w:rPr>
          <w:rFonts w:hint="eastAsia"/>
        </w:rPr>
        <w:t>該期間期前交易成交金額占該年度公債發行總額比率</w:t>
      </w:r>
      <w:r w:rsidR="00913810">
        <w:rPr>
          <w:rFonts w:hint="eastAsia"/>
        </w:rPr>
        <w:t>概成下降</w:t>
      </w:r>
      <w:r w:rsidR="00464777">
        <w:rPr>
          <w:rFonts w:hint="eastAsia"/>
        </w:rPr>
        <w:t>，自107年度之172.7%下降為112年度之27.0%</w:t>
      </w:r>
      <w:r w:rsidR="001F157A">
        <w:rPr>
          <w:rFonts w:hint="eastAsia"/>
        </w:rPr>
        <w:t>(詳表3-</w:t>
      </w:r>
      <w:r w:rsidR="00E15B2F">
        <w:rPr>
          <w:rFonts w:hint="eastAsia"/>
        </w:rPr>
        <w:t>1</w:t>
      </w:r>
      <w:r w:rsidR="001F157A">
        <w:rPr>
          <w:rFonts w:hint="eastAsia"/>
        </w:rPr>
        <w:t>-</w:t>
      </w:r>
      <w:r w:rsidR="00E15B2F">
        <w:rPr>
          <w:rFonts w:hint="eastAsia"/>
        </w:rPr>
        <w:t>1</w:t>
      </w:r>
      <w:r w:rsidR="001F157A">
        <w:t>)</w:t>
      </w:r>
      <w:r w:rsidR="00913810">
        <w:rPr>
          <w:rFonts w:hint="eastAsia"/>
        </w:rPr>
        <w:t>。</w:t>
      </w:r>
      <w:r w:rsidR="00714EF4">
        <w:rPr>
          <w:rFonts w:hint="eastAsia"/>
        </w:rPr>
        <w:t>另彙整113年1月至</w:t>
      </w:r>
      <w:r w:rsidR="00AB7E77">
        <w:rPr>
          <w:rFonts w:hint="eastAsia"/>
        </w:rPr>
        <w:t>6</w:t>
      </w:r>
      <w:r w:rsidR="00714EF4">
        <w:rPr>
          <w:rFonts w:hint="eastAsia"/>
        </w:rPr>
        <w:t>月各期公債發行前交易情形(詳表3-</w:t>
      </w:r>
      <w:r w:rsidR="00E15B2F">
        <w:rPr>
          <w:rFonts w:hint="eastAsia"/>
        </w:rPr>
        <w:t>1</w:t>
      </w:r>
      <w:r w:rsidR="00714EF4">
        <w:rPr>
          <w:rFonts w:hint="eastAsia"/>
        </w:rPr>
        <w:t>-</w:t>
      </w:r>
      <w:r w:rsidR="00E15B2F">
        <w:rPr>
          <w:rFonts w:hint="eastAsia"/>
        </w:rPr>
        <w:t>2</w:t>
      </w:r>
      <w:r w:rsidR="00714EF4">
        <w:t>)</w:t>
      </w:r>
      <w:r w:rsidR="00714EF4">
        <w:rPr>
          <w:rFonts w:hint="eastAsia"/>
        </w:rPr>
        <w:t>，公債發行前交易成交金額介於10億元至65.5億元間，合計成交金額4</w:t>
      </w:r>
      <w:r w:rsidR="00AB7E77">
        <w:rPr>
          <w:rFonts w:hint="eastAsia"/>
        </w:rPr>
        <w:t>07</w:t>
      </w:r>
      <w:r w:rsidR="00714EF4">
        <w:rPr>
          <w:rFonts w:hint="eastAsia"/>
        </w:rPr>
        <w:t>.494億元，占該期間公債發行總額之1</w:t>
      </w:r>
      <w:r w:rsidR="00AB7E77">
        <w:rPr>
          <w:rFonts w:hint="eastAsia"/>
        </w:rPr>
        <w:t>3.0</w:t>
      </w:r>
      <w:r w:rsidR="00714EF4">
        <w:rPr>
          <w:rFonts w:hint="eastAsia"/>
        </w:rPr>
        <w:t>%，顯示公債發行前交易並不暢旺</w:t>
      </w:r>
      <w:r w:rsidR="00714EF4" w:rsidRPr="0077156E">
        <w:rPr>
          <w:rFonts w:hint="eastAsia"/>
        </w:rPr>
        <w:t>。</w:t>
      </w:r>
    </w:p>
    <w:p w:rsidR="00714EF4" w:rsidRDefault="00714EF4" w:rsidP="00714EF4">
      <w:pPr>
        <w:pStyle w:val="22"/>
        <w:spacing w:line="400" w:lineRule="exact"/>
        <w:ind w:leftChars="0" w:left="0" w:firstLineChars="0" w:firstLine="0"/>
        <w:rPr>
          <w:b/>
        </w:rPr>
      </w:pPr>
      <w:r w:rsidRPr="00C70176">
        <w:rPr>
          <w:rFonts w:hAnsi="標楷體" w:hint="eastAsia"/>
          <w:b/>
        </w:rPr>
        <w:t>表</w:t>
      </w:r>
      <w:r w:rsidR="00E15B2F">
        <w:rPr>
          <w:rFonts w:hAnsi="標楷體" w:hint="eastAsia"/>
          <w:b/>
        </w:rPr>
        <w:t>3-1</w:t>
      </w:r>
      <w:r>
        <w:rPr>
          <w:rFonts w:hAnsi="標楷體" w:hint="eastAsia"/>
          <w:b/>
        </w:rPr>
        <w:t>-</w:t>
      </w:r>
      <w:r w:rsidR="00E15B2F">
        <w:rPr>
          <w:rFonts w:hAnsi="標楷體" w:hint="eastAsia"/>
          <w:b/>
        </w:rPr>
        <w:t>1</w:t>
      </w:r>
      <w:r>
        <w:rPr>
          <w:rFonts w:hAnsi="標楷體" w:hint="eastAsia"/>
          <w:b/>
        </w:rPr>
        <w:t xml:space="preserve">  中央政府1</w:t>
      </w:r>
      <w:r>
        <w:rPr>
          <w:rFonts w:hAnsi="標楷體"/>
          <w:b/>
        </w:rPr>
        <w:t>07</w:t>
      </w:r>
      <w:r>
        <w:rPr>
          <w:rFonts w:hAnsi="標楷體" w:hint="eastAsia"/>
          <w:b/>
        </w:rPr>
        <w:t>至112年度公債發行前交易</w:t>
      </w:r>
      <w:r w:rsidRPr="00E461F1">
        <w:rPr>
          <w:rFonts w:hAnsi="標楷體" w:hint="eastAsia"/>
          <w:b/>
        </w:rPr>
        <w:t>概況表</w:t>
      </w:r>
    </w:p>
    <w:p w:rsidR="00714EF4" w:rsidRPr="00D658E4" w:rsidRDefault="00714EF4" w:rsidP="00714EF4">
      <w:pPr>
        <w:pStyle w:val="22"/>
        <w:spacing w:line="400" w:lineRule="exact"/>
        <w:ind w:leftChars="0" w:left="0" w:firstLineChars="0" w:firstLine="0"/>
        <w:jc w:val="right"/>
        <w:rPr>
          <w:rFonts w:hint="eastAsia"/>
        </w:rPr>
      </w:pPr>
      <w:r w:rsidRPr="00396BE1">
        <w:rPr>
          <w:rFonts w:hint="eastAsia"/>
          <w:sz w:val="24"/>
          <w:szCs w:val="24"/>
        </w:rPr>
        <w:t>單位：新臺幣</w:t>
      </w:r>
      <w:r>
        <w:rPr>
          <w:rFonts w:hint="eastAsia"/>
          <w:sz w:val="24"/>
          <w:szCs w:val="24"/>
        </w:rPr>
        <w:t>億</w:t>
      </w:r>
      <w:r w:rsidRPr="00396BE1">
        <w:rPr>
          <w:rFonts w:hint="eastAsia"/>
          <w:sz w:val="24"/>
          <w:szCs w:val="24"/>
        </w:rPr>
        <w:t>元</w:t>
      </w:r>
      <w:r>
        <w:rPr>
          <w:rFonts w:hint="eastAsia"/>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1914"/>
        <w:gridCol w:w="1914"/>
        <w:gridCol w:w="2976"/>
      </w:tblGrid>
      <w:tr w:rsidR="00714EF4" w:rsidRPr="00D658E4" w:rsidTr="003D3A7A">
        <w:trPr>
          <w:trHeight w:val="312"/>
          <w:tblHeader/>
        </w:trPr>
        <w:tc>
          <w:tcPr>
            <w:tcW w:w="1701" w:type="dxa"/>
            <w:shd w:val="clear" w:color="auto" w:fill="auto"/>
            <w:noWrap/>
            <w:vAlign w:val="center"/>
          </w:tcPr>
          <w:p w:rsidR="00714EF4" w:rsidRPr="00C776D2" w:rsidRDefault="00714EF4" w:rsidP="007E1E4F">
            <w:pPr>
              <w:pStyle w:val="144"/>
              <w:jc w:val="center"/>
              <w:rPr>
                <w:rFonts w:hint="eastAsia"/>
                <w:b/>
              </w:rPr>
            </w:pPr>
            <w:r w:rsidRPr="00C776D2">
              <w:rPr>
                <w:rFonts w:hint="eastAsia"/>
                <w:b/>
              </w:rPr>
              <w:t>年度</w:t>
            </w:r>
          </w:p>
        </w:tc>
        <w:tc>
          <w:tcPr>
            <w:tcW w:w="1914" w:type="dxa"/>
            <w:vAlign w:val="center"/>
          </w:tcPr>
          <w:p w:rsidR="00714EF4" w:rsidRPr="00C776D2" w:rsidRDefault="00714EF4" w:rsidP="007E1E4F">
            <w:pPr>
              <w:pStyle w:val="144"/>
              <w:jc w:val="center"/>
              <w:rPr>
                <w:rFonts w:hint="eastAsia"/>
                <w:b/>
              </w:rPr>
            </w:pPr>
            <w:r w:rsidRPr="00C776D2">
              <w:rPr>
                <w:rFonts w:hint="eastAsia"/>
                <w:b/>
              </w:rPr>
              <w:t>公債發行前交易成交金額</w:t>
            </w:r>
          </w:p>
        </w:tc>
        <w:tc>
          <w:tcPr>
            <w:tcW w:w="1914" w:type="dxa"/>
            <w:vAlign w:val="center"/>
          </w:tcPr>
          <w:p w:rsidR="00714EF4" w:rsidRDefault="00714EF4" w:rsidP="007E1E4F">
            <w:pPr>
              <w:pStyle w:val="144"/>
              <w:jc w:val="center"/>
              <w:rPr>
                <w:b/>
              </w:rPr>
            </w:pPr>
            <w:r w:rsidRPr="00C776D2">
              <w:rPr>
                <w:rFonts w:hint="eastAsia"/>
                <w:b/>
              </w:rPr>
              <w:t>當年度公債</w:t>
            </w:r>
          </w:p>
          <w:p w:rsidR="00714EF4" w:rsidRPr="00C776D2" w:rsidRDefault="00714EF4" w:rsidP="007E1E4F">
            <w:pPr>
              <w:pStyle w:val="144"/>
              <w:jc w:val="center"/>
              <w:rPr>
                <w:rFonts w:hint="eastAsia"/>
                <w:b/>
              </w:rPr>
            </w:pPr>
            <w:r w:rsidRPr="00C776D2">
              <w:rPr>
                <w:rFonts w:hint="eastAsia"/>
                <w:b/>
              </w:rPr>
              <w:t>發行總額</w:t>
            </w:r>
          </w:p>
        </w:tc>
        <w:tc>
          <w:tcPr>
            <w:tcW w:w="2976" w:type="dxa"/>
            <w:shd w:val="clear" w:color="auto" w:fill="auto"/>
            <w:noWrap/>
            <w:vAlign w:val="center"/>
          </w:tcPr>
          <w:p w:rsidR="00714EF4" w:rsidRPr="00C776D2" w:rsidRDefault="00714EF4" w:rsidP="007E1E4F">
            <w:pPr>
              <w:pStyle w:val="144"/>
              <w:jc w:val="center"/>
              <w:rPr>
                <w:b/>
                <w:color w:val="000000"/>
                <w:szCs w:val="24"/>
              </w:rPr>
            </w:pPr>
            <w:r w:rsidRPr="00C776D2">
              <w:rPr>
                <w:rFonts w:hint="eastAsia"/>
                <w:b/>
                <w:color w:val="000000"/>
                <w:szCs w:val="24"/>
              </w:rPr>
              <w:t>公債發行前交易成交金額/當年度公債發行總額</w:t>
            </w:r>
          </w:p>
        </w:tc>
      </w:tr>
      <w:tr w:rsidR="00714EF4" w:rsidRPr="00D658E4" w:rsidTr="00E0602C">
        <w:trPr>
          <w:trHeight w:val="340"/>
        </w:trPr>
        <w:tc>
          <w:tcPr>
            <w:tcW w:w="1701" w:type="dxa"/>
            <w:shd w:val="clear" w:color="auto" w:fill="auto"/>
            <w:noWrap/>
            <w:vAlign w:val="center"/>
          </w:tcPr>
          <w:p w:rsidR="00714EF4" w:rsidRPr="00D658E4" w:rsidRDefault="00714EF4" w:rsidP="007E1E4F">
            <w:pPr>
              <w:pStyle w:val="144"/>
              <w:jc w:val="center"/>
            </w:pPr>
            <w:r>
              <w:rPr>
                <w:rFonts w:hint="eastAsia"/>
              </w:rPr>
              <w:t>107</w:t>
            </w:r>
          </w:p>
        </w:tc>
        <w:tc>
          <w:tcPr>
            <w:tcW w:w="1914" w:type="dxa"/>
            <w:vAlign w:val="center"/>
          </w:tcPr>
          <w:p w:rsidR="00714EF4" w:rsidRDefault="00714EF4" w:rsidP="007E1E4F">
            <w:pPr>
              <w:pStyle w:val="144"/>
              <w:jc w:val="right"/>
              <w:rPr>
                <w:rFonts w:hint="eastAsia"/>
              </w:rPr>
            </w:pPr>
            <w:r>
              <w:rPr>
                <w:rFonts w:hint="eastAsia"/>
              </w:rPr>
              <w:t>5</w:t>
            </w:r>
            <w:r>
              <w:t>,998</w:t>
            </w:r>
          </w:p>
        </w:tc>
        <w:tc>
          <w:tcPr>
            <w:tcW w:w="1914" w:type="dxa"/>
            <w:vAlign w:val="center"/>
          </w:tcPr>
          <w:p w:rsidR="00714EF4" w:rsidRPr="0099713F" w:rsidRDefault="00714EF4" w:rsidP="007E1E4F">
            <w:pPr>
              <w:pStyle w:val="144"/>
              <w:jc w:val="right"/>
              <w:rPr>
                <w:rFonts w:hint="eastAsia"/>
                <w:color w:val="000000"/>
                <w:szCs w:val="24"/>
              </w:rPr>
            </w:pPr>
            <w:r>
              <w:rPr>
                <w:rFonts w:hint="eastAsia"/>
                <w:color w:val="000000"/>
                <w:szCs w:val="24"/>
              </w:rPr>
              <w:t>3,</w:t>
            </w:r>
            <w:r>
              <w:rPr>
                <w:color w:val="000000"/>
                <w:szCs w:val="24"/>
              </w:rPr>
              <w:t>473.014</w:t>
            </w:r>
          </w:p>
        </w:tc>
        <w:tc>
          <w:tcPr>
            <w:tcW w:w="2976" w:type="dxa"/>
            <w:shd w:val="clear" w:color="auto" w:fill="auto"/>
            <w:noWrap/>
            <w:vAlign w:val="center"/>
          </w:tcPr>
          <w:p w:rsidR="00714EF4" w:rsidRPr="0099713F" w:rsidRDefault="00714EF4" w:rsidP="007E1E4F">
            <w:pPr>
              <w:pStyle w:val="144"/>
              <w:jc w:val="right"/>
              <w:rPr>
                <w:rFonts w:hint="eastAsia"/>
                <w:color w:val="000000"/>
                <w:szCs w:val="24"/>
              </w:rPr>
            </w:pPr>
            <w:r>
              <w:rPr>
                <w:rFonts w:hint="eastAsia"/>
                <w:color w:val="000000"/>
                <w:szCs w:val="24"/>
              </w:rPr>
              <w:t>1</w:t>
            </w:r>
            <w:r>
              <w:rPr>
                <w:color w:val="000000"/>
                <w:szCs w:val="24"/>
              </w:rPr>
              <w:t>72.7</w:t>
            </w:r>
          </w:p>
        </w:tc>
      </w:tr>
      <w:tr w:rsidR="00714EF4" w:rsidRPr="00D658E4" w:rsidTr="00E0602C">
        <w:trPr>
          <w:trHeight w:val="340"/>
        </w:trPr>
        <w:tc>
          <w:tcPr>
            <w:tcW w:w="1701" w:type="dxa"/>
            <w:shd w:val="clear" w:color="auto" w:fill="auto"/>
            <w:noWrap/>
            <w:vAlign w:val="center"/>
          </w:tcPr>
          <w:p w:rsidR="00714EF4" w:rsidRDefault="00714EF4" w:rsidP="007E1E4F">
            <w:pPr>
              <w:pStyle w:val="144"/>
              <w:jc w:val="center"/>
              <w:rPr>
                <w:rFonts w:hint="eastAsia"/>
              </w:rPr>
            </w:pPr>
            <w:r>
              <w:rPr>
                <w:rFonts w:hint="eastAsia"/>
              </w:rPr>
              <w:t>108</w:t>
            </w:r>
          </w:p>
        </w:tc>
        <w:tc>
          <w:tcPr>
            <w:tcW w:w="1914" w:type="dxa"/>
            <w:vAlign w:val="center"/>
          </w:tcPr>
          <w:p w:rsidR="00714EF4" w:rsidRDefault="00714EF4" w:rsidP="007E1E4F">
            <w:pPr>
              <w:pStyle w:val="144"/>
              <w:jc w:val="right"/>
              <w:rPr>
                <w:rFonts w:hint="eastAsia"/>
              </w:rPr>
            </w:pPr>
            <w:r>
              <w:rPr>
                <w:rFonts w:hint="eastAsia"/>
              </w:rPr>
              <w:t>3</w:t>
            </w:r>
            <w:r>
              <w:t>,665.5</w:t>
            </w:r>
          </w:p>
        </w:tc>
        <w:tc>
          <w:tcPr>
            <w:tcW w:w="1914" w:type="dxa"/>
            <w:vAlign w:val="center"/>
          </w:tcPr>
          <w:p w:rsidR="00714EF4" w:rsidRPr="0099713F" w:rsidRDefault="00714EF4" w:rsidP="007E1E4F">
            <w:pPr>
              <w:pStyle w:val="144"/>
              <w:jc w:val="right"/>
              <w:rPr>
                <w:rFonts w:hint="eastAsia"/>
                <w:color w:val="000000"/>
                <w:szCs w:val="24"/>
              </w:rPr>
            </w:pPr>
            <w:r>
              <w:rPr>
                <w:rFonts w:hint="eastAsia"/>
                <w:color w:val="000000"/>
                <w:szCs w:val="24"/>
              </w:rPr>
              <w:t>4</w:t>
            </w:r>
            <w:r>
              <w:rPr>
                <w:color w:val="000000"/>
                <w:szCs w:val="24"/>
              </w:rPr>
              <w:t>,100</w:t>
            </w:r>
          </w:p>
        </w:tc>
        <w:tc>
          <w:tcPr>
            <w:tcW w:w="2976" w:type="dxa"/>
            <w:shd w:val="clear" w:color="auto" w:fill="auto"/>
            <w:noWrap/>
            <w:vAlign w:val="center"/>
          </w:tcPr>
          <w:p w:rsidR="00714EF4" w:rsidRPr="0099713F" w:rsidRDefault="00714EF4" w:rsidP="007E1E4F">
            <w:pPr>
              <w:pStyle w:val="144"/>
              <w:jc w:val="right"/>
              <w:rPr>
                <w:rFonts w:hint="eastAsia"/>
                <w:color w:val="000000"/>
                <w:szCs w:val="24"/>
              </w:rPr>
            </w:pPr>
            <w:r>
              <w:rPr>
                <w:rFonts w:hint="eastAsia"/>
                <w:color w:val="000000"/>
                <w:szCs w:val="24"/>
              </w:rPr>
              <w:t>8</w:t>
            </w:r>
            <w:r>
              <w:rPr>
                <w:color w:val="000000"/>
                <w:szCs w:val="24"/>
              </w:rPr>
              <w:t>9.4</w:t>
            </w:r>
          </w:p>
        </w:tc>
      </w:tr>
      <w:tr w:rsidR="00714EF4" w:rsidRPr="00D658E4" w:rsidTr="00E0602C">
        <w:trPr>
          <w:trHeight w:val="340"/>
        </w:trPr>
        <w:tc>
          <w:tcPr>
            <w:tcW w:w="1701" w:type="dxa"/>
            <w:shd w:val="clear" w:color="auto" w:fill="auto"/>
            <w:noWrap/>
            <w:vAlign w:val="center"/>
          </w:tcPr>
          <w:p w:rsidR="00714EF4" w:rsidRDefault="00714EF4" w:rsidP="007E1E4F">
            <w:pPr>
              <w:pStyle w:val="144"/>
              <w:jc w:val="center"/>
              <w:rPr>
                <w:rFonts w:hint="eastAsia"/>
              </w:rPr>
            </w:pPr>
            <w:r>
              <w:rPr>
                <w:rFonts w:hint="eastAsia"/>
              </w:rPr>
              <w:t>109</w:t>
            </w:r>
          </w:p>
        </w:tc>
        <w:tc>
          <w:tcPr>
            <w:tcW w:w="1914" w:type="dxa"/>
            <w:vAlign w:val="center"/>
          </w:tcPr>
          <w:p w:rsidR="00714EF4" w:rsidRDefault="00714EF4" w:rsidP="007E1E4F">
            <w:pPr>
              <w:pStyle w:val="144"/>
              <w:jc w:val="right"/>
              <w:rPr>
                <w:rFonts w:hint="eastAsia"/>
              </w:rPr>
            </w:pPr>
            <w:r>
              <w:rPr>
                <w:rFonts w:hint="eastAsia"/>
              </w:rPr>
              <w:t>2</w:t>
            </w:r>
            <w:r>
              <w:t>,433</w:t>
            </w:r>
          </w:p>
        </w:tc>
        <w:tc>
          <w:tcPr>
            <w:tcW w:w="1914" w:type="dxa"/>
            <w:vAlign w:val="center"/>
          </w:tcPr>
          <w:p w:rsidR="00714EF4" w:rsidRPr="0099713F" w:rsidRDefault="00714EF4" w:rsidP="007E1E4F">
            <w:pPr>
              <w:pStyle w:val="144"/>
              <w:jc w:val="right"/>
              <w:rPr>
                <w:rFonts w:hint="eastAsia"/>
                <w:color w:val="000000"/>
                <w:szCs w:val="24"/>
              </w:rPr>
            </w:pPr>
            <w:r>
              <w:rPr>
                <w:rFonts w:hint="eastAsia"/>
                <w:color w:val="000000"/>
                <w:szCs w:val="24"/>
              </w:rPr>
              <w:t>5</w:t>
            </w:r>
            <w:r>
              <w:rPr>
                <w:color w:val="000000"/>
                <w:szCs w:val="24"/>
              </w:rPr>
              <w:t>,350</w:t>
            </w:r>
          </w:p>
        </w:tc>
        <w:tc>
          <w:tcPr>
            <w:tcW w:w="2976" w:type="dxa"/>
            <w:shd w:val="clear" w:color="auto" w:fill="auto"/>
            <w:noWrap/>
            <w:vAlign w:val="center"/>
          </w:tcPr>
          <w:p w:rsidR="00714EF4" w:rsidRPr="0099713F" w:rsidRDefault="00714EF4" w:rsidP="007E1E4F">
            <w:pPr>
              <w:pStyle w:val="144"/>
              <w:jc w:val="right"/>
              <w:rPr>
                <w:rFonts w:hint="eastAsia"/>
                <w:color w:val="000000"/>
                <w:szCs w:val="24"/>
              </w:rPr>
            </w:pPr>
            <w:r>
              <w:rPr>
                <w:rFonts w:hint="eastAsia"/>
                <w:color w:val="000000"/>
                <w:szCs w:val="24"/>
              </w:rPr>
              <w:t>4</w:t>
            </w:r>
            <w:r>
              <w:rPr>
                <w:color w:val="000000"/>
                <w:szCs w:val="24"/>
              </w:rPr>
              <w:t>5.5</w:t>
            </w:r>
          </w:p>
        </w:tc>
      </w:tr>
      <w:tr w:rsidR="00714EF4" w:rsidRPr="00D658E4" w:rsidTr="00E0602C">
        <w:trPr>
          <w:trHeight w:val="340"/>
        </w:trPr>
        <w:tc>
          <w:tcPr>
            <w:tcW w:w="1701" w:type="dxa"/>
            <w:shd w:val="clear" w:color="auto" w:fill="auto"/>
            <w:noWrap/>
            <w:vAlign w:val="center"/>
          </w:tcPr>
          <w:p w:rsidR="00714EF4" w:rsidRDefault="00714EF4" w:rsidP="007E1E4F">
            <w:pPr>
              <w:pStyle w:val="144"/>
              <w:jc w:val="center"/>
              <w:rPr>
                <w:rFonts w:hint="eastAsia"/>
              </w:rPr>
            </w:pPr>
            <w:r>
              <w:rPr>
                <w:rFonts w:hint="eastAsia"/>
              </w:rPr>
              <w:t>110</w:t>
            </w:r>
          </w:p>
        </w:tc>
        <w:tc>
          <w:tcPr>
            <w:tcW w:w="1914" w:type="dxa"/>
            <w:vAlign w:val="center"/>
          </w:tcPr>
          <w:p w:rsidR="00714EF4" w:rsidRDefault="00714EF4" w:rsidP="007E1E4F">
            <w:pPr>
              <w:pStyle w:val="144"/>
              <w:jc w:val="right"/>
              <w:rPr>
                <w:rFonts w:hint="eastAsia"/>
              </w:rPr>
            </w:pPr>
            <w:r>
              <w:rPr>
                <w:rFonts w:hint="eastAsia"/>
              </w:rPr>
              <w:t>1</w:t>
            </w:r>
            <w:r>
              <w:t>,533.36</w:t>
            </w:r>
          </w:p>
        </w:tc>
        <w:tc>
          <w:tcPr>
            <w:tcW w:w="1914" w:type="dxa"/>
            <w:vAlign w:val="center"/>
          </w:tcPr>
          <w:p w:rsidR="00714EF4" w:rsidRPr="0099713F" w:rsidRDefault="00714EF4" w:rsidP="007E1E4F">
            <w:pPr>
              <w:pStyle w:val="144"/>
              <w:jc w:val="right"/>
              <w:rPr>
                <w:rFonts w:hint="eastAsia"/>
                <w:color w:val="000000"/>
                <w:szCs w:val="24"/>
              </w:rPr>
            </w:pPr>
            <w:r>
              <w:rPr>
                <w:rFonts w:hint="eastAsia"/>
                <w:color w:val="000000"/>
                <w:szCs w:val="24"/>
              </w:rPr>
              <w:t>6</w:t>
            </w:r>
            <w:r>
              <w:rPr>
                <w:color w:val="000000"/>
                <w:szCs w:val="24"/>
              </w:rPr>
              <w:t>,170</w:t>
            </w:r>
          </w:p>
        </w:tc>
        <w:tc>
          <w:tcPr>
            <w:tcW w:w="2976" w:type="dxa"/>
            <w:shd w:val="clear" w:color="auto" w:fill="auto"/>
            <w:noWrap/>
            <w:vAlign w:val="center"/>
          </w:tcPr>
          <w:p w:rsidR="00714EF4" w:rsidRPr="0099713F" w:rsidRDefault="00714EF4" w:rsidP="007E1E4F">
            <w:pPr>
              <w:pStyle w:val="144"/>
              <w:jc w:val="right"/>
              <w:rPr>
                <w:rFonts w:hint="eastAsia"/>
                <w:color w:val="000000"/>
                <w:szCs w:val="24"/>
              </w:rPr>
            </w:pPr>
            <w:r>
              <w:rPr>
                <w:rFonts w:hint="eastAsia"/>
                <w:color w:val="000000"/>
                <w:szCs w:val="24"/>
              </w:rPr>
              <w:t>2</w:t>
            </w:r>
            <w:r>
              <w:rPr>
                <w:color w:val="000000"/>
                <w:szCs w:val="24"/>
              </w:rPr>
              <w:t>4.9</w:t>
            </w:r>
          </w:p>
        </w:tc>
      </w:tr>
      <w:tr w:rsidR="00714EF4" w:rsidRPr="00D658E4" w:rsidTr="00E0602C">
        <w:trPr>
          <w:trHeight w:val="340"/>
        </w:trPr>
        <w:tc>
          <w:tcPr>
            <w:tcW w:w="1701" w:type="dxa"/>
            <w:shd w:val="clear" w:color="auto" w:fill="auto"/>
            <w:noWrap/>
            <w:vAlign w:val="center"/>
          </w:tcPr>
          <w:p w:rsidR="00714EF4" w:rsidRDefault="00714EF4" w:rsidP="007E1E4F">
            <w:pPr>
              <w:pStyle w:val="144"/>
              <w:jc w:val="center"/>
              <w:rPr>
                <w:rFonts w:hint="eastAsia"/>
              </w:rPr>
            </w:pPr>
            <w:r>
              <w:rPr>
                <w:rFonts w:hint="eastAsia"/>
              </w:rPr>
              <w:t>111</w:t>
            </w:r>
          </w:p>
        </w:tc>
        <w:tc>
          <w:tcPr>
            <w:tcW w:w="1914" w:type="dxa"/>
            <w:vAlign w:val="center"/>
          </w:tcPr>
          <w:p w:rsidR="00714EF4" w:rsidRDefault="00714EF4" w:rsidP="007E1E4F">
            <w:pPr>
              <w:pStyle w:val="144"/>
              <w:jc w:val="right"/>
              <w:rPr>
                <w:rFonts w:hint="eastAsia"/>
              </w:rPr>
            </w:pPr>
            <w:r>
              <w:rPr>
                <w:rFonts w:hint="eastAsia"/>
              </w:rPr>
              <w:t>2</w:t>
            </w:r>
            <w:r>
              <w:t>,266.69</w:t>
            </w:r>
          </w:p>
        </w:tc>
        <w:tc>
          <w:tcPr>
            <w:tcW w:w="1914" w:type="dxa"/>
            <w:vAlign w:val="center"/>
          </w:tcPr>
          <w:p w:rsidR="00714EF4" w:rsidRPr="0099713F" w:rsidRDefault="00714EF4" w:rsidP="007E1E4F">
            <w:pPr>
              <w:pStyle w:val="144"/>
              <w:jc w:val="right"/>
              <w:rPr>
                <w:rFonts w:hint="eastAsia"/>
                <w:color w:val="000000"/>
                <w:szCs w:val="24"/>
              </w:rPr>
            </w:pPr>
            <w:r>
              <w:rPr>
                <w:rFonts w:hint="eastAsia"/>
                <w:color w:val="000000"/>
                <w:szCs w:val="24"/>
              </w:rPr>
              <w:t>5</w:t>
            </w:r>
            <w:r>
              <w:rPr>
                <w:color w:val="000000"/>
                <w:szCs w:val="24"/>
              </w:rPr>
              <w:t>,200.514</w:t>
            </w:r>
          </w:p>
        </w:tc>
        <w:tc>
          <w:tcPr>
            <w:tcW w:w="2976" w:type="dxa"/>
            <w:shd w:val="clear" w:color="auto" w:fill="auto"/>
            <w:noWrap/>
            <w:vAlign w:val="center"/>
          </w:tcPr>
          <w:p w:rsidR="00714EF4" w:rsidRPr="0099713F" w:rsidRDefault="00714EF4" w:rsidP="007E1E4F">
            <w:pPr>
              <w:pStyle w:val="144"/>
              <w:jc w:val="right"/>
              <w:rPr>
                <w:rFonts w:hint="eastAsia"/>
                <w:color w:val="000000"/>
                <w:szCs w:val="24"/>
              </w:rPr>
            </w:pPr>
            <w:r>
              <w:rPr>
                <w:rFonts w:hint="eastAsia"/>
                <w:color w:val="000000"/>
                <w:szCs w:val="24"/>
              </w:rPr>
              <w:t>4</w:t>
            </w:r>
            <w:r>
              <w:rPr>
                <w:color w:val="000000"/>
                <w:szCs w:val="24"/>
              </w:rPr>
              <w:t>3.6</w:t>
            </w:r>
          </w:p>
        </w:tc>
      </w:tr>
      <w:tr w:rsidR="00714EF4" w:rsidRPr="00D658E4" w:rsidTr="00E0602C">
        <w:trPr>
          <w:trHeight w:val="340"/>
        </w:trPr>
        <w:tc>
          <w:tcPr>
            <w:tcW w:w="1701" w:type="dxa"/>
            <w:shd w:val="clear" w:color="auto" w:fill="auto"/>
            <w:noWrap/>
            <w:vAlign w:val="center"/>
          </w:tcPr>
          <w:p w:rsidR="00714EF4" w:rsidRPr="00D658E4" w:rsidRDefault="00714EF4" w:rsidP="007E1E4F">
            <w:pPr>
              <w:pStyle w:val="144"/>
              <w:jc w:val="center"/>
            </w:pPr>
            <w:r>
              <w:rPr>
                <w:rFonts w:hint="eastAsia"/>
              </w:rPr>
              <w:t>112</w:t>
            </w:r>
          </w:p>
        </w:tc>
        <w:tc>
          <w:tcPr>
            <w:tcW w:w="1914" w:type="dxa"/>
            <w:vAlign w:val="center"/>
          </w:tcPr>
          <w:p w:rsidR="00714EF4" w:rsidRDefault="00714EF4" w:rsidP="007E1E4F">
            <w:pPr>
              <w:pStyle w:val="144"/>
              <w:jc w:val="right"/>
              <w:rPr>
                <w:rFonts w:hint="eastAsia"/>
              </w:rPr>
            </w:pPr>
            <w:r>
              <w:rPr>
                <w:rFonts w:hint="eastAsia"/>
              </w:rPr>
              <w:t>1</w:t>
            </w:r>
            <w:r>
              <w:t>,290.95</w:t>
            </w:r>
          </w:p>
        </w:tc>
        <w:tc>
          <w:tcPr>
            <w:tcW w:w="1914" w:type="dxa"/>
            <w:vAlign w:val="center"/>
          </w:tcPr>
          <w:p w:rsidR="00714EF4" w:rsidRPr="00F87D75" w:rsidRDefault="00714EF4" w:rsidP="007E1E4F">
            <w:pPr>
              <w:pStyle w:val="144"/>
              <w:jc w:val="right"/>
              <w:rPr>
                <w:color w:val="000000"/>
                <w:szCs w:val="24"/>
              </w:rPr>
            </w:pPr>
            <w:r>
              <w:rPr>
                <w:rFonts w:hint="eastAsia"/>
                <w:color w:val="000000"/>
                <w:szCs w:val="24"/>
              </w:rPr>
              <w:t>4</w:t>
            </w:r>
            <w:r>
              <w:rPr>
                <w:color w:val="000000"/>
                <w:szCs w:val="24"/>
              </w:rPr>
              <w:t>,780</w:t>
            </w:r>
          </w:p>
        </w:tc>
        <w:tc>
          <w:tcPr>
            <w:tcW w:w="2976" w:type="dxa"/>
            <w:shd w:val="clear" w:color="auto" w:fill="auto"/>
            <w:noWrap/>
            <w:vAlign w:val="center"/>
          </w:tcPr>
          <w:p w:rsidR="00714EF4" w:rsidRPr="00F87D75" w:rsidRDefault="00714EF4" w:rsidP="007E1E4F">
            <w:pPr>
              <w:pStyle w:val="144"/>
              <w:jc w:val="right"/>
              <w:rPr>
                <w:color w:val="000000"/>
                <w:szCs w:val="24"/>
              </w:rPr>
            </w:pPr>
            <w:r>
              <w:rPr>
                <w:rFonts w:hint="eastAsia"/>
                <w:color w:val="000000"/>
                <w:szCs w:val="24"/>
              </w:rPr>
              <w:t>2</w:t>
            </w:r>
            <w:r>
              <w:rPr>
                <w:color w:val="000000"/>
                <w:szCs w:val="24"/>
              </w:rPr>
              <w:t>7.0</w:t>
            </w:r>
          </w:p>
        </w:tc>
      </w:tr>
    </w:tbl>
    <w:p w:rsidR="00714EF4" w:rsidRDefault="00714EF4" w:rsidP="00714EF4">
      <w:pPr>
        <w:pStyle w:val="144"/>
        <w:ind w:left="278" w:hangingChars="114" w:hanging="278"/>
        <w:rPr>
          <w:rFonts w:hAnsi="標楷體"/>
        </w:rPr>
      </w:pPr>
      <w:r w:rsidRPr="00F77F04">
        <w:rPr>
          <w:rFonts w:hAnsi="標楷體" w:hint="eastAsia"/>
        </w:rPr>
        <w:t>資料來源</w:t>
      </w:r>
      <w:r>
        <w:rPr>
          <w:rFonts w:hAnsi="標楷體" w:hint="eastAsia"/>
        </w:rPr>
        <w:t>：櫃買中心</w:t>
      </w:r>
      <w:r w:rsidRPr="00F77F04">
        <w:rPr>
          <w:rFonts w:hAnsi="標楷體" w:hint="eastAsia"/>
        </w:rPr>
        <w:t>。</w:t>
      </w:r>
    </w:p>
    <w:p w:rsidR="002B1B77" w:rsidRDefault="00D658E4" w:rsidP="00742591">
      <w:pPr>
        <w:pStyle w:val="22"/>
        <w:spacing w:line="400" w:lineRule="exact"/>
        <w:ind w:leftChars="0" w:left="0" w:firstLineChars="0" w:firstLine="0"/>
        <w:rPr>
          <w:b/>
        </w:rPr>
      </w:pPr>
      <w:r w:rsidRPr="00C70176">
        <w:rPr>
          <w:rFonts w:hAnsi="標楷體" w:hint="eastAsia"/>
          <w:b/>
        </w:rPr>
        <w:t>表</w:t>
      </w:r>
      <w:r w:rsidR="00714EF4">
        <w:rPr>
          <w:rFonts w:hAnsi="標楷體" w:hint="eastAsia"/>
          <w:b/>
        </w:rPr>
        <w:t>3-</w:t>
      </w:r>
      <w:r w:rsidR="00E15B2F">
        <w:rPr>
          <w:rFonts w:hAnsi="標楷體" w:hint="eastAsia"/>
          <w:b/>
        </w:rPr>
        <w:t>1</w:t>
      </w:r>
      <w:r w:rsidR="00714EF4">
        <w:rPr>
          <w:rFonts w:hAnsi="標楷體" w:hint="eastAsia"/>
          <w:b/>
        </w:rPr>
        <w:t>-</w:t>
      </w:r>
      <w:r w:rsidR="00E15B2F">
        <w:rPr>
          <w:rFonts w:hAnsi="標楷體" w:hint="eastAsia"/>
          <w:b/>
        </w:rPr>
        <w:t>2</w:t>
      </w:r>
      <w:r>
        <w:rPr>
          <w:rFonts w:hAnsi="標楷體" w:hint="eastAsia"/>
          <w:b/>
        </w:rPr>
        <w:t xml:space="preserve">  中央政府</w:t>
      </w:r>
      <w:r w:rsidR="002B1B77">
        <w:rPr>
          <w:rFonts w:hAnsi="標楷體" w:hint="eastAsia"/>
          <w:b/>
        </w:rPr>
        <w:t>113年1</w:t>
      </w:r>
      <w:r w:rsidR="007B6E2F">
        <w:rPr>
          <w:rFonts w:hAnsi="標楷體" w:hint="eastAsia"/>
          <w:b/>
        </w:rPr>
        <w:t>月</w:t>
      </w:r>
      <w:r w:rsidR="002B1B77">
        <w:rPr>
          <w:rFonts w:hAnsi="標楷體" w:hint="eastAsia"/>
          <w:b/>
        </w:rPr>
        <w:t>至</w:t>
      </w:r>
      <w:r w:rsidR="007B6E2F">
        <w:rPr>
          <w:rFonts w:hAnsi="標楷體" w:hint="eastAsia"/>
          <w:b/>
        </w:rPr>
        <w:t>6</w:t>
      </w:r>
      <w:r w:rsidR="002B1B77">
        <w:rPr>
          <w:rFonts w:hAnsi="標楷體" w:hint="eastAsia"/>
          <w:b/>
        </w:rPr>
        <w:t>月公債發行前交易</w:t>
      </w:r>
      <w:r w:rsidRPr="00E461F1">
        <w:rPr>
          <w:rFonts w:hAnsi="標楷體" w:hint="eastAsia"/>
          <w:b/>
        </w:rPr>
        <w:t>概況表</w:t>
      </w:r>
    </w:p>
    <w:p w:rsidR="00D658E4" w:rsidRPr="00D658E4" w:rsidRDefault="00D658E4" w:rsidP="002B1B77">
      <w:pPr>
        <w:pStyle w:val="22"/>
        <w:spacing w:line="400" w:lineRule="exact"/>
        <w:ind w:leftChars="0" w:left="0" w:firstLineChars="0" w:firstLine="0"/>
        <w:jc w:val="right"/>
        <w:rPr>
          <w:rFonts w:hint="eastAsia"/>
        </w:rPr>
      </w:pPr>
      <w:r w:rsidRPr="00396BE1">
        <w:rPr>
          <w:rFonts w:hint="eastAsia"/>
          <w:sz w:val="24"/>
          <w:szCs w:val="24"/>
        </w:rPr>
        <w:t>單位：新臺幣</w:t>
      </w:r>
      <w:r w:rsidR="00651DFB">
        <w:rPr>
          <w:rFonts w:hint="eastAsia"/>
          <w:sz w:val="24"/>
          <w:szCs w:val="24"/>
        </w:rPr>
        <w:t>億</w:t>
      </w:r>
      <w:r w:rsidRPr="00396BE1">
        <w:rPr>
          <w:rFonts w:hint="eastAsia"/>
          <w:sz w:val="24"/>
          <w:szCs w:val="24"/>
        </w:rPr>
        <w:t>元</w:t>
      </w:r>
      <w:r w:rsidR="00913810">
        <w:rPr>
          <w:rFonts w:hint="eastAsia"/>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1276"/>
        <w:gridCol w:w="709"/>
        <w:gridCol w:w="709"/>
        <w:gridCol w:w="1842"/>
        <w:gridCol w:w="2268"/>
      </w:tblGrid>
      <w:tr w:rsidR="007D3D98" w:rsidRPr="00D658E4" w:rsidTr="00072576">
        <w:trPr>
          <w:trHeight w:val="312"/>
          <w:tblHeader/>
        </w:trPr>
        <w:tc>
          <w:tcPr>
            <w:tcW w:w="1701" w:type="dxa"/>
            <w:shd w:val="clear" w:color="auto" w:fill="auto"/>
            <w:noWrap/>
            <w:vAlign w:val="center"/>
          </w:tcPr>
          <w:p w:rsidR="007D3D98" w:rsidRPr="00942FBA" w:rsidRDefault="002B1B77" w:rsidP="004970E6">
            <w:pPr>
              <w:pStyle w:val="144"/>
              <w:jc w:val="center"/>
              <w:rPr>
                <w:b/>
              </w:rPr>
            </w:pPr>
            <w:r w:rsidRPr="00942FBA">
              <w:rPr>
                <w:rFonts w:hint="eastAsia"/>
                <w:b/>
              </w:rPr>
              <w:t>期別</w:t>
            </w:r>
          </w:p>
        </w:tc>
        <w:tc>
          <w:tcPr>
            <w:tcW w:w="1276" w:type="dxa"/>
            <w:vAlign w:val="center"/>
          </w:tcPr>
          <w:p w:rsidR="007D3D98" w:rsidRPr="00942FBA" w:rsidRDefault="007D3D98" w:rsidP="0099713F">
            <w:pPr>
              <w:pStyle w:val="144"/>
              <w:jc w:val="center"/>
              <w:rPr>
                <w:rFonts w:hint="eastAsia"/>
                <w:b/>
              </w:rPr>
            </w:pPr>
            <w:r w:rsidRPr="00942FBA">
              <w:rPr>
                <w:rFonts w:hint="eastAsia"/>
                <w:b/>
              </w:rPr>
              <w:t>發行日</w:t>
            </w:r>
          </w:p>
        </w:tc>
        <w:tc>
          <w:tcPr>
            <w:tcW w:w="709" w:type="dxa"/>
            <w:vAlign w:val="center"/>
          </w:tcPr>
          <w:p w:rsidR="007D3D98" w:rsidRPr="00942FBA" w:rsidRDefault="007D3D98" w:rsidP="00425C50">
            <w:pPr>
              <w:pStyle w:val="144"/>
              <w:jc w:val="center"/>
              <w:rPr>
                <w:rFonts w:hint="eastAsia"/>
                <w:b/>
              </w:rPr>
            </w:pPr>
            <w:r w:rsidRPr="00942FBA">
              <w:rPr>
                <w:rFonts w:hint="eastAsia"/>
                <w:b/>
              </w:rPr>
              <w:t>年期</w:t>
            </w:r>
          </w:p>
        </w:tc>
        <w:tc>
          <w:tcPr>
            <w:tcW w:w="709" w:type="dxa"/>
            <w:shd w:val="clear" w:color="auto" w:fill="auto"/>
            <w:noWrap/>
            <w:vAlign w:val="center"/>
          </w:tcPr>
          <w:p w:rsidR="007D3D98" w:rsidRPr="00942FBA" w:rsidRDefault="007D3D98" w:rsidP="0099713F">
            <w:pPr>
              <w:pStyle w:val="144"/>
              <w:jc w:val="center"/>
              <w:rPr>
                <w:b/>
              </w:rPr>
            </w:pPr>
            <w:r w:rsidRPr="00942FBA">
              <w:rPr>
                <w:rFonts w:hint="eastAsia"/>
                <w:b/>
              </w:rPr>
              <w:t>發行金額</w:t>
            </w:r>
          </w:p>
        </w:tc>
        <w:tc>
          <w:tcPr>
            <w:tcW w:w="1842" w:type="dxa"/>
            <w:vAlign w:val="center"/>
          </w:tcPr>
          <w:p w:rsidR="007D3D98" w:rsidRPr="00942FBA" w:rsidRDefault="007D3D98" w:rsidP="0099713F">
            <w:pPr>
              <w:pStyle w:val="144"/>
              <w:jc w:val="center"/>
              <w:rPr>
                <w:rFonts w:hint="eastAsia"/>
                <w:b/>
              </w:rPr>
            </w:pPr>
            <w:r w:rsidRPr="00942FBA">
              <w:rPr>
                <w:rFonts w:hint="eastAsia"/>
                <w:b/>
              </w:rPr>
              <w:t>公債發行前交易成交金額</w:t>
            </w:r>
          </w:p>
        </w:tc>
        <w:tc>
          <w:tcPr>
            <w:tcW w:w="2268" w:type="dxa"/>
            <w:shd w:val="clear" w:color="auto" w:fill="auto"/>
            <w:noWrap/>
            <w:vAlign w:val="center"/>
          </w:tcPr>
          <w:p w:rsidR="007D3D98" w:rsidRPr="00942FBA" w:rsidRDefault="00B755CF" w:rsidP="009B0177">
            <w:pPr>
              <w:pStyle w:val="144"/>
              <w:jc w:val="center"/>
              <w:rPr>
                <w:b/>
                <w:color w:val="000000"/>
                <w:szCs w:val="24"/>
              </w:rPr>
            </w:pPr>
            <w:r>
              <w:rPr>
                <w:rFonts w:hint="eastAsia"/>
                <w:b/>
              </w:rPr>
              <w:t>該期</w:t>
            </w:r>
            <w:r w:rsidR="007D3D98" w:rsidRPr="00942FBA">
              <w:rPr>
                <w:rFonts w:hint="eastAsia"/>
                <w:b/>
              </w:rPr>
              <w:t>公債發行前交易成交金額/</w:t>
            </w:r>
            <w:r>
              <w:rPr>
                <w:rFonts w:hint="eastAsia"/>
                <w:b/>
              </w:rPr>
              <w:t>發行</w:t>
            </w:r>
            <w:r w:rsidR="009B0177">
              <w:rPr>
                <w:rFonts w:hint="eastAsia"/>
                <w:b/>
              </w:rPr>
              <w:t>金</w:t>
            </w:r>
            <w:r w:rsidR="007D3D98" w:rsidRPr="00942FBA">
              <w:rPr>
                <w:rFonts w:hint="eastAsia"/>
                <w:b/>
              </w:rPr>
              <w:t>額</w:t>
            </w:r>
          </w:p>
        </w:tc>
      </w:tr>
      <w:tr w:rsidR="007D3D98" w:rsidRPr="00D658E4" w:rsidTr="00B755CF">
        <w:trPr>
          <w:trHeight w:val="340"/>
        </w:trPr>
        <w:tc>
          <w:tcPr>
            <w:tcW w:w="1701" w:type="dxa"/>
            <w:shd w:val="clear" w:color="auto" w:fill="auto"/>
            <w:noWrap/>
            <w:vAlign w:val="center"/>
          </w:tcPr>
          <w:p w:rsidR="007D3D98" w:rsidRPr="00D658E4" w:rsidRDefault="007D3D98" w:rsidP="0099713F">
            <w:pPr>
              <w:pStyle w:val="144"/>
              <w:jc w:val="center"/>
            </w:pPr>
            <w:r>
              <w:rPr>
                <w:rFonts w:hint="eastAsia"/>
              </w:rPr>
              <w:t>113甲1期</w:t>
            </w:r>
          </w:p>
        </w:tc>
        <w:tc>
          <w:tcPr>
            <w:tcW w:w="1276" w:type="dxa"/>
            <w:vAlign w:val="center"/>
          </w:tcPr>
          <w:p w:rsidR="007D3D98" w:rsidRDefault="007D3D98" w:rsidP="00E0602C">
            <w:pPr>
              <w:pStyle w:val="144"/>
              <w:jc w:val="center"/>
              <w:rPr>
                <w:rFonts w:hint="eastAsia"/>
              </w:rPr>
            </w:pPr>
            <w:r>
              <w:rPr>
                <w:rFonts w:hint="eastAsia"/>
              </w:rPr>
              <w:t>113.01.05</w:t>
            </w:r>
          </w:p>
        </w:tc>
        <w:tc>
          <w:tcPr>
            <w:tcW w:w="709" w:type="dxa"/>
            <w:vAlign w:val="center"/>
          </w:tcPr>
          <w:p w:rsidR="007D3D98" w:rsidRDefault="007D3D98" w:rsidP="00E0602C">
            <w:pPr>
              <w:pStyle w:val="144"/>
              <w:jc w:val="right"/>
              <w:rPr>
                <w:rFonts w:hint="eastAsia"/>
              </w:rPr>
            </w:pPr>
            <w:r>
              <w:rPr>
                <w:rFonts w:hint="eastAsia"/>
              </w:rPr>
              <w:t>2</w:t>
            </w:r>
          </w:p>
        </w:tc>
        <w:tc>
          <w:tcPr>
            <w:tcW w:w="709" w:type="dxa"/>
            <w:shd w:val="clear" w:color="auto" w:fill="auto"/>
            <w:noWrap/>
            <w:vAlign w:val="center"/>
          </w:tcPr>
          <w:p w:rsidR="007D3D98" w:rsidRDefault="007D3D98" w:rsidP="00E0602C">
            <w:pPr>
              <w:pStyle w:val="144"/>
              <w:jc w:val="right"/>
              <w:rPr>
                <w:rFonts w:hint="eastAsia"/>
              </w:rPr>
            </w:pPr>
            <w:r>
              <w:rPr>
                <w:rFonts w:hint="eastAsia"/>
              </w:rPr>
              <w:t>300</w:t>
            </w:r>
          </w:p>
        </w:tc>
        <w:tc>
          <w:tcPr>
            <w:tcW w:w="1842" w:type="dxa"/>
            <w:vAlign w:val="center"/>
          </w:tcPr>
          <w:p w:rsidR="007D3D98" w:rsidRDefault="007D3D98" w:rsidP="00E0602C">
            <w:pPr>
              <w:pStyle w:val="144"/>
              <w:jc w:val="right"/>
              <w:rPr>
                <w:rFonts w:hint="eastAsia"/>
              </w:rPr>
            </w:pPr>
            <w:r>
              <w:rPr>
                <w:rFonts w:hint="eastAsia"/>
              </w:rPr>
              <w:t>41.5</w:t>
            </w:r>
          </w:p>
        </w:tc>
        <w:tc>
          <w:tcPr>
            <w:tcW w:w="2268" w:type="dxa"/>
            <w:shd w:val="clear" w:color="auto" w:fill="auto"/>
            <w:noWrap/>
            <w:vAlign w:val="center"/>
          </w:tcPr>
          <w:p w:rsidR="007D3D98" w:rsidRPr="0099713F" w:rsidRDefault="007D3D98" w:rsidP="00E0602C">
            <w:pPr>
              <w:pStyle w:val="144"/>
              <w:jc w:val="right"/>
              <w:rPr>
                <w:rFonts w:hint="eastAsia"/>
                <w:color w:val="000000"/>
                <w:szCs w:val="24"/>
              </w:rPr>
            </w:pPr>
            <w:r>
              <w:rPr>
                <w:rFonts w:hint="eastAsia"/>
                <w:color w:val="000000"/>
                <w:szCs w:val="24"/>
              </w:rPr>
              <w:t>13.8</w:t>
            </w:r>
          </w:p>
        </w:tc>
      </w:tr>
      <w:tr w:rsidR="007D3D98" w:rsidRPr="00D658E4" w:rsidTr="00B755CF">
        <w:trPr>
          <w:trHeight w:val="340"/>
        </w:trPr>
        <w:tc>
          <w:tcPr>
            <w:tcW w:w="1701" w:type="dxa"/>
            <w:shd w:val="clear" w:color="auto" w:fill="auto"/>
            <w:noWrap/>
            <w:vAlign w:val="center"/>
          </w:tcPr>
          <w:p w:rsidR="007D3D98" w:rsidRDefault="007D3D98" w:rsidP="0099713F">
            <w:pPr>
              <w:pStyle w:val="144"/>
              <w:jc w:val="center"/>
              <w:rPr>
                <w:rFonts w:hint="eastAsia"/>
              </w:rPr>
            </w:pPr>
            <w:r>
              <w:rPr>
                <w:rFonts w:hint="eastAsia"/>
              </w:rPr>
              <w:t>113甲2期</w:t>
            </w:r>
          </w:p>
        </w:tc>
        <w:tc>
          <w:tcPr>
            <w:tcW w:w="1276" w:type="dxa"/>
            <w:vAlign w:val="center"/>
          </w:tcPr>
          <w:p w:rsidR="007D3D98" w:rsidRDefault="007D3D98" w:rsidP="00E0602C">
            <w:pPr>
              <w:pStyle w:val="144"/>
              <w:jc w:val="center"/>
              <w:rPr>
                <w:rFonts w:hint="eastAsia"/>
              </w:rPr>
            </w:pPr>
            <w:r>
              <w:rPr>
                <w:rFonts w:hint="eastAsia"/>
              </w:rPr>
              <w:t>113.01.18</w:t>
            </w:r>
          </w:p>
        </w:tc>
        <w:tc>
          <w:tcPr>
            <w:tcW w:w="709" w:type="dxa"/>
            <w:vAlign w:val="center"/>
          </w:tcPr>
          <w:p w:rsidR="007D3D98" w:rsidRDefault="007D3D98" w:rsidP="00E0602C">
            <w:pPr>
              <w:pStyle w:val="144"/>
              <w:jc w:val="right"/>
              <w:rPr>
                <w:rFonts w:hint="eastAsia"/>
              </w:rPr>
            </w:pPr>
            <w:r>
              <w:rPr>
                <w:rFonts w:hint="eastAsia"/>
              </w:rPr>
              <w:t>20</w:t>
            </w:r>
          </w:p>
        </w:tc>
        <w:tc>
          <w:tcPr>
            <w:tcW w:w="709" w:type="dxa"/>
            <w:shd w:val="clear" w:color="auto" w:fill="auto"/>
            <w:noWrap/>
            <w:vAlign w:val="center"/>
          </w:tcPr>
          <w:p w:rsidR="007D3D98" w:rsidRDefault="007D3D98" w:rsidP="00E0602C">
            <w:pPr>
              <w:pStyle w:val="144"/>
              <w:jc w:val="right"/>
              <w:rPr>
                <w:rFonts w:hint="eastAsia"/>
              </w:rPr>
            </w:pPr>
            <w:r>
              <w:rPr>
                <w:rFonts w:hint="eastAsia"/>
              </w:rPr>
              <w:t>300</w:t>
            </w:r>
          </w:p>
        </w:tc>
        <w:tc>
          <w:tcPr>
            <w:tcW w:w="1842" w:type="dxa"/>
            <w:vAlign w:val="center"/>
          </w:tcPr>
          <w:p w:rsidR="007D3D98" w:rsidRDefault="007D3D98" w:rsidP="00E0602C">
            <w:pPr>
              <w:pStyle w:val="144"/>
              <w:jc w:val="right"/>
              <w:rPr>
                <w:rFonts w:hint="eastAsia"/>
              </w:rPr>
            </w:pPr>
            <w:r>
              <w:rPr>
                <w:rFonts w:hint="eastAsia"/>
              </w:rPr>
              <w:t>41</w:t>
            </w:r>
          </w:p>
        </w:tc>
        <w:tc>
          <w:tcPr>
            <w:tcW w:w="2268" w:type="dxa"/>
            <w:shd w:val="clear" w:color="auto" w:fill="auto"/>
            <w:noWrap/>
            <w:vAlign w:val="center"/>
          </w:tcPr>
          <w:p w:rsidR="007D3D98" w:rsidRPr="0099713F" w:rsidRDefault="007D3D98" w:rsidP="00E0602C">
            <w:pPr>
              <w:pStyle w:val="144"/>
              <w:jc w:val="right"/>
              <w:rPr>
                <w:rFonts w:hint="eastAsia"/>
                <w:color w:val="000000"/>
                <w:szCs w:val="24"/>
              </w:rPr>
            </w:pPr>
            <w:r>
              <w:rPr>
                <w:rFonts w:hint="eastAsia"/>
                <w:color w:val="000000"/>
                <w:szCs w:val="24"/>
              </w:rPr>
              <w:t>13.7</w:t>
            </w:r>
          </w:p>
        </w:tc>
      </w:tr>
      <w:tr w:rsidR="007D3D98" w:rsidRPr="00D658E4" w:rsidTr="00B755CF">
        <w:trPr>
          <w:trHeight w:val="340"/>
        </w:trPr>
        <w:tc>
          <w:tcPr>
            <w:tcW w:w="1701" w:type="dxa"/>
            <w:shd w:val="clear" w:color="auto" w:fill="auto"/>
            <w:noWrap/>
            <w:vAlign w:val="center"/>
          </w:tcPr>
          <w:p w:rsidR="007D3D98" w:rsidRDefault="007D3D98" w:rsidP="0099713F">
            <w:pPr>
              <w:pStyle w:val="144"/>
              <w:jc w:val="center"/>
              <w:rPr>
                <w:rFonts w:hint="eastAsia"/>
              </w:rPr>
            </w:pPr>
            <w:r>
              <w:rPr>
                <w:rFonts w:hint="eastAsia"/>
              </w:rPr>
              <w:t>113甲3期</w:t>
            </w:r>
          </w:p>
        </w:tc>
        <w:tc>
          <w:tcPr>
            <w:tcW w:w="1276" w:type="dxa"/>
            <w:vAlign w:val="center"/>
          </w:tcPr>
          <w:p w:rsidR="007D3D98" w:rsidRDefault="007D3D98" w:rsidP="00E0602C">
            <w:pPr>
              <w:pStyle w:val="144"/>
              <w:jc w:val="center"/>
              <w:rPr>
                <w:rFonts w:hint="eastAsia"/>
              </w:rPr>
            </w:pPr>
            <w:r>
              <w:rPr>
                <w:rFonts w:hint="eastAsia"/>
              </w:rPr>
              <w:t>113.01.29</w:t>
            </w:r>
          </w:p>
        </w:tc>
        <w:tc>
          <w:tcPr>
            <w:tcW w:w="709" w:type="dxa"/>
            <w:vAlign w:val="center"/>
          </w:tcPr>
          <w:p w:rsidR="007D3D98" w:rsidRDefault="007D3D98" w:rsidP="00E0602C">
            <w:pPr>
              <w:pStyle w:val="144"/>
              <w:jc w:val="right"/>
              <w:rPr>
                <w:rFonts w:hint="eastAsia"/>
              </w:rPr>
            </w:pPr>
            <w:r>
              <w:rPr>
                <w:rFonts w:hint="eastAsia"/>
              </w:rPr>
              <w:t>5</w:t>
            </w:r>
          </w:p>
        </w:tc>
        <w:tc>
          <w:tcPr>
            <w:tcW w:w="709" w:type="dxa"/>
            <w:shd w:val="clear" w:color="auto" w:fill="auto"/>
            <w:noWrap/>
            <w:vAlign w:val="center"/>
          </w:tcPr>
          <w:p w:rsidR="007D3D98" w:rsidRDefault="007D3D98" w:rsidP="00E0602C">
            <w:pPr>
              <w:pStyle w:val="144"/>
              <w:jc w:val="right"/>
              <w:rPr>
                <w:rFonts w:hint="eastAsia"/>
              </w:rPr>
            </w:pPr>
            <w:r>
              <w:rPr>
                <w:rFonts w:hint="eastAsia"/>
              </w:rPr>
              <w:t>300</w:t>
            </w:r>
          </w:p>
        </w:tc>
        <w:tc>
          <w:tcPr>
            <w:tcW w:w="1842" w:type="dxa"/>
            <w:vAlign w:val="center"/>
          </w:tcPr>
          <w:p w:rsidR="007D3D98" w:rsidRDefault="007D3D98" w:rsidP="00E0602C">
            <w:pPr>
              <w:pStyle w:val="144"/>
              <w:jc w:val="right"/>
              <w:rPr>
                <w:rFonts w:hint="eastAsia"/>
              </w:rPr>
            </w:pPr>
            <w:r>
              <w:rPr>
                <w:rFonts w:hint="eastAsia"/>
              </w:rPr>
              <w:t>33.5</w:t>
            </w:r>
          </w:p>
        </w:tc>
        <w:tc>
          <w:tcPr>
            <w:tcW w:w="2268" w:type="dxa"/>
            <w:shd w:val="clear" w:color="auto" w:fill="auto"/>
            <w:noWrap/>
            <w:vAlign w:val="center"/>
          </w:tcPr>
          <w:p w:rsidR="007D3D98" w:rsidRPr="0099713F" w:rsidRDefault="007D3D98" w:rsidP="00E0602C">
            <w:pPr>
              <w:pStyle w:val="144"/>
              <w:jc w:val="right"/>
              <w:rPr>
                <w:rFonts w:hint="eastAsia"/>
                <w:color w:val="000000"/>
                <w:szCs w:val="24"/>
              </w:rPr>
            </w:pPr>
            <w:r>
              <w:rPr>
                <w:rFonts w:hint="eastAsia"/>
                <w:color w:val="000000"/>
                <w:szCs w:val="24"/>
              </w:rPr>
              <w:t>11.2</w:t>
            </w:r>
          </w:p>
        </w:tc>
      </w:tr>
      <w:tr w:rsidR="007D3D98" w:rsidRPr="00D658E4" w:rsidTr="00B755CF">
        <w:trPr>
          <w:trHeight w:val="340"/>
        </w:trPr>
        <w:tc>
          <w:tcPr>
            <w:tcW w:w="1701" w:type="dxa"/>
            <w:shd w:val="clear" w:color="auto" w:fill="auto"/>
            <w:noWrap/>
            <w:vAlign w:val="center"/>
          </w:tcPr>
          <w:p w:rsidR="007D3D98" w:rsidRDefault="007D3D98" w:rsidP="0099713F">
            <w:pPr>
              <w:pStyle w:val="144"/>
              <w:jc w:val="center"/>
              <w:rPr>
                <w:rFonts w:hint="eastAsia"/>
              </w:rPr>
            </w:pPr>
            <w:r>
              <w:rPr>
                <w:rFonts w:hint="eastAsia"/>
              </w:rPr>
              <w:t>113甲4期</w:t>
            </w:r>
          </w:p>
        </w:tc>
        <w:tc>
          <w:tcPr>
            <w:tcW w:w="1276" w:type="dxa"/>
            <w:vAlign w:val="center"/>
          </w:tcPr>
          <w:p w:rsidR="007D3D98" w:rsidRDefault="007D3D98" w:rsidP="00E0602C">
            <w:pPr>
              <w:pStyle w:val="144"/>
              <w:jc w:val="center"/>
              <w:rPr>
                <w:rFonts w:hint="eastAsia"/>
              </w:rPr>
            </w:pPr>
            <w:r>
              <w:rPr>
                <w:rFonts w:hint="eastAsia"/>
              </w:rPr>
              <w:t>113.02.23</w:t>
            </w:r>
          </w:p>
        </w:tc>
        <w:tc>
          <w:tcPr>
            <w:tcW w:w="709" w:type="dxa"/>
            <w:vAlign w:val="center"/>
          </w:tcPr>
          <w:p w:rsidR="007D3D98" w:rsidRDefault="007D3D98" w:rsidP="00E0602C">
            <w:pPr>
              <w:pStyle w:val="144"/>
              <w:jc w:val="right"/>
              <w:rPr>
                <w:rFonts w:hint="eastAsia"/>
              </w:rPr>
            </w:pPr>
            <w:r>
              <w:rPr>
                <w:rFonts w:hint="eastAsia"/>
              </w:rPr>
              <w:t>10</w:t>
            </w:r>
          </w:p>
        </w:tc>
        <w:tc>
          <w:tcPr>
            <w:tcW w:w="709" w:type="dxa"/>
            <w:shd w:val="clear" w:color="auto" w:fill="auto"/>
            <w:noWrap/>
            <w:vAlign w:val="center"/>
          </w:tcPr>
          <w:p w:rsidR="007D3D98" w:rsidRDefault="007D3D98" w:rsidP="00E0602C">
            <w:pPr>
              <w:pStyle w:val="144"/>
              <w:jc w:val="right"/>
              <w:rPr>
                <w:rFonts w:hint="eastAsia"/>
              </w:rPr>
            </w:pPr>
            <w:r>
              <w:rPr>
                <w:rFonts w:hint="eastAsia"/>
              </w:rPr>
              <w:t>350</w:t>
            </w:r>
          </w:p>
        </w:tc>
        <w:tc>
          <w:tcPr>
            <w:tcW w:w="1842" w:type="dxa"/>
            <w:vAlign w:val="center"/>
          </w:tcPr>
          <w:p w:rsidR="007D3D98" w:rsidRDefault="007D3D98" w:rsidP="00E0602C">
            <w:pPr>
              <w:pStyle w:val="144"/>
              <w:jc w:val="right"/>
              <w:rPr>
                <w:rFonts w:hint="eastAsia"/>
              </w:rPr>
            </w:pPr>
            <w:r>
              <w:rPr>
                <w:rFonts w:hint="eastAsia"/>
              </w:rPr>
              <w:t>65.498</w:t>
            </w:r>
          </w:p>
        </w:tc>
        <w:tc>
          <w:tcPr>
            <w:tcW w:w="2268" w:type="dxa"/>
            <w:shd w:val="clear" w:color="auto" w:fill="auto"/>
            <w:noWrap/>
            <w:vAlign w:val="center"/>
          </w:tcPr>
          <w:p w:rsidR="007D3D98" w:rsidRPr="0099713F" w:rsidRDefault="007D3D98" w:rsidP="00E0602C">
            <w:pPr>
              <w:pStyle w:val="144"/>
              <w:jc w:val="right"/>
              <w:rPr>
                <w:rFonts w:hint="eastAsia"/>
                <w:color w:val="000000"/>
                <w:szCs w:val="24"/>
              </w:rPr>
            </w:pPr>
            <w:r>
              <w:rPr>
                <w:rFonts w:hint="eastAsia"/>
                <w:color w:val="000000"/>
                <w:szCs w:val="24"/>
              </w:rPr>
              <w:t>18.7</w:t>
            </w:r>
          </w:p>
        </w:tc>
      </w:tr>
      <w:tr w:rsidR="007D3D98" w:rsidRPr="00D658E4" w:rsidTr="00B755CF">
        <w:trPr>
          <w:trHeight w:val="340"/>
        </w:trPr>
        <w:tc>
          <w:tcPr>
            <w:tcW w:w="1701" w:type="dxa"/>
            <w:shd w:val="clear" w:color="auto" w:fill="auto"/>
            <w:noWrap/>
            <w:vAlign w:val="center"/>
          </w:tcPr>
          <w:p w:rsidR="007D3D98" w:rsidRDefault="007D3D98" w:rsidP="0099713F">
            <w:pPr>
              <w:pStyle w:val="144"/>
              <w:jc w:val="center"/>
              <w:rPr>
                <w:rFonts w:hint="eastAsia"/>
              </w:rPr>
            </w:pPr>
            <w:r>
              <w:rPr>
                <w:rFonts w:hint="eastAsia"/>
              </w:rPr>
              <w:t>增額113甲3期</w:t>
            </w:r>
          </w:p>
        </w:tc>
        <w:tc>
          <w:tcPr>
            <w:tcW w:w="1276" w:type="dxa"/>
            <w:vAlign w:val="center"/>
          </w:tcPr>
          <w:p w:rsidR="007D3D98" w:rsidRDefault="007D3D98" w:rsidP="00E0602C">
            <w:pPr>
              <w:pStyle w:val="144"/>
              <w:jc w:val="center"/>
              <w:rPr>
                <w:rFonts w:hint="eastAsia"/>
              </w:rPr>
            </w:pPr>
            <w:r>
              <w:rPr>
                <w:rFonts w:hint="eastAsia"/>
              </w:rPr>
              <w:t>113.03.01</w:t>
            </w:r>
          </w:p>
        </w:tc>
        <w:tc>
          <w:tcPr>
            <w:tcW w:w="709" w:type="dxa"/>
            <w:vAlign w:val="center"/>
          </w:tcPr>
          <w:p w:rsidR="007D3D98" w:rsidRDefault="007D3D98" w:rsidP="00E0602C">
            <w:pPr>
              <w:pStyle w:val="144"/>
              <w:jc w:val="right"/>
              <w:rPr>
                <w:rFonts w:hint="eastAsia"/>
              </w:rPr>
            </w:pPr>
            <w:r>
              <w:rPr>
                <w:rFonts w:hint="eastAsia"/>
              </w:rPr>
              <w:t>5</w:t>
            </w:r>
          </w:p>
        </w:tc>
        <w:tc>
          <w:tcPr>
            <w:tcW w:w="709" w:type="dxa"/>
            <w:shd w:val="clear" w:color="auto" w:fill="auto"/>
            <w:noWrap/>
            <w:vAlign w:val="center"/>
          </w:tcPr>
          <w:p w:rsidR="007D3D98" w:rsidRDefault="007D3D98" w:rsidP="00E0602C">
            <w:pPr>
              <w:pStyle w:val="144"/>
              <w:jc w:val="right"/>
              <w:rPr>
                <w:rFonts w:hint="eastAsia"/>
              </w:rPr>
            </w:pPr>
            <w:r>
              <w:rPr>
                <w:rFonts w:hint="eastAsia"/>
              </w:rPr>
              <w:t>350</w:t>
            </w:r>
          </w:p>
        </w:tc>
        <w:tc>
          <w:tcPr>
            <w:tcW w:w="1842" w:type="dxa"/>
            <w:vAlign w:val="center"/>
          </w:tcPr>
          <w:p w:rsidR="007D3D98" w:rsidRDefault="007D3D98" w:rsidP="00E0602C">
            <w:pPr>
              <w:pStyle w:val="144"/>
              <w:jc w:val="right"/>
              <w:rPr>
                <w:rFonts w:hint="eastAsia"/>
              </w:rPr>
            </w:pPr>
            <w:r>
              <w:rPr>
                <w:rFonts w:hint="eastAsia"/>
              </w:rPr>
              <w:t>47</w:t>
            </w:r>
          </w:p>
        </w:tc>
        <w:tc>
          <w:tcPr>
            <w:tcW w:w="2268" w:type="dxa"/>
            <w:shd w:val="clear" w:color="auto" w:fill="auto"/>
            <w:noWrap/>
            <w:vAlign w:val="center"/>
          </w:tcPr>
          <w:p w:rsidR="007D3D98" w:rsidRPr="0099713F" w:rsidRDefault="007D3D98" w:rsidP="00E0602C">
            <w:pPr>
              <w:pStyle w:val="144"/>
              <w:jc w:val="right"/>
              <w:rPr>
                <w:rFonts w:hint="eastAsia"/>
                <w:color w:val="000000"/>
                <w:szCs w:val="24"/>
              </w:rPr>
            </w:pPr>
            <w:r>
              <w:rPr>
                <w:rFonts w:hint="eastAsia"/>
                <w:color w:val="000000"/>
                <w:szCs w:val="24"/>
              </w:rPr>
              <w:t>13.4</w:t>
            </w:r>
          </w:p>
        </w:tc>
      </w:tr>
      <w:tr w:rsidR="007D3D98" w:rsidRPr="00D658E4" w:rsidTr="00B755CF">
        <w:trPr>
          <w:trHeight w:val="340"/>
        </w:trPr>
        <w:tc>
          <w:tcPr>
            <w:tcW w:w="1701" w:type="dxa"/>
            <w:shd w:val="clear" w:color="auto" w:fill="auto"/>
            <w:noWrap/>
            <w:vAlign w:val="center"/>
          </w:tcPr>
          <w:p w:rsidR="007D3D98" w:rsidRDefault="007D3D98" w:rsidP="0099713F">
            <w:pPr>
              <w:pStyle w:val="144"/>
              <w:jc w:val="center"/>
              <w:rPr>
                <w:rFonts w:hint="eastAsia"/>
              </w:rPr>
            </w:pPr>
            <w:r>
              <w:rPr>
                <w:rFonts w:hint="eastAsia"/>
              </w:rPr>
              <w:t>113乙1期</w:t>
            </w:r>
          </w:p>
        </w:tc>
        <w:tc>
          <w:tcPr>
            <w:tcW w:w="1276" w:type="dxa"/>
            <w:vAlign w:val="center"/>
          </w:tcPr>
          <w:p w:rsidR="007D3D98" w:rsidRDefault="007D3D98" w:rsidP="00E0602C">
            <w:pPr>
              <w:pStyle w:val="144"/>
              <w:jc w:val="center"/>
              <w:rPr>
                <w:rFonts w:hint="eastAsia"/>
              </w:rPr>
            </w:pPr>
            <w:r>
              <w:rPr>
                <w:rFonts w:hint="eastAsia"/>
              </w:rPr>
              <w:t>113.03.15</w:t>
            </w:r>
          </w:p>
        </w:tc>
        <w:tc>
          <w:tcPr>
            <w:tcW w:w="709" w:type="dxa"/>
            <w:vAlign w:val="center"/>
          </w:tcPr>
          <w:p w:rsidR="007D3D98" w:rsidRDefault="007D3D98" w:rsidP="00E0602C">
            <w:pPr>
              <w:pStyle w:val="144"/>
              <w:jc w:val="right"/>
              <w:rPr>
                <w:rFonts w:hint="eastAsia"/>
              </w:rPr>
            </w:pPr>
            <w:r>
              <w:rPr>
                <w:rFonts w:hint="eastAsia"/>
              </w:rPr>
              <w:t>2</w:t>
            </w:r>
          </w:p>
        </w:tc>
        <w:tc>
          <w:tcPr>
            <w:tcW w:w="709" w:type="dxa"/>
            <w:shd w:val="clear" w:color="auto" w:fill="auto"/>
            <w:noWrap/>
            <w:vAlign w:val="center"/>
          </w:tcPr>
          <w:p w:rsidR="007D3D98" w:rsidRDefault="007D3D98" w:rsidP="00E0602C">
            <w:pPr>
              <w:pStyle w:val="144"/>
              <w:jc w:val="right"/>
              <w:rPr>
                <w:rFonts w:hint="eastAsia"/>
              </w:rPr>
            </w:pPr>
            <w:r>
              <w:rPr>
                <w:rFonts w:hint="eastAsia"/>
              </w:rPr>
              <w:t>200</w:t>
            </w:r>
          </w:p>
        </w:tc>
        <w:tc>
          <w:tcPr>
            <w:tcW w:w="1842" w:type="dxa"/>
            <w:vAlign w:val="center"/>
          </w:tcPr>
          <w:p w:rsidR="007D3D98" w:rsidRDefault="007D3D98" w:rsidP="00E0602C">
            <w:pPr>
              <w:pStyle w:val="144"/>
              <w:jc w:val="right"/>
              <w:rPr>
                <w:rFonts w:hint="eastAsia"/>
              </w:rPr>
            </w:pPr>
            <w:r>
              <w:rPr>
                <w:rFonts w:hint="eastAsia"/>
              </w:rPr>
              <w:t>9.5</w:t>
            </w:r>
          </w:p>
        </w:tc>
        <w:tc>
          <w:tcPr>
            <w:tcW w:w="2268" w:type="dxa"/>
            <w:shd w:val="clear" w:color="auto" w:fill="auto"/>
            <w:noWrap/>
            <w:vAlign w:val="center"/>
          </w:tcPr>
          <w:p w:rsidR="007D3D98" w:rsidRPr="0099713F" w:rsidRDefault="007D3D98" w:rsidP="00E0602C">
            <w:pPr>
              <w:pStyle w:val="144"/>
              <w:jc w:val="right"/>
              <w:rPr>
                <w:rFonts w:hint="eastAsia"/>
                <w:color w:val="000000"/>
                <w:szCs w:val="24"/>
              </w:rPr>
            </w:pPr>
            <w:r>
              <w:rPr>
                <w:rFonts w:hint="eastAsia"/>
                <w:color w:val="000000"/>
                <w:szCs w:val="24"/>
              </w:rPr>
              <w:t>4.8</w:t>
            </w:r>
          </w:p>
        </w:tc>
      </w:tr>
      <w:tr w:rsidR="007D3D98" w:rsidRPr="00D658E4" w:rsidTr="00B755CF">
        <w:trPr>
          <w:trHeight w:val="340"/>
        </w:trPr>
        <w:tc>
          <w:tcPr>
            <w:tcW w:w="1701" w:type="dxa"/>
            <w:shd w:val="clear" w:color="auto" w:fill="auto"/>
            <w:noWrap/>
            <w:vAlign w:val="center"/>
          </w:tcPr>
          <w:p w:rsidR="007D3D98" w:rsidRPr="00D658E4" w:rsidRDefault="007D3D98" w:rsidP="004970E6">
            <w:pPr>
              <w:pStyle w:val="144"/>
              <w:jc w:val="center"/>
            </w:pPr>
            <w:r>
              <w:rPr>
                <w:rFonts w:hint="eastAsia"/>
              </w:rPr>
              <w:t>增額113甲4期</w:t>
            </w:r>
          </w:p>
        </w:tc>
        <w:tc>
          <w:tcPr>
            <w:tcW w:w="1276" w:type="dxa"/>
            <w:vAlign w:val="center"/>
          </w:tcPr>
          <w:p w:rsidR="007D3D98" w:rsidRDefault="007D3D98" w:rsidP="00E0602C">
            <w:pPr>
              <w:pStyle w:val="144"/>
              <w:jc w:val="center"/>
              <w:rPr>
                <w:rFonts w:hint="eastAsia"/>
              </w:rPr>
            </w:pPr>
            <w:r>
              <w:rPr>
                <w:rFonts w:hint="eastAsia"/>
              </w:rPr>
              <w:t>113.04.19</w:t>
            </w:r>
          </w:p>
        </w:tc>
        <w:tc>
          <w:tcPr>
            <w:tcW w:w="709" w:type="dxa"/>
            <w:vAlign w:val="center"/>
          </w:tcPr>
          <w:p w:rsidR="007D3D98" w:rsidRDefault="007D3D98" w:rsidP="00E0602C">
            <w:pPr>
              <w:pStyle w:val="144"/>
              <w:jc w:val="right"/>
              <w:rPr>
                <w:rFonts w:hint="eastAsia"/>
              </w:rPr>
            </w:pPr>
            <w:r>
              <w:rPr>
                <w:rFonts w:hint="eastAsia"/>
              </w:rPr>
              <w:t>10</w:t>
            </w:r>
          </w:p>
        </w:tc>
        <w:tc>
          <w:tcPr>
            <w:tcW w:w="709" w:type="dxa"/>
            <w:shd w:val="clear" w:color="auto" w:fill="auto"/>
            <w:noWrap/>
            <w:vAlign w:val="center"/>
          </w:tcPr>
          <w:p w:rsidR="007D3D98" w:rsidRPr="00D658E4" w:rsidRDefault="007D3D98" w:rsidP="00E0602C">
            <w:pPr>
              <w:pStyle w:val="144"/>
              <w:jc w:val="right"/>
            </w:pPr>
            <w:r>
              <w:rPr>
                <w:rFonts w:hint="eastAsia"/>
              </w:rPr>
              <w:t>350</w:t>
            </w:r>
          </w:p>
        </w:tc>
        <w:tc>
          <w:tcPr>
            <w:tcW w:w="1842" w:type="dxa"/>
            <w:vAlign w:val="center"/>
          </w:tcPr>
          <w:p w:rsidR="007D3D98" w:rsidRDefault="007D3D98" w:rsidP="00E0602C">
            <w:pPr>
              <w:pStyle w:val="144"/>
              <w:jc w:val="right"/>
              <w:rPr>
                <w:rFonts w:hint="eastAsia"/>
              </w:rPr>
            </w:pPr>
            <w:r>
              <w:rPr>
                <w:rFonts w:hint="eastAsia"/>
              </w:rPr>
              <w:t>52.496</w:t>
            </w:r>
          </w:p>
        </w:tc>
        <w:tc>
          <w:tcPr>
            <w:tcW w:w="2268" w:type="dxa"/>
            <w:shd w:val="clear" w:color="auto" w:fill="auto"/>
            <w:noWrap/>
            <w:vAlign w:val="center"/>
          </w:tcPr>
          <w:p w:rsidR="007D3D98" w:rsidRPr="00F87D75" w:rsidRDefault="007D3D98" w:rsidP="00E0602C">
            <w:pPr>
              <w:pStyle w:val="144"/>
              <w:jc w:val="right"/>
              <w:rPr>
                <w:color w:val="000000"/>
                <w:szCs w:val="24"/>
              </w:rPr>
            </w:pPr>
            <w:r>
              <w:rPr>
                <w:rFonts w:hint="eastAsia"/>
                <w:color w:val="000000"/>
                <w:szCs w:val="24"/>
              </w:rPr>
              <w:t>15.0</w:t>
            </w:r>
          </w:p>
        </w:tc>
      </w:tr>
      <w:tr w:rsidR="007D3D98" w:rsidRPr="00D658E4" w:rsidTr="00B755CF">
        <w:trPr>
          <w:trHeight w:val="340"/>
        </w:trPr>
        <w:tc>
          <w:tcPr>
            <w:tcW w:w="1701" w:type="dxa"/>
            <w:shd w:val="clear" w:color="auto" w:fill="auto"/>
            <w:noWrap/>
            <w:vAlign w:val="center"/>
          </w:tcPr>
          <w:p w:rsidR="007D3D98" w:rsidRPr="00D658E4" w:rsidRDefault="007D3D98" w:rsidP="0099713F">
            <w:pPr>
              <w:pStyle w:val="144"/>
              <w:jc w:val="center"/>
            </w:pPr>
            <w:r>
              <w:rPr>
                <w:rFonts w:hint="eastAsia"/>
              </w:rPr>
              <w:t>113甲5期</w:t>
            </w:r>
          </w:p>
        </w:tc>
        <w:tc>
          <w:tcPr>
            <w:tcW w:w="1276" w:type="dxa"/>
            <w:vAlign w:val="center"/>
          </w:tcPr>
          <w:p w:rsidR="007D3D98" w:rsidRPr="00D658E4" w:rsidRDefault="007D3D98" w:rsidP="00E0602C">
            <w:pPr>
              <w:pStyle w:val="144"/>
              <w:jc w:val="center"/>
            </w:pPr>
            <w:r>
              <w:rPr>
                <w:rFonts w:hint="eastAsia"/>
              </w:rPr>
              <w:t>113.04.25</w:t>
            </w:r>
          </w:p>
        </w:tc>
        <w:tc>
          <w:tcPr>
            <w:tcW w:w="709" w:type="dxa"/>
            <w:vAlign w:val="center"/>
          </w:tcPr>
          <w:p w:rsidR="007D3D98" w:rsidRDefault="007D3D98" w:rsidP="00E0602C">
            <w:pPr>
              <w:pStyle w:val="144"/>
              <w:jc w:val="right"/>
              <w:rPr>
                <w:rFonts w:hint="eastAsia"/>
              </w:rPr>
            </w:pPr>
            <w:r>
              <w:rPr>
                <w:rFonts w:hint="eastAsia"/>
              </w:rPr>
              <w:t>5</w:t>
            </w:r>
          </w:p>
        </w:tc>
        <w:tc>
          <w:tcPr>
            <w:tcW w:w="709" w:type="dxa"/>
            <w:shd w:val="clear" w:color="auto" w:fill="auto"/>
            <w:noWrap/>
            <w:vAlign w:val="center"/>
          </w:tcPr>
          <w:p w:rsidR="007D3D98" w:rsidRPr="00D658E4" w:rsidRDefault="007D3D98" w:rsidP="00E0602C">
            <w:pPr>
              <w:pStyle w:val="144"/>
              <w:jc w:val="right"/>
            </w:pPr>
            <w:r>
              <w:rPr>
                <w:rFonts w:hint="eastAsia"/>
              </w:rPr>
              <w:t>300</w:t>
            </w:r>
          </w:p>
        </w:tc>
        <w:tc>
          <w:tcPr>
            <w:tcW w:w="1842" w:type="dxa"/>
            <w:vAlign w:val="center"/>
          </w:tcPr>
          <w:p w:rsidR="007D3D98" w:rsidRDefault="007D3D98" w:rsidP="00E0602C">
            <w:pPr>
              <w:pStyle w:val="144"/>
              <w:jc w:val="right"/>
              <w:rPr>
                <w:rFonts w:hint="eastAsia"/>
              </w:rPr>
            </w:pPr>
            <w:r>
              <w:rPr>
                <w:rFonts w:hint="eastAsia"/>
              </w:rPr>
              <w:t>20</w:t>
            </w:r>
          </w:p>
        </w:tc>
        <w:tc>
          <w:tcPr>
            <w:tcW w:w="2268" w:type="dxa"/>
            <w:shd w:val="clear" w:color="auto" w:fill="auto"/>
            <w:noWrap/>
            <w:vAlign w:val="center"/>
          </w:tcPr>
          <w:p w:rsidR="007D3D98" w:rsidRPr="00F87D75" w:rsidRDefault="007D3D98" w:rsidP="00E0602C">
            <w:pPr>
              <w:pStyle w:val="144"/>
              <w:jc w:val="right"/>
              <w:rPr>
                <w:color w:val="000000"/>
                <w:szCs w:val="24"/>
              </w:rPr>
            </w:pPr>
            <w:r>
              <w:rPr>
                <w:rFonts w:hint="eastAsia"/>
                <w:color w:val="000000"/>
                <w:szCs w:val="24"/>
              </w:rPr>
              <w:t>6.7</w:t>
            </w:r>
          </w:p>
        </w:tc>
      </w:tr>
      <w:tr w:rsidR="007D3D98" w:rsidRPr="00D658E4" w:rsidTr="00B755CF">
        <w:trPr>
          <w:trHeight w:val="340"/>
        </w:trPr>
        <w:tc>
          <w:tcPr>
            <w:tcW w:w="1701" w:type="dxa"/>
            <w:shd w:val="clear" w:color="auto" w:fill="auto"/>
            <w:noWrap/>
            <w:vAlign w:val="center"/>
          </w:tcPr>
          <w:p w:rsidR="007D3D98" w:rsidRPr="00D658E4" w:rsidRDefault="007D3D98" w:rsidP="0099713F">
            <w:pPr>
              <w:pStyle w:val="144"/>
              <w:jc w:val="center"/>
            </w:pPr>
            <w:r>
              <w:rPr>
                <w:rFonts w:hint="eastAsia"/>
              </w:rPr>
              <w:t>113乙2期</w:t>
            </w:r>
          </w:p>
        </w:tc>
        <w:tc>
          <w:tcPr>
            <w:tcW w:w="1276" w:type="dxa"/>
            <w:vAlign w:val="center"/>
          </w:tcPr>
          <w:p w:rsidR="007D3D98" w:rsidRPr="00D658E4" w:rsidRDefault="007D3D98" w:rsidP="00E0602C">
            <w:pPr>
              <w:pStyle w:val="144"/>
              <w:jc w:val="center"/>
            </w:pPr>
            <w:r>
              <w:rPr>
                <w:rFonts w:hint="eastAsia"/>
              </w:rPr>
              <w:t>113.05.10</w:t>
            </w:r>
          </w:p>
        </w:tc>
        <w:tc>
          <w:tcPr>
            <w:tcW w:w="709" w:type="dxa"/>
            <w:vAlign w:val="center"/>
          </w:tcPr>
          <w:p w:rsidR="007D3D98" w:rsidRDefault="007D3D98" w:rsidP="00E0602C">
            <w:pPr>
              <w:pStyle w:val="144"/>
              <w:jc w:val="right"/>
              <w:rPr>
                <w:rFonts w:hint="eastAsia"/>
              </w:rPr>
            </w:pPr>
            <w:r>
              <w:rPr>
                <w:rFonts w:hint="eastAsia"/>
              </w:rPr>
              <w:t>10</w:t>
            </w:r>
          </w:p>
        </w:tc>
        <w:tc>
          <w:tcPr>
            <w:tcW w:w="709" w:type="dxa"/>
            <w:shd w:val="clear" w:color="auto" w:fill="auto"/>
            <w:noWrap/>
            <w:vAlign w:val="center"/>
          </w:tcPr>
          <w:p w:rsidR="007D3D98" w:rsidRPr="00D658E4" w:rsidRDefault="007D3D98" w:rsidP="00E0602C">
            <w:pPr>
              <w:pStyle w:val="144"/>
              <w:jc w:val="right"/>
            </w:pPr>
            <w:r>
              <w:rPr>
                <w:rFonts w:hint="eastAsia"/>
              </w:rPr>
              <w:t>80</w:t>
            </w:r>
          </w:p>
        </w:tc>
        <w:tc>
          <w:tcPr>
            <w:tcW w:w="1842" w:type="dxa"/>
            <w:vAlign w:val="center"/>
          </w:tcPr>
          <w:p w:rsidR="007D3D98" w:rsidRDefault="007D3D98" w:rsidP="00E0602C">
            <w:pPr>
              <w:pStyle w:val="144"/>
              <w:jc w:val="right"/>
              <w:rPr>
                <w:rFonts w:hint="eastAsia"/>
              </w:rPr>
            </w:pPr>
            <w:r>
              <w:rPr>
                <w:rFonts w:hint="eastAsia"/>
              </w:rPr>
              <w:t>10</w:t>
            </w:r>
          </w:p>
        </w:tc>
        <w:tc>
          <w:tcPr>
            <w:tcW w:w="2268" w:type="dxa"/>
            <w:shd w:val="clear" w:color="auto" w:fill="auto"/>
            <w:noWrap/>
            <w:vAlign w:val="center"/>
          </w:tcPr>
          <w:p w:rsidR="007D3D98" w:rsidRPr="00F87D75" w:rsidRDefault="007D3D98" w:rsidP="00E0602C">
            <w:pPr>
              <w:pStyle w:val="144"/>
              <w:jc w:val="right"/>
              <w:rPr>
                <w:color w:val="000000"/>
                <w:szCs w:val="24"/>
              </w:rPr>
            </w:pPr>
            <w:r>
              <w:rPr>
                <w:rFonts w:hint="eastAsia"/>
                <w:color w:val="000000"/>
                <w:szCs w:val="24"/>
              </w:rPr>
              <w:t>12.5</w:t>
            </w:r>
          </w:p>
        </w:tc>
      </w:tr>
      <w:tr w:rsidR="007D3D98" w:rsidRPr="00D658E4" w:rsidTr="00B755CF">
        <w:trPr>
          <w:trHeight w:val="340"/>
        </w:trPr>
        <w:tc>
          <w:tcPr>
            <w:tcW w:w="1701" w:type="dxa"/>
            <w:shd w:val="clear" w:color="auto" w:fill="auto"/>
            <w:noWrap/>
            <w:vAlign w:val="center"/>
          </w:tcPr>
          <w:p w:rsidR="007D3D98" w:rsidRPr="00D658E4" w:rsidRDefault="007D3D98" w:rsidP="004970E6">
            <w:pPr>
              <w:pStyle w:val="144"/>
              <w:jc w:val="center"/>
            </w:pPr>
            <w:r>
              <w:rPr>
                <w:rFonts w:hint="eastAsia"/>
              </w:rPr>
              <w:t>113甲6期</w:t>
            </w:r>
          </w:p>
        </w:tc>
        <w:tc>
          <w:tcPr>
            <w:tcW w:w="1276" w:type="dxa"/>
            <w:vAlign w:val="center"/>
          </w:tcPr>
          <w:p w:rsidR="007D3D98" w:rsidRPr="00D658E4" w:rsidRDefault="007D3D98" w:rsidP="00E0602C">
            <w:pPr>
              <w:pStyle w:val="144"/>
              <w:jc w:val="center"/>
            </w:pPr>
            <w:r>
              <w:rPr>
                <w:rFonts w:hint="eastAsia"/>
              </w:rPr>
              <w:t>113.05.24</w:t>
            </w:r>
          </w:p>
        </w:tc>
        <w:tc>
          <w:tcPr>
            <w:tcW w:w="709" w:type="dxa"/>
            <w:vAlign w:val="center"/>
          </w:tcPr>
          <w:p w:rsidR="007D3D98" w:rsidRDefault="007D3D98" w:rsidP="00E0602C">
            <w:pPr>
              <w:pStyle w:val="144"/>
              <w:jc w:val="right"/>
              <w:rPr>
                <w:rFonts w:hint="eastAsia"/>
              </w:rPr>
            </w:pPr>
            <w:r>
              <w:rPr>
                <w:rFonts w:hint="eastAsia"/>
              </w:rPr>
              <w:t>30</w:t>
            </w:r>
          </w:p>
        </w:tc>
        <w:tc>
          <w:tcPr>
            <w:tcW w:w="709" w:type="dxa"/>
            <w:shd w:val="clear" w:color="auto" w:fill="auto"/>
            <w:noWrap/>
            <w:vAlign w:val="center"/>
          </w:tcPr>
          <w:p w:rsidR="007D3D98" w:rsidRPr="00D658E4" w:rsidRDefault="007D3D98" w:rsidP="00E0602C">
            <w:pPr>
              <w:pStyle w:val="144"/>
              <w:jc w:val="right"/>
            </w:pPr>
            <w:r>
              <w:rPr>
                <w:rFonts w:hint="eastAsia"/>
              </w:rPr>
              <w:t>250</w:t>
            </w:r>
          </w:p>
        </w:tc>
        <w:tc>
          <w:tcPr>
            <w:tcW w:w="1842" w:type="dxa"/>
            <w:vAlign w:val="center"/>
          </w:tcPr>
          <w:p w:rsidR="007D3D98" w:rsidRDefault="007D3D98" w:rsidP="00E0602C">
            <w:pPr>
              <w:pStyle w:val="144"/>
              <w:jc w:val="right"/>
              <w:rPr>
                <w:rFonts w:hint="eastAsia"/>
              </w:rPr>
            </w:pPr>
            <w:r>
              <w:rPr>
                <w:rFonts w:hint="eastAsia"/>
              </w:rPr>
              <w:t>24</w:t>
            </w:r>
          </w:p>
        </w:tc>
        <w:tc>
          <w:tcPr>
            <w:tcW w:w="2268" w:type="dxa"/>
            <w:shd w:val="clear" w:color="auto" w:fill="auto"/>
            <w:noWrap/>
            <w:vAlign w:val="center"/>
          </w:tcPr>
          <w:p w:rsidR="007D3D98" w:rsidRPr="00F87D75" w:rsidRDefault="007D3D98" w:rsidP="00E0602C">
            <w:pPr>
              <w:pStyle w:val="144"/>
              <w:jc w:val="right"/>
              <w:rPr>
                <w:color w:val="000000"/>
                <w:szCs w:val="24"/>
              </w:rPr>
            </w:pPr>
            <w:r>
              <w:rPr>
                <w:rFonts w:hint="eastAsia"/>
                <w:color w:val="000000"/>
                <w:szCs w:val="24"/>
              </w:rPr>
              <w:t>9.6</w:t>
            </w:r>
          </w:p>
        </w:tc>
      </w:tr>
      <w:tr w:rsidR="007B6E2F" w:rsidRPr="00D658E4" w:rsidTr="00B755CF">
        <w:trPr>
          <w:trHeight w:val="340"/>
        </w:trPr>
        <w:tc>
          <w:tcPr>
            <w:tcW w:w="1701" w:type="dxa"/>
            <w:shd w:val="clear" w:color="auto" w:fill="auto"/>
            <w:noWrap/>
            <w:vAlign w:val="center"/>
          </w:tcPr>
          <w:p w:rsidR="007B6E2F" w:rsidRDefault="007B6E2F" w:rsidP="004970E6">
            <w:pPr>
              <w:pStyle w:val="144"/>
              <w:jc w:val="center"/>
              <w:rPr>
                <w:rFonts w:hint="eastAsia"/>
              </w:rPr>
            </w:pPr>
            <w:r>
              <w:rPr>
                <w:rFonts w:hint="eastAsia"/>
              </w:rPr>
              <w:t>113甲7期</w:t>
            </w:r>
          </w:p>
        </w:tc>
        <w:tc>
          <w:tcPr>
            <w:tcW w:w="1276" w:type="dxa"/>
            <w:vAlign w:val="center"/>
          </w:tcPr>
          <w:p w:rsidR="007B6E2F" w:rsidRDefault="007B6E2F" w:rsidP="00E0602C">
            <w:pPr>
              <w:pStyle w:val="144"/>
              <w:jc w:val="center"/>
              <w:rPr>
                <w:rFonts w:hint="eastAsia"/>
              </w:rPr>
            </w:pPr>
            <w:r>
              <w:rPr>
                <w:rFonts w:hint="eastAsia"/>
              </w:rPr>
              <w:t>113.06.21</w:t>
            </w:r>
          </w:p>
        </w:tc>
        <w:tc>
          <w:tcPr>
            <w:tcW w:w="709" w:type="dxa"/>
            <w:vAlign w:val="center"/>
          </w:tcPr>
          <w:p w:rsidR="007B6E2F" w:rsidRDefault="007B6E2F" w:rsidP="00E0602C">
            <w:pPr>
              <w:pStyle w:val="144"/>
              <w:jc w:val="right"/>
              <w:rPr>
                <w:rFonts w:hint="eastAsia"/>
              </w:rPr>
            </w:pPr>
            <w:r>
              <w:rPr>
                <w:rFonts w:hint="eastAsia"/>
              </w:rPr>
              <w:t>10</w:t>
            </w:r>
          </w:p>
        </w:tc>
        <w:tc>
          <w:tcPr>
            <w:tcW w:w="709" w:type="dxa"/>
            <w:shd w:val="clear" w:color="auto" w:fill="auto"/>
            <w:noWrap/>
            <w:vAlign w:val="center"/>
          </w:tcPr>
          <w:p w:rsidR="007B6E2F" w:rsidRDefault="007B6E2F" w:rsidP="00E0602C">
            <w:pPr>
              <w:pStyle w:val="144"/>
              <w:jc w:val="right"/>
              <w:rPr>
                <w:rFonts w:hint="eastAsia"/>
              </w:rPr>
            </w:pPr>
            <w:r>
              <w:rPr>
                <w:rFonts w:hint="eastAsia"/>
              </w:rPr>
              <w:t>350</w:t>
            </w:r>
          </w:p>
        </w:tc>
        <w:tc>
          <w:tcPr>
            <w:tcW w:w="1842" w:type="dxa"/>
            <w:vAlign w:val="center"/>
          </w:tcPr>
          <w:p w:rsidR="007B6E2F" w:rsidRDefault="007B6E2F" w:rsidP="00E0602C">
            <w:pPr>
              <w:pStyle w:val="144"/>
              <w:jc w:val="right"/>
              <w:rPr>
                <w:rFonts w:hint="eastAsia"/>
              </w:rPr>
            </w:pPr>
            <w:r>
              <w:rPr>
                <w:rFonts w:hint="eastAsia"/>
              </w:rPr>
              <w:t>63</w:t>
            </w:r>
          </w:p>
        </w:tc>
        <w:tc>
          <w:tcPr>
            <w:tcW w:w="2268" w:type="dxa"/>
            <w:shd w:val="clear" w:color="auto" w:fill="auto"/>
            <w:noWrap/>
            <w:vAlign w:val="center"/>
          </w:tcPr>
          <w:p w:rsidR="007B6E2F" w:rsidRDefault="007B6E2F" w:rsidP="00E0602C">
            <w:pPr>
              <w:pStyle w:val="144"/>
              <w:jc w:val="right"/>
              <w:rPr>
                <w:rFonts w:hint="eastAsia"/>
                <w:color w:val="000000"/>
                <w:szCs w:val="24"/>
              </w:rPr>
            </w:pPr>
            <w:r>
              <w:rPr>
                <w:rFonts w:hint="eastAsia"/>
                <w:color w:val="000000"/>
                <w:szCs w:val="24"/>
              </w:rPr>
              <w:t>18.0</w:t>
            </w:r>
          </w:p>
        </w:tc>
      </w:tr>
      <w:tr w:rsidR="00091F95" w:rsidRPr="00D658E4" w:rsidTr="00B755CF">
        <w:trPr>
          <w:trHeight w:val="340"/>
        </w:trPr>
        <w:tc>
          <w:tcPr>
            <w:tcW w:w="3686" w:type="dxa"/>
            <w:gridSpan w:val="3"/>
            <w:shd w:val="clear" w:color="auto" w:fill="auto"/>
            <w:noWrap/>
            <w:vAlign w:val="center"/>
          </w:tcPr>
          <w:p w:rsidR="00091F95" w:rsidRPr="00D658E4" w:rsidRDefault="00091F95" w:rsidP="00091F95">
            <w:pPr>
              <w:pStyle w:val="144"/>
              <w:jc w:val="center"/>
            </w:pPr>
            <w:r>
              <w:rPr>
                <w:rFonts w:hint="eastAsia"/>
              </w:rPr>
              <w:t>合     計</w:t>
            </w:r>
          </w:p>
        </w:tc>
        <w:tc>
          <w:tcPr>
            <w:tcW w:w="709" w:type="dxa"/>
            <w:shd w:val="clear" w:color="auto" w:fill="auto"/>
            <w:noWrap/>
            <w:vAlign w:val="center"/>
          </w:tcPr>
          <w:p w:rsidR="00091F95" w:rsidRPr="00D658E4" w:rsidRDefault="007B6E2F" w:rsidP="00E0602C">
            <w:pPr>
              <w:pStyle w:val="144"/>
              <w:jc w:val="right"/>
            </w:pPr>
            <w:r>
              <w:rPr>
                <w:rFonts w:hint="eastAsia"/>
              </w:rPr>
              <w:t>3</w:t>
            </w:r>
            <w:r w:rsidR="00091F95">
              <w:t>,</w:t>
            </w:r>
            <w:r>
              <w:rPr>
                <w:rFonts w:hint="eastAsia"/>
              </w:rPr>
              <w:t>13</w:t>
            </w:r>
            <w:r w:rsidR="00091F95">
              <w:t>0</w:t>
            </w:r>
          </w:p>
        </w:tc>
        <w:tc>
          <w:tcPr>
            <w:tcW w:w="1842" w:type="dxa"/>
            <w:vAlign w:val="center"/>
          </w:tcPr>
          <w:p w:rsidR="00091F95" w:rsidRDefault="00091F95" w:rsidP="00E0602C">
            <w:pPr>
              <w:pStyle w:val="144"/>
              <w:jc w:val="right"/>
              <w:rPr>
                <w:rFonts w:hint="eastAsia"/>
              </w:rPr>
            </w:pPr>
            <w:r>
              <w:t>4</w:t>
            </w:r>
            <w:r w:rsidR="007B6E2F">
              <w:rPr>
                <w:rFonts w:hint="eastAsia"/>
              </w:rPr>
              <w:t>07.</w:t>
            </w:r>
            <w:r>
              <w:t>494</w:t>
            </w:r>
          </w:p>
        </w:tc>
        <w:tc>
          <w:tcPr>
            <w:tcW w:w="2268" w:type="dxa"/>
            <w:shd w:val="clear" w:color="auto" w:fill="auto"/>
            <w:noWrap/>
            <w:vAlign w:val="center"/>
          </w:tcPr>
          <w:p w:rsidR="00091F95" w:rsidRPr="003A00B5" w:rsidRDefault="00091F95" w:rsidP="00E0602C">
            <w:pPr>
              <w:pStyle w:val="144"/>
              <w:jc w:val="right"/>
              <w:rPr>
                <w:rFonts w:hint="eastAsia"/>
              </w:rPr>
            </w:pPr>
            <w:r>
              <w:rPr>
                <w:rFonts w:hint="eastAsia"/>
              </w:rPr>
              <w:t>1</w:t>
            </w:r>
            <w:r w:rsidR="00AB7E77">
              <w:rPr>
                <w:rFonts w:hint="eastAsia"/>
              </w:rPr>
              <w:t>3.0</w:t>
            </w:r>
          </w:p>
        </w:tc>
      </w:tr>
    </w:tbl>
    <w:p w:rsidR="00D658E4" w:rsidRDefault="00891801" w:rsidP="00742591">
      <w:pPr>
        <w:pStyle w:val="144"/>
        <w:ind w:left="278" w:hangingChars="114" w:hanging="278"/>
        <w:rPr>
          <w:rFonts w:hAnsi="標楷體"/>
        </w:rPr>
      </w:pPr>
      <w:r w:rsidRPr="00F77F04">
        <w:rPr>
          <w:rFonts w:hAnsi="標楷體" w:hint="eastAsia"/>
        </w:rPr>
        <w:t>資料來源</w:t>
      </w:r>
      <w:r w:rsidR="007D3D98">
        <w:rPr>
          <w:rFonts w:hAnsi="標楷體" w:hint="eastAsia"/>
        </w:rPr>
        <w:t>：</w:t>
      </w:r>
      <w:r w:rsidR="008D2AB8">
        <w:rPr>
          <w:rFonts w:hAnsi="標楷體" w:hint="eastAsia"/>
        </w:rPr>
        <w:t>櫃買中心</w:t>
      </w:r>
      <w:r w:rsidRPr="00F77F04">
        <w:rPr>
          <w:rFonts w:hAnsi="標楷體" w:hint="eastAsia"/>
        </w:rPr>
        <w:t>。</w:t>
      </w:r>
    </w:p>
    <w:p w:rsidR="00907D7D" w:rsidRDefault="00E7390D" w:rsidP="00E7390D">
      <w:pPr>
        <w:pStyle w:val="a4"/>
        <w:ind w:left="851" w:hanging="284"/>
        <w:rPr>
          <w:b/>
        </w:rPr>
      </w:pPr>
      <w:r>
        <w:rPr>
          <w:rFonts w:hint="eastAsia"/>
          <w:b/>
        </w:rPr>
        <w:t>(</w:t>
      </w:r>
      <w:r w:rsidR="00E15B2F">
        <w:rPr>
          <w:rFonts w:hint="eastAsia"/>
          <w:b/>
        </w:rPr>
        <w:t>二</w:t>
      </w:r>
      <w:r>
        <w:rPr>
          <w:rFonts w:hint="eastAsia"/>
          <w:b/>
        </w:rPr>
        <w:t>)</w:t>
      </w:r>
      <w:r w:rsidRPr="00E7390D">
        <w:rPr>
          <w:rFonts w:hint="eastAsia"/>
          <w:b/>
        </w:rPr>
        <w:t>小額投資人申購</w:t>
      </w:r>
      <w:r w:rsidR="00B755CF">
        <w:rPr>
          <w:rFonts w:hint="eastAsia"/>
          <w:b/>
        </w:rPr>
        <w:t>公債</w:t>
      </w:r>
      <w:r w:rsidRPr="00E7390D">
        <w:rPr>
          <w:rFonts w:hint="eastAsia"/>
          <w:b/>
        </w:rPr>
        <w:t>意願</w:t>
      </w:r>
      <w:r w:rsidR="009147AA">
        <w:rPr>
          <w:rFonts w:hint="eastAsia"/>
          <w:b/>
        </w:rPr>
        <w:t>有</w:t>
      </w:r>
      <w:r w:rsidRPr="00E7390D">
        <w:rPr>
          <w:rFonts w:hint="eastAsia"/>
          <w:b/>
        </w:rPr>
        <w:t>待提升</w:t>
      </w:r>
    </w:p>
    <w:p w:rsidR="00E7390D" w:rsidRDefault="00E7390D" w:rsidP="00E7390D">
      <w:pPr>
        <w:pStyle w:val="123"/>
        <w:ind w:left="1133" w:hanging="283"/>
      </w:pPr>
      <w:r>
        <w:rPr>
          <w:rFonts w:hint="eastAsia"/>
        </w:rPr>
        <w:t>1.</w:t>
      </w:r>
      <w:r w:rsidR="00B755CF">
        <w:rPr>
          <w:rFonts w:hint="eastAsia"/>
        </w:rPr>
        <w:t>依據財政部公債發行公告，中央政府建設公債</w:t>
      </w:r>
      <w:r>
        <w:rPr>
          <w:rFonts w:hint="eastAsia"/>
        </w:rPr>
        <w:t>除</w:t>
      </w:r>
      <w:r w:rsidRPr="00157CC0">
        <w:rPr>
          <w:rFonts w:hint="eastAsia"/>
        </w:rPr>
        <w:t>中央公債交易商</w:t>
      </w:r>
      <w:r>
        <w:rPr>
          <w:rFonts w:hint="eastAsia"/>
        </w:rPr>
        <w:t>得參與公債標售外，小額投資人亦可透過中華郵政股份有限公司及臺灣證券交易所進行申購，每期公債發行公告均明訂發行數額之2%可供小額投資人申購。由中華郵政股份有限公司受託及轉委託臺灣證券交易所代售予小額投資人，目前全國計141處郵局提供代售公債之服務，小額投資人申購數額以10萬元以上、150萬元以下為限。</w:t>
      </w:r>
    </w:p>
    <w:p w:rsidR="00302662" w:rsidRDefault="00E7390D" w:rsidP="00302662">
      <w:pPr>
        <w:pStyle w:val="123"/>
        <w:ind w:left="1133" w:hanging="283"/>
      </w:pPr>
      <w:r>
        <w:rPr>
          <w:rFonts w:hint="eastAsia"/>
        </w:rPr>
        <w:t>2.</w:t>
      </w:r>
      <w:r w:rsidR="00B755CF">
        <w:rPr>
          <w:rFonts w:hint="eastAsia"/>
        </w:rPr>
        <w:t>觀察</w:t>
      </w:r>
      <w:r w:rsidR="00302662">
        <w:rPr>
          <w:rFonts w:hint="eastAsia"/>
        </w:rPr>
        <w:t>近6年公債公告發行</w:t>
      </w:r>
      <w:r w:rsidR="00B755CF">
        <w:rPr>
          <w:rFonts w:hint="eastAsia"/>
        </w:rPr>
        <w:t>數</w:t>
      </w:r>
      <w:r w:rsidR="00302662">
        <w:rPr>
          <w:rFonts w:hint="eastAsia"/>
        </w:rPr>
        <w:t>額介於</w:t>
      </w:r>
      <w:r w:rsidR="00BB05D3">
        <w:t>3</w:t>
      </w:r>
      <w:r w:rsidR="00302662">
        <w:rPr>
          <w:rFonts w:hint="eastAsia"/>
        </w:rPr>
        <w:t>,</w:t>
      </w:r>
      <w:r w:rsidR="00BB05D3">
        <w:t>55</w:t>
      </w:r>
      <w:r w:rsidR="00302662">
        <w:rPr>
          <w:rFonts w:hint="eastAsia"/>
        </w:rPr>
        <w:t>0億元至</w:t>
      </w:r>
      <w:r w:rsidR="00BB05D3">
        <w:rPr>
          <w:rFonts w:hint="eastAsia"/>
        </w:rPr>
        <w:t>6</w:t>
      </w:r>
      <w:r w:rsidR="00302662">
        <w:rPr>
          <w:rFonts w:hint="eastAsia"/>
        </w:rPr>
        <w:t>,</w:t>
      </w:r>
      <w:r w:rsidR="00BB05D3">
        <w:t>17</w:t>
      </w:r>
      <w:r w:rsidR="00302662">
        <w:rPr>
          <w:rFonts w:hint="eastAsia"/>
        </w:rPr>
        <w:t>0億元間</w:t>
      </w:r>
      <w:r w:rsidR="00F558B5">
        <w:rPr>
          <w:rFonts w:hint="eastAsia"/>
        </w:rPr>
        <w:t>(詳表</w:t>
      </w:r>
      <w:r w:rsidR="001F157A">
        <w:rPr>
          <w:rFonts w:hint="eastAsia"/>
        </w:rPr>
        <w:t>3-</w:t>
      </w:r>
      <w:r w:rsidR="00E15B2F">
        <w:rPr>
          <w:rFonts w:hint="eastAsia"/>
        </w:rPr>
        <w:t>1</w:t>
      </w:r>
      <w:r w:rsidR="001F157A">
        <w:rPr>
          <w:rFonts w:hint="eastAsia"/>
        </w:rPr>
        <w:t>-</w:t>
      </w:r>
      <w:r w:rsidR="00E15B2F">
        <w:rPr>
          <w:rFonts w:hint="eastAsia"/>
        </w:rPr>
        <w:t>3</w:t>
      </w:r>
      <w:r w:rsidR="00F558B5">
        <w:rPr>
          <w:rFonts w:hint="eastAsia"/>
        </w:rPr>
        <w:t>)，</w:t>
      </w:r>
      <w:r w:rsidR="00302662">
        <w:rPr>
          <w:rFonts w:hint="eastAsia"/>
        </w:rPr>
        <w:t>小額投資人至多可申購其中2%，</w:t>
      </w:r>
      <w:r w:rsidR="00BB05D3">
        <w:rPr>
          <w:rFonts w:hint="eastAsia"/>
        </w:rPr>
        <w:t>金額介於7</w:t>
      </w:r>
      <w:r w:rsidR="00BB05D3">
        <w:t>1</w:t>
      </w:r>
      <w:r w:rsidR="00302662">
        <w:rPr>
          <w:rFonts w:hint="eastAsia"/>
        </w:rPr>
        <w:t>億元</w:t>
      </w:r>
      <w:r w:rsidR="00BB05D3">
        <w:rPr>
          <w:rFonts w:hint="eastAsia"/>
        </w:rPr>
        <w:t>至123.4億元間</w:t>
      </w:r>
      <w:r w:rsidR="00302662">
        <w:rPr>
          <w:rFonts w:hint="eastAsia"/>
        </w:rPr>
        <w:t>，從該期間小額投資人申購公債數額以觀，分別為</w:t>
      </w:r>
      <w:r w:rsidR="00BB05D3">
        <w:rPr>
          <w:rFonts w:hint="eastAsia"/>
        </w:rPr>
        <w:t>9</w:t>
      </w:r>
      <w:r w:rsidR="00BB05D3">
        <w:t>50</w:t>
      </w:r>
      <w:r w:rsidR="00302662">
        <w:rPr>
          <w:rFonts w:hint="eastAsia"/>
        </w:rPr>
        <w:t>萬元、1,</w:t>
      </w:r>
      <w:r w:rsidR="00BB05D3">
        <w:t>180</w:t>
      </w:r>
      <w:r w:rsidR="00302662">
        <w:rPr>
          <w:rFonts w:hint="eastAsia"/>
        </w:rPr>
        <w:t>萬元、</w:t>
      </w:r>
      <w:r w:rsidR="00BB05D3">
        <w:rPr>
          <w:rFonts w:hint="eastAsia"/>
        </w:rPr>
        <w:t>1</w:t>
      </w:r>
      <w:r w:rsidR="00BB05D3">
        <w:t>,0</w:t>
      </w:r>
      <w:r w:rsidR="00302662">
        <w:rPr>
          <w:rFonts w:hint="eastAsia"/>
        </w:rPr>
        <w:t>50萬元、</w:t>
      </w:r>
      <w:r w:rsidR="00BB05D3">
        <w:rPr>
          <w:rFonts w:hint="eastAsia"/>
        </w:rPr>
        <w:t>4</w:t>
      </w:r>
      <w:r w:rsidR="00302662">
        <w:rPr>
          <w:rFonts w:hint="eastAsia"/>
        </w:rPr>
        <w:t>,</w:t>
      </w:r>
      <w:r w:rsidR="00BB05D3">
        <w:t>58</w:t>
      </w:r>
      <w:r w:rsidR="00302662">
        <w:rPr>
          <w:rFonts w:hint="eastAsia"/>
        </w:rPr>
        <w:t>0萬元、1,</w:t>
      </w:r>
      <w:r w:rsidR="00302662">
        <w:t>5</w:t>
      </w:r>
      <w:r w:rsidR="00BB05D3">
        <w:t>2</w:t>
      </w:r>
      <w:r w:rsidR="00302662">
        <w:t>0</w:t>
      </w:r>
      <w:r w:rsidR="00302662">
        <w:rPr>
          <w:rFonts w:hint="eastAsia"/>
        </w:rPr>
        <w:t>萬元及1</w:t>
      </w:r>
      <w:r w:rsidR="00302662">
        <w:t>,3</w:t>
      </w:r>
      <w:r w:rsidR="00BB05D3">
        <w:t>4</w:t>
      </w:r>
      <w:r w:rsidR="00302662">
        <w:t>0</w:t>
      </w:r>
      <w:r w:rsidR="00302662">
        <w:rPr>
          <w:rFonts w:hint="eastAsia"/>
        </w:rPr>
        <w:t>萬元，其占當年度</w:t>
      </w:r>
      <w:r w:rsidR="00302662" w:rsidRPr="00606708">
        <w:rPr>
          <w:rFonts w:hint="eastAsia"/>
        </w:rPr>
        <w:t>可申購最大</w:t>
      </w:r>
      <w:r w:rsidR="00302662" w:rsidRPr="008D3293">
        <w:rPr>
          <w:rFonts w:hint="eastAsia"/>
        </w:rPr>
        <w:t>數額之比率</w:t>
      </w:r>
      <w:r w:rsidR="00302662">
        <w:rPr>
          <w:rFonts w:hint="eastAsia"/>
        </w:rPr>
        <w:t>介於0.1%至0.3</w:t>
      </w:r>
      <w:r w:rsidR="00BB05D3">
        <w:t>7</w:t>
      </w:r>
      <w:r w:rsidR="00302662">
        <w:rPr>
          <w:rFonts w:hint="eastAsia"/>
        </w:rPr>
        <w:t>%間。</w:t>
      </w:r>
      <w:r w:rsidR="007E1E4F">
        <w:rPr>
          <w:rFonts w:hint="eastAsia"/>
        </w:rPr>
        <w:t>另</w:t>
      </w:r>
      <w:r w:rsidR="00302662" w:rsidRPr="00B25FC2">
        <w:rPr>
          <w:rFonts w:hint="eastAsia"/>
        </w:rPr>
        <w:t>11</w:t>
      </w:r>
      <w:r w:rsidR="009147AA">
        <w:rPr>
          <w:rFonts w:hint="eastAsia"/>
        </w:rPr>
        <w:t>3</w:t>
      </w:r>
      <w:r w:rsidR="00302662" w:rsidRPr="00B25FC2">
        <w:rPr>
          <w:rFonts w:hint="eastAsia"/>
        </w:rPr>
        <w:t>年</w:t>
      </w:r>
      <w:r w:rsidR="009147AA">
        <w:rPr>
          <w:rFonts w:hint="eastAsia"/>
        </w:rPr>
        <w:t>1</w:t>
      </w:r>
      <w:r w:rsidR="0020286A">
        <w:rPr>
          <w:rFonts w:hint="eastAsia"/>
        </w:rPr>
        <w:t>月</w:t>
      </w:r>
      <w:r w:rsidR="009147AA">
        <w:rPr>
          <w:rFonts w:hint="eastAsia"/>
        </w:rPr>
        <w:t>至</w:t>
      </w:r>
      <w:r w:rsidR="0020286A">
        <w:rPr>
          <w:rFonts w:hint="eastAsia"/>
        </w:rPr>
        <w:t>6</w:t>
      </w:r>
      <w:r w:rsidR="00302662" w:rsidRPr="00B25FC2">
        <w:rPr>
          <w:rFonts w:hint="eastAsia"/>
        </w:rPr>
        <w:t>月</w:t>
      </w:r>
      <w:r w:rsidR="00302662">
        <w:rPr>
          <w:rFonts w:hint="eastAsia"/>
        </w:rPr>
        <w:t>，</w:t>
      </w:r>
      <w:r w:rsidR="00302662" w:rsidRPr="00B25FC2">
        <w:rPr>
          <w:rFonts w:hint="eastAsia"/>
        </w:rPr>
        <w:t>小額投資人</w:t>
      </w:r>
      <w:r w:rsidR="00E6401C">
        <w:rPr>
          <w:rFonts w:hint="eastAsia"/>
        </w:rPr>
        <w:t>申購</w:t>
      </w:r>
      <w:r w:rsidR="00302662" w:rsidRPr="00B25FC2">
        <w:rPr>
          <w:rFonts w:hint="eastAsia"/>
        </w:rPr>
        <w:t>公債</w:t>
      </w:r>
      <w:r w:rsidR="00CA46F7">
        <w:rPr>
          <w:rFonts w:hint="eastAsia"/>
        </w:rPr>
        <w:t>數</w:t>
      </w:r>
      <w:r w:rsidR="009147AA">
        <w:rPr>
          <w:rFonts w:hint="eastAsia"/>
        </w:rPr>
        <w:t>額</w:t>
      </w:r>
      <w:r w:rsidR="00525D6A">
        <w:rPr>
          <w:rFonts w:hint="eastAsia"/>
        </w:rPr>
        <w:t>合計2</w:t>
      </w:r>
      <w:r w:rsidR="009147AA">
        <w:rPr>
          <w:rFonts w:hint="eastAsia"/>
        </w:rPr>
        <w:t>6</w:t>
      </w:r>
      <w:r w:rsidR="00302662">
        <w:t>0</w:t>
      </w:r>
      <w:r w:rsidR="00302662">
        <w:rPr>
          <w:rFonts w:hint="eastAsia"/>
        </w:rPr>
        <w:t>萬元，</w:t>
      </w:r>
      <w:r w:rsidR="00302662" w:rsidRPr="00B25FC2">
        <w:rPr>
          <w:rFonts w:hint="eastAsia"/>
        </w:rPr>
        <w:t>占可申購最大數額之比率</w:t>
      </w:r>
      <w:r w:rsidR="00CA46F7">
        <w:rPr>
          <w:rFonts w:hint="eastAsia"/>
        </w:rPr>
        <w:t>僅</w:t>
      </w:r>
      <w:r w:rsidR="00302662">
        <w:rPr>
          <w:rFonts w:hint="eastAsia"/>
        </w:rPr>
        <w:t>0.</w:t>
      </w:r>
      <w:r w:rsidR="009147AA">
        <w:rPr>
          <w:rFonts w:hint="eastAsia"/>
        </w:rPr>
        <w:t>0</w:t>
      </w:r>
      <w:r w:rsidR="00525D6A">
        <w:rPr>
          <w:rFonts w:hint="eastAsia"/>
        </w:rPr>
        <w:t>4</w:t>
      </w:r>
      <w:r w:rsidR="00302662">
        <w:rPr>
          <w:rFonts w:hint="eastAsia"/>
        </w:rPr>
        <w:t>%</w:t>
      </w:r>
      <w:r w:rsidR="00CA46F7">
        <w:rPr>
          <w:rFonts w:hint="eastAsia"/>
        </w:rPr>
        <w:t>，且</w:t>
      </w:r>
      <w:r w:rsidR="00534CEE">
        <w:rPr>
          <w:rFonts w:hint="eastAsia"/>
        </w:rPr>
        <w:t>該</w:t>
      </w:r>
      <w:r w:rsidR="00302662" w:rsidRPr="003E6B98">
        <w:rPr>
          <w:rFonts w:hint="eastAsia"/>
        </w:rPr>
        <w:t>比率自110年</w:t>
      </w:r>
      <w:r w:rsidR="00E15B2F">
        <w:rPr>
          <w:rFonts w:hint="eastAsia"/>
        </w:rPr>
        <w:t>達最高之0.37%後</w:t>
      </w:r>
      <w:r w:rsidR="00302662" w:rsidRPr="003E6B98">
        <w:rPr>
          <w:rFonts w:hint="eastAsia"/>
        </w:rPr>
        <w:t>概呈下降</w:t>
      </w:r>
      <w:r w:rsidR="00302662" w:rsidRPr="00C776D2">
        <w:rPr>
          <w:rFonts w:hint="eastAsia"/>
        </w:rPr>
        <w:t>，</w:t>
      </w:r>
      <w:r w:rsidR="0044253E">
        <w:rPr>
          <w:rFonts w:hint="eastAsia"/>
        </w:rPr>
        <w:t>111及112年度降為0.14%，</w:t>
      </w:r>
      <w:r w:rsidR="007F52B3">
        <w:rPr>
          <w:rFonts w:hint="eastAsia"/>
        </w:rPr>
        <w:t>113年度迄至6月底止僅0.04%，</w:t>
      </w:r>
      <w:r w:rsidR="0044253E">
        <w:rPr>
          <w:rFonts w:hint="eastAsia"/>
        </w:rPr>
        <w:t>顯示</w:t>
      </w:r>
      <w:r w:rsidR="00C776D2" w:rsidRPr="00C776D2">
        <w:rPr>
          <w:rFonts w:hint="eastAsia"/>
        </w:rPr>
        <w:t>申購意願有待提升，</w:t>
      </w:r>
      <w:r w:rsidR="00302662" w:rsidRPr="00C776D2">
        <w:rPr>
          <w:rFonts w:hint="eastAsia"/>
        </w:rPr>
        <w:t>允</w:t>
      </w:r>
      <w:r w:rsidR="00302662" w:rsidRPr="00303B67">
        <w:rPr>
          <w:rFonts w:hint="eastAsia"/>
        </w:rPr>
        <w:t>宜加強推廣</w:t>
      </w:r>
      <w:r w:rsidR="00302662">
        <w:rPr>
          <w:rFonts w:hint="eastAsia"/>
        </w:rPr>
        <w:t>。</w:t>
      </w:r>
    </w:p>
    <w:p w:rsidR="00302662" w:rsidRPr="00D658E4" w:rsidRDefault="00302662" w:rsidP="00E6401C">
      <w:pPr>
        <w:pStyle w:val="22"/>
        <w:spacing w:line="400" w:lineRule="exact"/>
        <w:ind w:leftChars="0" w:left="1334" w:hangingChars="470" w:hanging="1334"/>
        <w:rPr>
          <w:rFonts w:hint="eastAsia"/>
        </w:rPr>
      </w:pPr>
      <w:r w:rsidRPr="00C70176">
        <w:rPr>
          <w:rFonts w:hAnsi="標楷體" w:hint="eastAsia"/>
          <w:b/>
        </w:rPr>
        <w:t>表</w:t>
      </w:r>
      <w:r w:rsidR="00E15B2F">
        <w:rPr>
          <w:rFonts w:hAnsi="標楷體" w:hint="eastAsia"/>
          <w:b/>
        </w:rPr>
        <w:t>3-1-3</w:t>
      </w:r>
      <w:r>
        <w:rPr>
          <w:rFonts w:hAnsi="標楷體" w:hint="eastAsia"/>
          <w:b/>
        </w:rPr>
        <w:t xml:space="preserve">  </w:t>
      </w:r>
      <w:r w:rsidR="009147AA">
        <w:rPr>
          <w:rFonts w:hint="eastAsia"/>
          <w:b/>
        </w:rPr>
        <w:t>小額</w:t>
      </w:r>
      <w:r w:rsidR="009147AA" w:rsidRPr="00A236C7">
        <w:rPr>
          <w:rFonts w:hint="eastAsia"/>
          <w:b/>
        </w:rPr>
        <w:t>投資人</w:t>
      </w:r>
      <w:r w:rsidR="009147AA">
        <w:rPr>
          <w:rFonts w:hint="eastAsia"/>
          <w:b/>
        </w:rPr>
        <w:t>107至1</w:t>
      </w:r>
      <w:r w:rsidR="009147AA">
        <w:rPr>
          <w:b/>
        </w:rPr>
        <w:t>12</w:t>
      </w:r>
      <w:r w:rsidR="009147AA">
        <w:rPr>
          <w:rFonts w:hint="eastAsia"/>
          <w:b/>
        </w:rPr>
        <w:t>年度</w:t>
      </w:r>
      <w:r w:rsidR="00E6401C">
        <w:rPr>
          <w:rFonts w:hint="eastAsia"/>
          <w:b/>
        </w:rPr>
        <w:t>申購</w:t>
      </w:r>
      <w:r w:rsidR="009147AA" w:rsidRPr="00A236C7">
        <w:rPr>
          <w:rFonts w:hint="eastAsia"/>
          <w:b/>
        </w:rPr>
        <w:t>公債數額</w:t>
      </w:r>
      <w:r w:rsidR="009147AA">
        <w:rPr>
          <w:rFonts w:hint="eastAsia"/>
          <w:b/>
        </w:rPr>
        <w:t>及占當年度</w:t>
      </w:r>
      <w:r w:rsidR="009147AA" w:rsidRPr="000B5486">
        <w:rPr>
          <w:rFonts w:hint="eastAsia"/>
          <w:b/>
        </w:rPr>
        <w:t>可申購最大數額</w:t>
      </w:r>
      <w:r w:rsidR="009147AA">
        <w:rPr>
          <w:rFonts w:hint="eastAsia"/>
          <w:b/>
        </w:rPr>
        <w:t xml:space="preserve">之比率概況表  </w:t>
      </w:r>
      <w:r w:rsidR="00E6401C">
        <w:rPr>
          <w:rFonts w:hint="eastAsia"/>
          <w:b/>
        </w:rPr>
        <w:t xml:space="preserve">    </w:t>
      </w:r>
      <w:r w:rsidR="009147AA">
        <w:rPr>
          <w:rFonts w:hint="eastAsia"/>
          <w:b/>
        </w:rPr>
        <w:t xml:space="preserve">         </w:t>
      </w:r>
      <w:r w:rsidRPr="00396BE1">
        <w:rPr>
          <w:rFonts w:hint="eastAsia"/>
          <w:sz w:val="24"/>
          <w:szCs w:val="24"/>
        </w:rPr>
        <w:t>單位：新臺幣</w:t>
      </w:r>
      <w:r>
        <w:rPr>
          <w:rFonts w:hint="eastAsia"/>
          <w:sz w:val="24"/>
          <w:szCs w:val="24"/>
        </w:rPr>
        <w:t>億</w:t>
      </w:r>
      <w:r w:rsidRPr="00396BE1">
        <w:rPr>
          <w:rFonts w:hint="eastAsia"/>
          <w:sz w:val="24"/>
          <w:szCs w:val="24"/>
        </w:rPr>
        <w:t>元</w:t>
      </w:r>
      <w:r>
        <w:rPr>
          <w:rFonts w:hint="eastAsia"/>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842"/>
        <w:gridCol w:w="1843"/>
        <w:gridCol w:w="1843"/>
        <w:gridCol w:w="1843"/>
      </w:tblGrid>
      <w:tr w:rsidR="00302662" w:rsidRPr="00D658E4" w:rsidTr="007F52B3">
        <w:trPr>
          <w:trHeight w:val="312"/>
          <w:tblHeader/>
        </w:trPr>
        <w:tc>
          <w:tcPr>
            <w:tcW w:w="1134" w:type="dxa"/>
            <w:shd w:val="clear" w:color="auto" w:fill="auto"/>
            <w:noWrap/>
            <w:vAlign w:val="center"/>
          </w:tcPr>
          <w:p w:rsidR="00302662" w:rsidRPr="00302662" w:rsidRDefault="00302662" w:rsidP="00302662">
            <w:pPr>
              <w:pStyle w:val="144"/>
              <w:jc w:val="center"/>
              <w:rPr>
                <w:rFonts w:hint="eastAsia"/>
                <w:b/>
              </w:rPr>
            </w:pPr>
            <w:r w:rsidRPr="00302662">
              <w:rPr>
                <w:rFonts w:hint="eastAsia"/>
                <w:b/>
              </w:rPr>
              <w:t>年度</w:t>
            </w:r>
          </w:p>
        </w:tc>
        <w:tc>
          <w:tcPr>
            <w:tcW w:w="1842" w:type="dxa"/>
            <w:vAlign w:val="center"/>
          </w:tcPr>
          <w:p w:rsidR="00302662" w:rsidRPr="00302662" w:rsidRDefault="00302662" w:rsidP="00E6401C">
            <w:pPr>
              <w:pStyle w:val="144"/>
              <w:jc w:val="center"/>
              <w:rPr>
                <w:rFonts w:hint="eastAsia"/>
                <w:b/>
              </w:rPr>
            </w:pPr>
            <w:r w:rsidRPr="00302662">
              <w:rPr>
                <w:rFonts w:hint="eastAsia"/>
                <w:b/>
              </w:rPr>
              <w:t>當年度公債</w:t>
            </w:r>
            <w:r>
              <w:rPr>
                <w:rFonts w:hint="eastAsia"/>
                <w:b/>
              </w:rPr>
              <w:t>公告發行</w:t>
            </w:r>
            <w:r w:rsidR="00E6401C">
              <w:rPr>
                <w:rFonts w:hint="eastAsia"/>
                <w:b/>
              </w:rPr>
              <w:t>數</w:t>
            </w:r>
            <w:r w:rsidRPr="00302662">
              <w:rPr>
                <w:rFonts w:hint="eastAsia"/>
                <w:b/>
              </w:rPr>
              <w:t>額</w:t>
            </w:r>
          </w:p>
        </w:tc>
        <w:tc>
          <w:tcPr>
            <w:tcW w:w="1843" w:type="dxa"/>
            <w:vAlign w:val="center"/>
          </w:tcPr>
          <w:p w:rsidR="00302662" w:rsidRPr="00302662" w:rsidRDefault="00302662" w:rsidP="00302662">
            <w:pPr>
              <w:pStyle w:val="144"/>
              <w:jc w:val="center"/>
              <w:rPr>
                <w:rFonts w:hint="eastAsia"/>
                <w:b/>
              </w:rPr>
            </w:pPr>
            <w:r w:rsidRPr="002808B6">
              <w:rPr>
                <w:rFonts w:hint="eastAsia"/>
                <w:b/>
              </w:rPr>
              <w:t>小額投資人可申購之最大數額</w:t>
            </w:r>
          </w:p>
        </w:tc>
        <w:tc>
          <w:tcPr>
            <w:tcW w:w="1843" w:type="dxa"/>
            <w:vAlign w:val="center"/>
          </w:tcPr>
          <w:p w:rsidR="00302662" w:rsidRPr="00302662" w:rsidRDefault="00302662" w:rsidP="00302662">
            <w:pPr>
              <w:pStyle w:val="144"/>
              <w:jc w:val="center"/>
              <w:rPr>
                <w:rFonts w:hint="eastAsia"/>
                <w:b/>
              </w:rPr>
            </w:pPr>
            <w:r w:rsidRPr="00302662">
              <w:rPr>
                <w:rFonts w:hint="eastAsia"/>
                <w:b/>
              </w:rPr>
              <w:t>小額投資人</w:t>
            </w:r>
          </w:p>
          <w:p w:rsidR="00302662" w:rsidRPr="00302662" w:rsidRDefault="0044253E" w:rsidP="00302662">
            <w:pPr>
              <w:pStyle w:val="144"/>
              <w:jc w:val="center"/>
              <w:rPr>
                <w:rFonts w:hint="eastAsia"/>
                <w:b/>
              </w:rPr>
            </w:pPr>
            <w:r>
              <w:rPr>
                <w:rFonts w:hint="eastAsia"/>
                <w:b/>
              </w:rPr>
              <w:t>申</w:t>
            </w:r>
            <w:r w:rsidR="00302662" w:rsidRPr="00302662">
              <w:rPr>
                <w:rFonts w:hint="eastAsia"/>
                <w:b/>
              </w:rPr>
              <w:t>購數額</w:t>
            </w:r>
          </w:p>
        </w:tc>
        <w:tc>
          <w:tcPr>
            <w:tcW w:w="1843" w:type="dxa"/>
            <w:shd w:val="clear" w:color="auto" w:fill="auto"/>
            <w:noWrap/>
            <w:vAlign w:val="center"/>
          </w:tcPr>
          <w:p w:rsidR="00302662" w:rsidRPr="00302662" w:rsidRDefault="00302662" w:rsidP="00302662">
            <w:pPr>
              <w:pStyle w:val="144"/>
              <w:jc w:val="center"/>
              <w:rPr>
                <w:b/>
              </w:rPr>
            </w:pPr>
            <w:r w:rsidRPr="00302662">
              <w:rPr>
                <w:rFonts w:hint="eastAsia"/>
                <w:b/>
              </w:rPr>
              <w:t>小額投資人申購數額占可申購最大數額之比率</w:t>
            </w:r>
          </w:p>
        </w:tc>
      </w:tr>
      <w:tr w:rsidR="00302662" w:rsidRPr="00D658E4" w:rsidTr="00B755CF">
        <w:trPr>
          <w:trHeight w:val="312"/>
        </w:trPr>
        <w:tc>
          <w:tcPr>
            <w:tcW w:w="1134" w:type="dxa"/>
            <w:shd w:val="clear" w:color="auto" w:fill="auto"/>
            <w:noWrap/>
            <w:vAlign w:val="center"/>
          </w:tcPr>
          <w:p w:rsidR="00302662" w:rsidRPr="00D658E4" w:rsidRDefault="00302662" w:rsidP="00302662">
            <w:pPr>
              <w:pStyle w:val="144"/>
              <w:jc w:val="center"/>
            </w:pPr>
            <w:r>
              <w:rPr>
                <w:rFonts w:hint="eastAsia"/>
              </w:rPr>
              <w:t>107</w:t>
            </w:r>
          </w:p>
        </w:tc>
        <w:tc>
          <w:tcPr>
            <w:tcW w:w="1842" w:type="dxa"/>
            <w:vAlign w:val="center"/>
          </w:tcPr>
          <w:p w:rsidR="00302662" w:rsidRPr="00302662" w:rsidRDefault="00302662" w:rsidP="00B755CF">
            <w:pPr>
              <w:pStyle w:val="144"/>
              <w:jc w:val="right"/>
              <w:rPr>
                <w:rFonts w:hint="eastAsia"/>
              </w:rPr>
            </w:pPr>
            <w:r>
              <w:rPr>
                <w:rFonts w:hint="eastAsia"/>
              </w:rPr>
              <w:t>3,</w:t>
            </w:r>
            <w:r>
              <w:t>550</w:t>
            </w:r>
          </w:p>
        </w:tc>
        <w:tc>
          <w:tcPr>
            <w:tcW w:w="1843" w:type="dxa"/>
            <w:vAlign w:val="center"/>
          </w:tcPr>
          <w:p w:rsidR="00302662" w:rsidRPr="00302662" w:rsidRDefault="00302662" w:rsidP="00B755CF">
            <w:pPr>
              <w:pStyle w:val="144"/>
              <w:jc w:val="right"/>
              <w:rPr>
                <w:rFonts w:hint="eastAsia"/>
              </w:rPr>
            </w:pPr>
            <w:r>
              <w:rPr>
                <w:rFonts w:hint="eastAsia"/>
              </w:rPr>
              <w:t>7</w:t>
            </w:r>
            <w:r>
              <w:t>1</w:t>
            </w:r>
          </w:p>
        </w:tc>
        <w:tc>
          <w:tcPr>
            <w:tcW w:w="1843" w:type="dxa"/>
            <w:vAlign w:val="center"/>
          </w:tcPr>
          <w:p w:rsidR="00302662" w:rsidRPr="00302662" w:rsidRDefault="00302662" w:rsidP="00B755CF">
            <w:pPr>
              <w:pStyle w:val="144"/>
              <w:jc w:val="right"/>
              <w:rPr>
                <w:rFonts w:hint="eastAsia"/>
              </w:rPr>
            </w:pPr>
            <w:r>
              <w:rPr>
                <w:rFonts w:hint="eastAsia"/>
              </w:rPr>
              <w:t>0</w:t>
            </w:r>
            <w:r>
              <w:t>.095</w:t>
            </w:r>
          </w:p>
        </w:tc>
        <w:tc>
          <w:tcPr>
            <w:tcW w:w="1843" w:type="dxa"/>
            <w:shd w:val="clear" w:color="auto" w:fill="auto"/>
            <w:noWrap/>
            <w:vAlign w:val="center"/>
          </w:tcPr>
          <w:p w:rsidR="00302662" w:rsidRPr="00302662" w:rsidRDefault="00302662" w:rsidP="00B755CF">
            <w:pPr>
              <w:pStyle w:val="144"/>
              <w:jc w:val="right"/>
              <w:rPr>
                <w:rFonts w:hint="eastAsia"/>
              </w:rPr>
            </w:pPr>
            <w:r>
              <w:rPr>
                <w:rFonts w:hint="eastAsia"/>
              </w:rPr>
              <w:t>0</w:t>
            </w:r>
            <w:r>
              <w:t>.13</w:t>
            </w:r>
          </w:p>
        </w:tc>
      </w:tr>
      <w:tr w:rsidR="00302662" w:rsidRPr="00D658E4" w:rsidTr="00B755CF">
        <w:trPr>
          <w:trHeight w:val="312"/>
        </w:trPr>
        <w:tc>
          <w:tcPr>
            <w:tcW w:w="1134" w:type="dxa"/>
            <w:shd w:val="clear" w:color="auto" w:fill="auto"/>
            <w:noWrap/>
            <w:vAlign w:val="center"/>
          </w:tcPr>
          <w:p w:rsidR="00302662" w:rsidRDefault="00302662" w:rsidP="00302662">
            <w:pPr>
              <w:pStyle w:val="144"/>
              <w:jc w:val="center"/>
              <w:rPr>
                <w:rFonts w:hint="eastAsia"/>
              </w:rPr>
            </w:pPr>
            <w:r>
              <w:rPr>
                <w:rFonts w:hint="eastAsia"/>
              </w:rPr>
              <w:t>108</w:t>
            </w:r>
          </w:p>
        </w:tc>
        <w:tc>
          <w:tcPr>
            <w:tcW w:w="1842" w:type="dxa"/>
            <w:vAlign w:val="center"/>
          </w:tcPr>
          <w:p w:rsidR="00302662" w:rsidRPr="00302662" w:rsidRDefault="00302662" w:rsidP="00B755CF">
            <w:pPr>
              <w:pStyle w:val="144"/>
              <w:jc w:val="right"/>
              <w:rPr>
                <w:rFonts w:hint="eastAsia"/>
              </w:rPr>
            </w:pPr>
            <w:r>
              <w:rPr>
                <w:rFonts w:hint="eastAsia"/>
              </w:rPr>
              <w:t>4</w:t>
            </w:r>
            <w:r>
              <w:t>,100</w:t>
            </w:r>
          </w:p>
        </w:tc>
        <w:tc>
          <w:tcPr>
            <w:tcW w:w="1843" w:type="dxa"/>
            <w:vAlign w:val="center"/>
          </w:tcPr>
          <w:p w:rsidR="00302662" w:rsidRPr="00302662" w:rsidRDefault="00302662" w:rsidP="00B755CF">
            <w:pPr>
              <w:pStyle w:val="144"/>
              <w:jc w:val="right"/>
              <w:rPr>
                <w:rFonts w:hint="eastAsia"/>
              </w:rPr>
            </w:pPr>
            <w:r>
              <w:rPr>
                <w:rFonts w:hint="eastAsia"/>
              </w:rPr>
              <w:t>8</w:t>
            </w:r>
            <w:r>
              <w:t>2</w:t>
            </w:r>
          </w:p>
        </w:tc>
        <w:tc>
          <w:tcPr>
            <w:tcW w:w="1843" w:type="dxa"/>
            <w:vAlign w:val="center"/>
          </w:tcPr>
          <w:p w:rsidR="00302662" w:rsidRPr="00302662" w:rsidRDefault="00302662" w:rsidP="00B755CF">
            <w:pPr>
              <w:pStyle w:val="144"/>
              <w:jc w:val="right"/>
              <w:rPr>
                <w:rFonts w:hint="eastAsia"/>
              </w:rPr>
            </w:pPr>
            <w:r>
              <w:rPr>
                <w:rFonts w:hint="eastAsia"/>
              </w:rPr>
              <w:t>0</w:t>
            </w:r>
            <w:r>
              <w:t>.118</w:t>
            </w:r>
          </w:p>
        </w:tc>
        <w:tc>
          <w:tcPr>
            <w:tcW w:w="1843" w:type="dxa"/>
            <w:shd w:val="clear" w:color="auto" w:fill="auto"/>
            <w:noWrap/>
            <w:vAlign w:val="center"/>
          </w:tcPr>
          <w:p w:rsidR="00302662" w:rsidRPr="00302662" w:rsidRDefault="00BB05D3" w:rsidP="00B755CF">
            <w:pPr>
              <w:pStyle w:val="144"/>
              <w:jc w:val="right"/>
              <w:rPr>
                <w:rFonts w:hint="eastAsia"/>
              </w:rPr>
            </w:pPr>
            <w:r>
              <w:rPr>
                <w:rFonts w:hint="eastAsia"/>
              </w:rPr>
              <w:t>0</w:t>
            </w:r>
            <w:r>
              <w:t>.14</w:t>
            </w:r>
          </w:p>
        </w:tc>
      </w:tr>
      <w:tr w:rsidR="00302662" w:rsidRPr="00D658E4" w:rsidTr="00B755CF">
        <w:trPr>
          <w:trHeight w:val="312"/>
        </w:trPr>
        <w:tc>
          <w:tcPr>
            <w:tcW w:w="1134" w:type="dxa"/>
            <w:shd w:val="clear" w:color="auto" w:fill="auto"/>
            <w:noWrap/>
            <w:vAlign w:val="center"/>
          </w:tcPr>
          <w:p w:rsidR="00302662" w:rsidRDefault="00302662" w:rsidP="00DB4237">
            <w:pPr>
              <w:pStyle w:val="144"/>
              <w:jc w:val="center"/>
              <w:rPr>
                <w:rFonts w:hint="eastAsia"/>
              </w:rPr>
            </w:pPr>
            <w:r>
              <w:rPr>
                <w:rFonts w:hint="eastAsia"/>
              </w:rPr>
              <w:t>109</w:t>
            </w:r>
          </w:p>
        </w:tc>
        <w:tc>
          <w:tcPr>
            <w:tcW w:w="1842" w:type="dxa"/>
            <w:vAlign w:val="center"/>
          </w:tcPr>
          <w:p w:rsidR="00302662" w:rsidRPr="00302662" w:rsidRDefault="00302662" w:rsidP="00B755CF">
            <w:pPr>
              <w:pStyle w:val="144"/>
              <w:jc w:val="right"/>
              <w:rPr>
                <w:rFonts w:hint="eastAsia"/>
              </w:rPr>
            </w:pPr>
            <w:r>
              <w:rPr>
                <w:rFonts w:hint="eastAsia"/>
              </w:rPr>
              <w:t>5</w:t>
            </w:r>
            <w:r>
              <w:t>,350</w:t>
            </w:r>
          </w:p>
        </w:tc>
        <w:tc>
          <w:tcPr>
            <w:tcW w:w="1843" w:type="dxa"/>
            <w:vAlign w:val="center"/>
          </w:tcPr>
          <w:p w:rsidR="00302662" w:rsidRPr="00302662" w:rsidRDefault="00302662" w:rsidP="00B755CF">
            <w:pPr>
              <w:pStyle w:val="144"/>
              <w:jc w:val="right"/>
              <w:rPr>
                <w:rFonts w:hint="eastAsia"/>
              </w:rPr>
            </w:pPr>
            <w:r>
              <w:rPr>
                <w:rFonts w:hint="eastAsia"/>
              </w:rPr>
              <w:t>1</w:t>
            </w:r>
            <w:r>
              <w:t>07</w:t>
            </w:r>
          </w:p>
        </w:tc>
        <w:tc>
          <w:tcPr>
            <w:tcW w:w="1843" w:type="dxa"/>
            <w:vAlign w:val="center"/>
          </w:tcPr>
          <w:p w:rsidR="00302662" w:rsidRPr="00302662" w:rsidRDefault="00BB05D3" w:rsidP="00B755CF">
            <w:pPr>
              <w:pStyle w:val="144"/>
              <w:jc w:val="right"/>
              <w:rPr>
                <w:rFonts w:hint="eastAsia"/>
              </w:rPr>
            </w:pPr>
            <w:r>
              <w:rPr>
                <w:rFonts w:hint="eastAsia"/>
              </w:rPr>
              <w:t>0</w:t>
            </w:r>
            <w:r>
              <w:t>.105</w:t>
            </w:r>
          </w:p>
        </w:tc>
        <w:tc>
          <w:tcPr>
            <w:tcW w:w="1843" w:type="dxa"/>
            <w:shd w:val="clear" w:color="auto" w:fill="auto"/>
            <w:noWrap/>
            <w:vAlign w:val="center"/>
          </w:tcPr>
          <w:p w:rsidR="00302662" w:rsidRPr="00302662" w:rsidRDefault="00BB05D3" w:rsidP="00B755CF">
            <w:pPr>
              <w:pStyle w:val="144"/>
              <w:jc w:val="right"/>
              <w:rPr>
                <w:rFonts w:hint="eastAsia"/>
              </w:rPr>
            </w:pPr>
            <w:r>
              <w:rPr>
                <w:rFonts w:hint="eastAsia"/>
              </w:rPr>
              <w:t>0</w:t>
            </w:r>
            <w:r>
              <w:t>.10</w:t>
            </w:r>
          </w:p>
        </w:tc>
      </w:tr>
      <w:tr w:rsidR="00302662" w:rsidRPr="00D658E4" w:rsidTr="00B755CF">
        <w:trPr>
          <w:trHeight w:val="312"/>
        </w:trPr>
        <w:tc>
          <w:tcPr>
            <w:tcW w:w="1134" w:type="dxa"/>
            <w:shd w:val="clear" w:color="auto" w:fill="auto"/>
            <w:noWrap/>
            <w:vAlign w:val="center"/>
          </w:tcPr>
          <w:p w:rsidR="00302662" w:rsidRDefault="00302662" w:rsidP="00DB4237">
            <w:pPr>
              <w:pStyle w:val="144"/>
              <w:jc w:val="center"/>
              <w:rPr>
                <w:rFonts w:hint="eastAsia"/>
              </w:rPr>
            </w:pPr>
            <w:r>
              <w:rPr>
                <w:rFonts w:hint="eastAsia"/>
              </w:rPr>
              <w:t>110</w:t>
            </w:r>
          </w:p>
        </w:tc>
        <w:tc>
          <w:tcPr>
            <w:tcW w:w="1842" w:type="dxa"/>
            <w:vAlign w:val="center"/>
          </w:tcPr>
          <w:p w:rsidR="00302662" w:rsidRPr="00302662" w:rsidRDefault="00302662" w:rsidP="00B755CF">
            <w:pPr>
              <w:pStyle w:val="144"/>
              <w:jc w:val="right"/>
              <w:rPr>
                <w:rFonts w:hint="eastAsia"/>
              </w:rPr>
            </w:pPr>
            <w:r>
              <w:rPr>
                <w:rFonts w:hint="eastAsia"/>
              </w:rPr>
              <w:t>6</w:t>
            </w:r>
            <w:r>
              <w:t>,170</w:t>
            </w:r>
          </w:p>
        </w:tc>
        <w:tc>
          <w:tcPr>
            <w:tcW w:w="1843" w:type="dxa"/>
            <w:vAlign w:val="center"/>
          </w:tcPr>
          <w:p w:rsidR="00302662" w:rsidRPr="00302662" w:rsidRDefault="00302662" w:rsidP="00B755CF">
            <w:pPr>
              <w:pStyle w:val="144"/>
              <w:jc w:val="right"/>
              <w:rPr>
                <w:rFonts w:hint="eastAsia"/>
              </w:rPr>
            </w:pPr>
            <w:r>
              <w:rPr>
                <w:rFonts w:hint="eastAsia"/>
              </w:rPr>
              <w:t>1</w:t>
            </w:r>
            <w:r>
              <w:t>23.4</w:t>
            </w:r>
          </w:p>
        </w:tc>
        <w:tc>
          <w:tcPr>
            <w:tcW w:w="1843" w:type="dxa"/>
            <w:vAlign w:val="center"/>
          </w:tcPr>
          <w:p w:rsidR="00302662" w:rsidRPr="00302662" w:rsidRDefault="00BB05D3" w:rsidP="00B755CF">
            <w:pPr>
              <w:pStyle w:val="144"/>
              <w:jc w:val="right"/>
              <w:rPr>
                <w:rFonts w:hint="eastAsia"/>
              </w:rPr>
            </w:pPr>
            <w:r>
              <w:rPr>
                <w:rFonts w:hint="eastAsia"/>
              </w:rPr>
              <w:t>0</w:t>
            </w:r>
            <w:r>
              <w:t>.458</w:t>
            </w:r>
          </w:p>
        </w:tc>
        <w:tc>
          <w:tcPr>
            <w:tcW w:w="1843" w:type="dxa"/>
            <w:shd w:val="clear" w:color="auto" w:fill="auto"/>
            <w:noWrap/>
            <w:vAlign w:val="center"/>
          </w:tcPr>
          <w:p w:rsidR="00302662" w:rsidRPr="00302662" w:rsidRDefault="00BB05D3" w:rsidP="00B755CF">
            <w:pPr>
              <w:pStyle w:val="144"/>
              <w:jc w:val="right"/>
              <w:rPr>
                <w:rFonts w:hint="eastAsia"/>
              </w:rPr>
            </w:pPr>
            <w:r>
              <w:rPr>
                <w:rFonts w:hint="eastAsia"/>
              </w:rPr>
              <w:t>0</w:t>
            </w:r>
            <w:r>
              <w:t>.37</w:t>
            </w:r>
          </w:p>
        </w:tc>
      </w:tr>
      <w:tr w:rsidR="00302662" w:rsidRPr="00D658E4" w:rsidTr="00B755CF">
        <w:trPr>
          <w:trHeight w:val="312"/>
        </w:trPr>
        <w:tc>
          <w:tcPr>
            <w:tcW w:w="1134" w:type="dxa"/>
            <w:shd w:val="clear" w:color="auto" w:fill="auto"/>
            <w:noWrap/>
            <w:vAlign w:val="center"/>
          </w:tcPr>
          <w:p w:rsidR="00302662" w:rsidRDefault="00302662" w:rsidP="00DB4237">
            <w:pPr>
              <w:pStyle w:val="144"/>
              <w:jc w:val="center"/>
              <w:rPr>
                <w:rFonts w:hint="eastAsia"/>
              </w:rPr>
            </w:pPr>
            <w:r>
              <w:rPr>
                <w:rFonts w:hint="eastAsia"/>
              </w:rPr>
              <w:t>111</w:t>
            </w:r>
          </w:p>
        </w:tc>
        <w:tc>
          <w:tcPr>
            <w:tcW w:w="1842" w:type="dxa"/>
            <w:vAlign w:val="center"/>
          </w:tcPr>
          <w:p w:rsidR="00302662" w:rsidRPr="00302662" w:rsidRDefault="00302662" w:rsidP="00B755CF">
            <w:pPr>
              <w:pStyle w:val="144"/>
              <w:jc w:val="right"/>
              <w:rPr>
                <w:rFonts w:hint="eastAsia"/>
              </w:rPr>
            </w:pPr>
            <w:r>
              <w:rPr>
                <w:rFonts w:hint="eastAsia"/>
              </w:rPr>
              <w:t>5</w:t>
            </w:r>
            <w:r>
              <w:t>,280</w:t>
            </w:r>
          </w:p>
        </w:tc>
        <w:tc>
          <w:tcPr>
            <w:tcW w:w="1843" w:type="dxa"/>
            <w:vAlign w:val="center"/>
          </w:tcPr>
          <w:p w:rsidR="00302662" w:rsidRPr="00302662" w:rsidRDefault="00302662" w:rsidP="00B755CF">
            <w:pPr>
              <w:pStyle w:val="144"/>
              <w:jc w:val="right"/>
              <w:rPr>
                <w:rFonts w:hint="eastAsia"/>
              </w:rPr>
            </w:pPr>
            <w:r>
              <w:rPr>
                <w:rFonts w:hint="eastAsia"/>
              </w:rPr>
              <w:t>1</w:t>
            </w:r>
            <w:r>
              <w:t>05.6</w:t>
            </w:r>
          </w:p>
        </w:tc>
        <w:tc>
          <w:tcPr>
            <w:tcW w:w="1843" w:type="dxa"/>
            <w:vAlign w:val="center"/>
          </w:tcPr>
          <w:p w:rsidR="00302662" w:rsidRPr="00302662" w:rsidRDefault="00BB05D3" w:rsidP="00B755CF">
            <w:pPr>
              <w:pStyle w:val="144"/>
              <w:ind w:left="560" w:firstLine="560"/>
              <w:jc w:val="right"/>
              <w:rPr>
                <w:rFonts w:hint="eastAsia"/>
              </w:rPr>
            </w:pPr>
            <w:r>
              <w:rPr>
                <w:rFonts w:hint="eastAsia"/>
              </w:rPr>
              <w:t>0</w:t>
            </w:r>
            <w:r>
              <w:t>.152</w:t>
            </w:r>
          </w:p>
        </w:tc>
        <w:tc>
          <w:tcPr>
            <w:tcW w:w="1843" w:type="dxa"/>
            <w:shd w:val="clear" w:color="auto" w:fill="auto"/>
            <w:noWrap/>
            <w:vAlign w:val="center"/>
          </w:tcPr>
          <w:p w:rsidR="00302662" w:rsidRPr="00302662" w:rsidRDefault="00BB05D3" w:rsidP="00B755CF">
            <w:pPr>
              <w:pStyle w:val="144"/>
              <w:ind w:left="560" w:firstLine="560"/>
              <w:jc w:val="right"/>
              <w:rPr>
                <w:rFonts w:hint="eastAsia"/>
              </w:rPr>
            </w:pPr>
            <w:r>
              <w:rPr>
                <w:rFonts w:hint="eastAsia"/>
              </w:rPr>
              <w:t>0</w:t>
            </w:r>
            <w:r>
              <w:t>.14</w:t>
            </w:r>
          </w:p>
        </w:tc>
      </w:tr>
      <w:tr w:rsidR="00302662" w:rsidRPr="00D658E4" w:rsidTr="00B755CF">
        <w:trPr>
          <w:trHeight w:val="312"/>
        </w:trPr>
        <w:tc>
          <w:tcPr>
            <w:tcW w:w="1134" w:type="dxa"/>
            <w:shd w:val="clear" w:color="auto" w:fill="auto"/>
            <w:noWrap/>
            <w:vAlign w:val="center"/>
          </w:tcPr>
          <w:p w:rsidR="00302662" w:rsidRPr="00D658E4" w:rsidRDefault="00302662" w:rsidP="00302662">
            <w:pPr>
              <w:pStyle w:val="144"/>
              <w:jc w:val="center"/>
            </w:pPr>
            <w:r>
              <w:rPr>
                <w:rFonts w:hint="eastAsia"/>
              </w:rPr>
              <w:t>112</w:t>
            </w:r>
          </w:p>
        </w:tc>
        <w:tc>
          <w:tcPr>
            <w:tcW w:w="1842" w:type="dxa"/>
            <w:vAlign w:val="center"/>
          </w:tcPr>
          <w:p w:rsidR="00302662" w:rsidRPr="00302662" w:rsidRDefault="00302662" w:rsidP="00B755CF">
            <w:pPr>
              <w:pStyle w:val="144"/>
              <w:jc w:val="right"/>
            </w:pPr>
            <w:r>
              <w:rPr>
                <w:rFonts w:hint="eastAsia"/>
              </w:rPr>
              <w:t>4</w:t>
            </w:r>
            <w:r>
              <w:t>,780</w:t>
            </w:r>
          </w:p>
        </w:tc>
        <w:tc>
          <w:tcPr>
            <w:tcW w:w="1843" w:type="dxa"/>
            <w:vAlign w:val="center"/>
          </w:tcPr>
          <w:p w:rsidR="00302662" w:rsidRPr="00302662" w:rsidRDefault="00302662" w:rsidP="00B755CF">
            <w:pPr>
              <w:pStyle w:val="144"/>
              <w:jc w:val="right"/>
              <w:rPr>
                <w:rFonts w:hint="eastAsia"/>
              </w:rPr>
            </w:pPr>
            <w:r>
              <w:rPr>
                <w:rFonts w:hint="eastAsia"/>
              </w:rPr>
              <w:t>9</w:t>
            </w:r>
            <w:r>
              <w:t>5.6</w:t>
            </w:r>
          </w:p>
        </w:tc>
        <w:tc>
          <w:tcPr>
            <w:tcW w:w="1843" w:type="dxa"/>
            <w:vAlign w:val="center"/>
          </w:tcPr>
          <w:p w:rsidR="00302662" w:rsidRPr="00302662" w:rsidRDefault="00BB05D3" w:rsidP="00B755CF">
            <w:pPr>
              <w:pStyle w:val="144"/>
              <w:jc w:val="right"/>
              <w:rPr>
                <w:rFonts w:hint="eastAsia"/>
              </w:rPr>
            </w:pPr>
            <w:r>
              <w:rPr>
                <w:rFonts w:hint="eastAsia"/>
              </w:rPr>
              <w:t>0</w:t>
            </w:r>
            <w:r>
              <w:t>.134</w:t>
            </w:r>
          </w:p>
        </w:tc>
        <w:tc>
          <w:tcPr>
            <w:tcW w:w="1843" w:type="dxa"/>
            <w:shd w:val="clear" w:color="auto" w:fill="auto"/>
            <w:noWrap/>
            <w:vAlign w:val="center"/>
          </w:tcPr>
          <w:p w:rsidR="00302662" w:rsidRPr="00302662" w:rsidRDefault="00BB05D3" w:rsidP="00B755CF">
            <w:pPr>
              <w:pStyle w:val="144"/>
              <w:jc w:val="right"/>
            </w:pPr>
            <w:r>
              <w:rPr>
                <w:rFonts w:hint="eastAsia"/>
              </w:rPr>
              <w:t>0</w:t>
            </w:r>
            <w:r>
              <w:t>.14</w:t>
            </w:r>
          </w:p>
        </w:tc>
      </w:tr>
    </w:tbl>
    <w:p w:rsidR="00302662" w:rsidRPr="00E7390D" w:rsidRDefault="00302662" w:rsidP="00BB05D3">
      <w:pPr>
        <w:pStyle w:val="144"/>
        <w:ind w:left="278" w:hangingChars="114" w:hanging="278"/>
        <w:rPr>
          <w:rFonts w:hint="eastAsia"/>
        </w:rPr>
      </w:pPr>
      <w:r w:rsidRPr="00F77F04">
        <w:rPr>
          <w:rFonts w:hAnsi="標楷體" w:hint="eastAsia"/>
        </w:rPr>
        <w:t>資料來源</w:t>
      </w:r>
      <w:r>
        <w:rPr>
          <w:rFonts w:hAnsi="標楷體" w:hint="eastAsia"/>
        </w:rPr>
        <w:t>：</w:t>
      </w:r>
      <w:r w:rsidR="009147AA">
        <w:rPr>
          <w:rFonts w:hint="eastAsia"/>
        </w:rPr>
        <w:t>中央銀行</w:t>
      </w:r>
      <w:r w:rsidRPr="00F77F04">
        <w:rPr>
          <w:rFonts w:hAnsi="標楷體" w:hint="eastAsia"/>
        </w:rPr>
        <w:t>。</w:t>
      </w:r>
    </w:p>
    <w:p w:rsidR="00285127" w:rsidRPr="00785C86" w:rsidRDefault="00285127" w:rsidP="002C1641">
      <w:pPr>
        <w:ind w:left="567" w:firstLine="567"/>
        <w:rPr>
          <w:rFonts w:hint="eastAsia"/>
        </w:rPr>
      </w:pPr>
    </w:p>
    <w:p w:rsidR="0006012C" w:rsidRDefault="00E15B2F" w:rsidP="001E55B0">
      <w:pPr>
        <w:pStyle w:val="14"/>
        <w:ind w:left="454" w:hangingChars="160" w:hanging="454"/>
        <w:rPr>
          <w:rFonts w:hint="eastAsia"/>
        </w:rPr>
      </w:pPr>
      <w:bookmarkStart w:id="21" w:name="_Toc173746454"/>
      <w:r>
        <w:rPr>
          <w:rFonts w:hint="eastAsia"/>
        </w:rPr>
        <w:t>二</w:t>
      </w:r>
      <w:r w:rsidR="0006012C">
        <w:rPr>
          <w:rFonts w:hint="eastAsia"/>
        </w:rPr>
        <w:t>、</w:t>
      </w:r>
      <w:r w:rsidR="00D505A0">
        <w:rPr>
          <w:rFonts w:hint="eastAsia"/>
        </w:rPr>
        <w:t>截至113年</w:t>
      </w:r>
      <w:r w:rsidR="00165C9C">
        <w:rPr>
          <w:rFonts w:hint="eastAsia"/>
        </w:rPr>
        <w:t>6</w:t>
      </w:r>
      <w:r w:rsidR="00D505A0">
        <w:rPr>
          <w:rFonts w:hint="eastAsia"/>
        </w:rPr>
        <w:t>月底止，中央政府</w:t>
      </w:r>
      <w:r w:rsidR="00CD29D3">
        <w:rPr>
          <w:rFonts w:hint="eastAsia"/>
        </w:rPr>
        <w:t>尚無發行</w:t>
      </w:r>
      <w:r w:rsidR="008C09EB">
        <w:rPr>
          <w:rFonts w:hint="eastAsia"/>
        </w:rPr>
        <w:t>永續發展債券</w:t>
      </w:r>
      <w:r w:rsidR="00D505A0">
        <w:rPr>
          <w:rFonts w:hint="eastAsia"/>
        </w:rPr>
        <w:t>，仍待相關機關</w:t>
      </w:r>
      <w:r>
        <w:rPr>
          <w:rFonts w:hint="eastAsia"/>
        </w:rPr>
        <w:t>研謀辦理</w:t>
      </w:r>
      <w:r w:rsidR="00D505A0">
        <w:rPr>
          <w:rFonts w:hint="eastAsia"/>
        </w:rPr>
        <w:t>，</w:t>
      </w:r>
      <w:r>
        <w:rPr>
          <w:rFonts w:hint="eastAsia"/>
        </w:rPr>
        <w:t>俾</w:t>
      </w:r>
      <w:r w:rsidR="00D505A0">
        <w:rPr>
          <w:rFonts w:hint="eastAsia"/>
        </w:rPr>
        <w:t>符</w:t>
      </w:r>
      <w:r w:rsidR="00DE6B23">
        <w:rPr>
          <w:rFonts w:hint="eastAsia"/>
        </w:rPr>
        <w:t>國際趨勢並利</w:t>
      </w:r>
      <w:r w:rsidR="00D505A0" w:rsidRPr="00CA2CBF">
        <w:rPr>
          <w:rFonts w:hint="eastAsia"/>
        </w:rPr>
        <w:t>我國永續發展政策</w:t>
      </w:r>
      <w:bookmarkEnd w:id="21"/>
    </w:p>
    <w:p w:rsidR="00D86C76" w:rsidRDefault="00D505A0" w:rsidP="00DA54D0">
      <w:pPr>
        <w:ind w:left="567" w:firstLine="567"/>
        <w:rPr>
          <w:rFonts w:hint="eastAsia"/>
        </w:rPr>
      </w:pPr>
      <w:r>
        <w:rPr>
          <w:rFonts w:hint="eastAsia"/>
        </w:rPr>
        <w:t>我</w:t>
      </w:r>
      <w:r w:rsidRPr="00D505A0">
        <w:rPr>
          <w:rFonts w:hint="eastAsia"/>
        </w:rPr>
        <w:t>國於</w:t>
      </w:r>
      <w:r>
        <w:rPr>
          <w:rFonts w:hint="eastAsia"/>
        </w:rPr>
        <w:t>111</w:t>
      </w:r>
      <w:r w:rsidRPr="00D505A0">
        <w:rPr>
          <w:rFonts w:hint="eastAsia"/>
        </w:rPr>
        <w:t>年3</w:t>
      </w:r>
      <w:r w:rsidR="00165C9C">
        <w:rPr>
          <w:rFonts w:hint="eastAsia"/>
        </w:rPr>
        <w:t>月</w:t>
      </w:r>
      <w:r w:rsidRPr="00D505A0">
        <w:rPr>
          <w:rFonts w:hint="eastAsia"/>
        </w:rPr>
        <w:t>公布「臺灣2050淨零排放路徑及策略總說明」，提供至2050年淨零之軌跡與行動路徑</w:t>
      </w:r>
      <w:r w:rsidR="003463A3">
        <w:rPr>
          <w:rFonts w:hint="eastAsia"/>
        </w:rPr>
        <w:t>，總統並於112</w:t>
      </w:r>
      <w:r w:rsidRPr="00D505A0">
        <w:rPr>
          <w:rFonts w:hint="eastAsia"/>
        </w:rPr>
        <w:t>年</w:t>
      </w:r>
      <w:r w:rsidR="003463A3">
        <w:rPr>
          <w:rFonts w:hint="eastAsia"/>
        </w:rPr>
        <w:t>2</w:t>
      </w:r>
      <w:r w:rsidRPr="00D505A0">
        <w:rPr>
          <w:rFonts w:hint="eastAsia"/>
        </w:rPr>
        <w:t>月</w:t>
      </w:r>
      <w:r w:rsidR="003463A3">
        <w:rPr>
          <w:rFonts w:hint="eastAsia"/>
        </w:rPr>
        <w:t>15</w:t>
      </w:r>
      <w:r w:rsidRPr="00D505A0">
        <w:rPr>
          <w:rFonts w:hint="eastAsia"/>
        </w:rPr>
        <w:t>日</w:t>
      </w:r>
      <w:r w:rsidR="003463A3">
        <w:rPr>
          <w:rFonts w:hint="eastAsia"/>
        </w:rPr>
        <w:t>公布</w:t>
      </w:r>
      <w:r w:rsidRPr="00D505A0">
        <w:rPr>
          <w:rFonts w:hint="eastAsia"/>
        </w:rPr>
        <w:t>「氣候變遷因應法」</w:t>
      </w:r>
      <w:r w:rsidR="003463A3">
        <w:rPr>
          <w:rFonts w:hint="eastAsia"/>
        </w:rPr>
        <w:t>，</w:t>
      </w:r>
      <w:r w:rsidRPr="00D505A0">
        <w:rPr>
          <w:rFonts w:hint="eastAsia"/>
        </w:rPr>
        <w:t>作為</w:t>
      </w:r>
      <w:r w:rsidR="008C4CFD">
        <w:rPr>
          <w:rFonts w:hint="eastAsia"/>
        </w:rPr>
        <w:t>2050</w:t>
      </w:r>
      <w:r w:rsidR="007D6540">
        <w:rPr>
          <w:rFonts w:hint="eastAsia"/>
        </w:rPr>
        <w:t>年淨零碳排</w:t>
      </w:r>
      <w:r w:rsidR="003463A3">
        <w:rPr>
          <w:rFonts w:hint="eastAsia"/>
        </w:rPr>
        <w:t>之</w:t>
      </w:r>
      <w:r w:rsidRPr="00D505A0">
        <w:rPr>
          <w:rFonts w:hint="eastAsia"/>
        </w:rPr>
        <w:t>法制基礎。</w:t>
      </w:r>
      <w:r w:rsidR="003463A3">
        <w:rPr>
          <w:rFonts w:hint="eastAsia"/>
        </w:rPr>
        <w:t>該法第6條第5款</w:t>
      </w:r>
      <w:r w:rsidR="009B51BC">
        <w:rPr>
          <w:rStyle w:val="af7"/>
        </w:rPr>
        <w:footnoteReference w:id="13"/>
      </w:r>
      <w:r w:rsidR="009B51BC">
        <w:rPr>
          <w:rFonts w:hint="eastAsia"/>
        </w:rPr>
        <w:t>明訂，</w:t>
      </w:r>
      <w:r w:rsidR="003463A3" w:rsidRPr="003463A3">
        <w:rPr>
          <w:rFonts w:hint="eastAsia"/>
        </w:rPr>
        <w:t>促成投資及產業追求永續發展之良性循環</w:t>
      </w:r>
      <w:r w:rsidR="009B51BC">
        <w:rPr>
          <w:rFonts w:hint="eastAsia"/>
        </w:rPr>
        <w:t>，係因應氣候變遷相關計畫或方案基本原則之一，且政府應</w:t>
      </w:r>
      <w:r w:rsidR="003463A3" w:rsidRPr="003463A3">
        <w:rPr>
          <w:rFonts w:hint="eastAsia"/>
        </w:rPr>
        <w:t>建構綠色金融機制及推動措施</w:t>
      </w:r>
      <w:r w:rsidR="009B51BC">
        <w:rPr>
          <w:rStyle w:val="af7"/>
        </w:rPr>
        <w:footnoteReference w:id="14"/>
      </w:r>
      <w:r w:rsidR="003463A3" w:rsidRPr="003463A3">
        <w:rPr>
          <w:rFonts w:hint="eastAsia"/>
        </w:rPr>
        <w:t>。</w:t>
      </w:r>
      <w:r w:rsidRPr="00D505A0">
        <w:rPr>
          <w:rFonts w:hint="eastAsia"/>
        </w:rPr>
        <w:t>運用金融市場之力量推動永續發展，為目前國際上金融發展政策之核心，透過金融機制引導企業及投資人重視環境、社會及公司治理議題，促成投資及產業追求永續發展之良性循環，並藉由公私共同合作以達成我國減碳及永續發展目標</w:t>
      </w:r>
      <w:r w:rsidR="008C4CFD">
        <w:rPr>
          <w:rFonts w:hint="eastAsia"/>
        </w:rPr>
        <w:t>。</w:t>
      </w:r>
      <w:r w:rsidR="0018400D">
        <w:rPr>
          <w:rFonts w:hint="eastAsia"/>
        </w:rPr>
        <w:t>經查</w:t>
      </w:r>
      <w:r w:rsidR="009B51BC">
        <w:rPr>
          <w:rFonts w:hint="eastAsia"/>
        </w:rPr>
        <w:t>：</w:t>
      </w:r>
    </w:p>
    <w:p w:rsidR="00D93238" w:rsidRPr="00D93238" w:rsidRDefault="00D93238" w:rsidP="00D93238">
      <w:pPr>
        <w:pStyle w:val="a4"/>
        <w:ind w:left="851" w:hanging="284"/>
        <w:rPr>
          <w:rFonts w:hint="eastAsia"/>
          <w:b/>
        </w:rPr>
      </w:pPr>
      <w:r w:rsidRPr="00D93238">
        <w:rPr>
          <w:rFonts w:hint="eastAsia"/>
          <w:b/>
        </w:rPr>
        <w:t>(</w:t>
      </w:r>
      <w:r>
        <w:rPr>
          <w:rFonts w:hint="eastAsia"/>
          <w:b/>
        </w:rPr>
        <w:t>一</w:t>
      </w:r>
      <w:r w:rsidRPr="00D93238">
        <w:rPr>
          <w:rFonts w:hint="eastAsia"/>
          <w:b/>
        </w:rPr>
        <w:t>)</w:t>
      </w:r>
      <w:r w:rsidR="00D505A0">
        <w:rPr>
          <w:rFonts w:hint="eastAsia"/>
          <w:b/>
        </w:rPr>
        <w:t>我國</w:t>
      </w:r>
      <w:r w:rsidR="00D505A0" w:rsidRPr="00D505A0">
        <w:rPr>
          <w:rFonts w:hint="eastAsia"/>
          <w:b/>
        </w:rPr>
        <w:t>永續發展債券</w:t>
      </w:r>
      <w:r w:rsidR="00D505A0">
        <w:rPr>
          <w:rFonts w:hint="eastAsia"/>
          <w:b/>
        </w:rPr>
        <w:t>發展歷程概述</w:t>
      </w:r>
    </w:p>
    <w:p w:rsidR="00D86C76" w:rsidRDefault="003463A3" w:rsidP="00DA54D0">
      <w:pPr>
        <w:pStyle w:val="22"/>
        <w:ind w:left="850" w:firstLine="567"/>
        <w:rPr>
          <w:rFonts w:hint="eastAsia"/>
        </w:rPr>
      </w:pPr>
      <w:r>
        <w:rPr>
          <w:rFonts w:hint="eastAsia"/>
        </w:rPr>
        <w:t>如</w:t>
      </w:r>
      <w:r w:rsidR="006A2083">
        <w:rPr>
          <w:rFonts w:hint="eastAsia"/>
        </w:rPr>
        <w:t>前</w:t>
      </w:r>
      <w:r>
        <w:rPr>
          <w:rFonts w:hint="eastAsia"/>
        </w:rPr>
        <w:t>貳、</w:t>
      </w:r>
      <w:r w:rsidR="006A2083">
        <w:rPr>
          <w:rFonts w:hint="eastAsia"/>
        </w:rPr>
        <w:t>四</w:t>
      </w:r>
      <w:r>
        <w:rPr>
          <w:rFonts w:hint="eastAsia"/>
        </w:rPr>
        <w:t>、所述，</w:t>
      </w:r>
      <w:r w:rsidRPr="00D505A0">
        <w:rPr>
          <w:rFonts w:hint="eastAsia"/>
        </w:rPr>
        <w:t>在金管會</w:t>
      </w:r>
      <w:r>
        <w:rPr>
          <w:rFonts w:hint="eastAsia"/>
        </w:rPr>
        <w:t>指導下，櫃買</w:t>
      </w:r>
      <w:r w:rsidRPr="00D505A0">
        <w:rPr>
          <w:rFonts w:hint="eastAsia"/>
        </w:rPr>
        <w:t>中心於106年4月建立綠色債券櫃檯買賣制度，</w:t>
      </w:r>
      <w:r>
        <w:rPr>
          <w:rFonts w:hint="eastAsia"/>
        </w:rPr>
        <w:t>並</w:t>
      </w:r>
      <w:r w:rsidR="006A2083">
        <w:rPr>
          <w:rFonts w:hint="eastAsia"/>
        </w:rPr>
        <w:t>配合</w:t>
      </w:r>
      <w:r w:rsidRPr="00D505A0">
        <w:rPr>
          <w:rFonts w:hint="eastAsia"/>
        </w:rPr>
        <w:t>國際市場永續金融之發展趨勢，</w:t>
      </w:r>
      <w:r w:rsidR="006A2083">
        <w:rPr>
          <w:rFonts w:hint="eastAsia"/>
        </w:rPr>
        <w:t>分別</w:t>
      </w:r>
      <w:r w:rsidRPr="00D505A0">
        <w:rPr>
          <w:rFonts w:hint="eastAsia"/>
        </w:rPr>
        <w:t>於109年10月、110年4月及111年7</w:t>
      </w:r>
      <w:r w:rsidR="006A2083">
        <w:rPr>
          <w:rFonts w:hint="eastAsia"/>
        </w:rPr>
        <w:t>月陸續推出</w:t>
      </w:r>
      <w:r w:rsidRPr="00D505A0">
        <w:rPr>
          <w:rFonts w:hint="eastAsia"/>
        </w:rPr>
        <w:t>可持續發展債券、社會責任債券及可持續發展連結債券櫃檯買賣制度，將永續發展債券</w:t>
      </w:r>
      <w:r w:rsidR="00FC0830">
        <w:rPr>
          <w:rFonts w:hint="eastAsia"/>
        </w:rPr>
        <w:t>涵蓋</w:t>
      </w:r>
      <w:r w:rsidRPr="00D505A0">
        <w:rPr>
          <w:rFonts w:hint="eastAsia"/>
        </w:rPr>
        <w:t>擴大包含綠色債券、社會責任債券、可持續發展債券及可持續發展連結債券，</w:t>
      </w:r>
      <w:r w:rsidR="00FC0830">
        <w:rPr>
          <w:rFonts w:hint="eastAsia"/>
        </w:rPr>
        <w:t>以</w:t>
      </w:r>
      <w:r w:rsidRPr="00D505A0">
        <w:rPr>
          <w:rFonts w:hint="eastAsia"/>
        </w:rPr>
        <w:t>提供市場可直接落實</w:t>
      </w:r>
      <w:r w:rsidR="00DE6B23" w:rsidRPr="008C09EB">
        <w:rPr>
          <w:rFonts w:hint="eastAsia"/>
        </w:rPr>
        <w:t>環境、社會及治理</w:t>
      </w:r>
      <w:r w:rsidR="009C171E">
        <w:rPr>
          <w:rFonts w:hint="eastAsia"/>
        </w:rPr>
        <w:t>(</w:t>
      </w:r>
      <w:r w:rsidR="00DE6B23" w:rsidRPr="00D505A0">
        <w:rPr>
          <w:rFonts w:hint="eastAsia"/>
        </w:rPr>
        <w:t>ESG</w:t>
      </w:r>
      <w:r w:rsidR="009C171E">
        <w:rPr>
          <w:rFonts w:hint="eastAsia"/>
        </w:rPr>
        <w:t>)</w:t>
      </w:r>
      <w:r w:rsidR="008C09EB">
        <w:rPr>
          <w:rFonts w:hint="eastAsia"/>
        </w:rPr>
        <w:t>投資精神之籌資平台與投資工具，</w:t>
      </w:r>
      <w:r w:rsidR="00FC0830">
        <w:rPr>
          <w:rFonts w:hint="eastAsia"/>
        </w:rPr>
        <w:t>該</w:t>
      </w:r>
      <w:r w:rsidR="00F2302D" w:rsidRPr="00F2302D">
        <w:rPr>
          <w:rFonts w:hint="eastAsia"/>
        </w:rPr>
        <w:t>中心近年推動永續發展債券發展歷程</w:t>
      </w:r>
      <w:r w:rsidR="00F2302D">
        <w:rPr>
          <w:rFonts w:hint="eastAsia"/>
        </w:rPr>
        <w:t>詳如表3-</w:t>
      </w:r>
      <w:r w:rsidR="00DE6B23">
        <w:rPr>
          <w:rFonts w:hint="eastAsia"/>
        </w:rPr>
        <w:t>2</w:t>
      </w:r>
      <w:r w:rsidR="00F2302D">
        <w:rPr>
          <w:rFonts w:hint="eastAsia"/>
        </w:rPr>
        <w:t>-1。</w:t>
      </w:r>
      <w:r w:rsidR="00165C9C">
        <w:rPr>
          <w:rFonts w:hint="eastAsia"/>
        </w:rPr>
        <w:t>另</w:t>
      </w:r>
      <w:r w:rsidR="00FC0830">
        <w:rPr>
          <w:rFonts w:hint="eastAsia"/>
        </w:rPr>
        <w:t>據櫃買</w:t>
      </w:r>
      <w:r w:rsidR="00A4661E">
        <w:rPr>
          <w:rFonts w:hint="eastAsia"/>
        </w:rPr>
        <w:t>中心統計113年1月至6月</w:t>
      </w:r>
      <w:r w:rsidR="00FC0830">
        <w:rPr>
          <w:rFonts w:hint="eastAsia"/>
        </w:rPr>
        <w:t>，</w:t>
      </w:r>
      <w:r w:rsidR="00A4661E">
        <w:rPr>
          <w:rFonts w:hint="eastAsia"/>
        </w:rPr>
        <w:t>我國綠色債券計發行14檔、559億元、</w:t>
      </w:r>
      <w:r w:rsidR="00A4661E" w:rsidRPr="00D505A0">
        <w:rPr>
          <w:rFonts w:hint="eastAsia"/>
        </w:rPr>
        <w:t>社會責任債券</w:t>
      </w:r>
      <w:r w:rsidR="00A4661E">
        <w:rPr>
          <w:rFonts w:hint="eastAsia"/>
        </w:rPr>
        <w:t>計發行9檔、130億元</w:t>
      </w:r>
      <w:r w:rsidR="00A4661E" w:rsidRPr="00D505A0">
        <w:rPr>
          <w:rFonts w:hint="eastAsia"/>
        </w:rPr>
        <w:t>、可持續發展債券</w:t>
      </w:r>
      <w:r w:rsidR="00A4661E">
        <w:rPr>
          <w:rFonts w:hint="eastAsia"/>
        </w:rPr>
        <w:t>計發行6檔、70億元，合計29檔、759億元。</w:t>
      </w:r>
    </w:p>
    <w:p w:rsidR="005E4A48" w:rsidRPr="00D658E4" w:rsidRDefault="005E4A48" w:rsidP="005E4A48">
      <w:pPr>
        <w:pStyle w:val="22"/>
        <w:spacing w:line="400" w:lineRule="exact"/>
        <w:ind w:leftChars="0" w:left="1277" w:hangingChars="450" w:hanging="1277"/>
        <w:rPr>
          <w:rFonts w:hint="eastAsia"/>
        </w:rPr>
      </w:pPr>
      <w:r w:rsidRPr="00C70176">
        <w:rPr>
          <w:rFonts w:hAnsi="標楷體" w:hint="eastAsia"/>
          <w:b/>
        </w:rPr>
        <w:t>表</w:t>
      </w:r>
      <w:r>
        <w:rPr>
          <w:rFonts w:hAnsi="標楷體" w:hint="eastAsia"/>
          <w:b/>
        </w:rPr>
        <w:t>3-</w:t>
      </w:r>
      <w:r w:rsidR="00DE6B23">
        <w:rPr>
          <w:rFonts w:hAnsi="標楷體" w:hint="eastAsia"/>
          <w:b/>
        </w:rPr>
        <w:t>2</w:t>
      </w:r>
      <w:r>
        <w:rPr>
          <w:rFonts w:hAnsi="標楷體" w:hint="eastAsia"/>
          <w:b/>
        </w:rPr>
        <w:t>-1  櫃買中心近年推動</w:t>
      </w:r>
      <w:r w:rsidRPr="00D505A0">
        <w:rPr>
          <w:rFonts w:hint="eastAsia"/>
          <w:b/>
        </w:rPr>
        <w:t>永續發展債券</w:t>
      </w:r>
      <w:r>
        <w:rPr>
          <w:rFonts w:hint="eastAsia"/>
          <w:b/>
        </w:rPr>
        <w:t>發展歷程</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134"/>
        <w:gridCol w:w="6237"/>
      </w:tblGrid>
      <w:tr w:rsidR="005E4A48" w:rsidRPr="005F6331" w:rsidTr="0016523E">
        <w:trPr>
          <w:trHeight w:val="312"/>
          <w:tblHeader/>
        </w:trPr>
        <w:tc>
          <w:tcPr>
            <w:tcW w:w="1134" w:type="dxa"/>
            <w:shd w:val="clear" w:color="auto" w:fill="auto"/>
            <w:noWrap/>
            <w:vAlign w:val="center"/>
          </w:tcPr>
          <w:p w:rsidR="005E4A48" w:rsidRPr="005F6331" w:rsidRDefault="005E4A48" w:rsidP="005F6331">
            <w:pPr>
              <w:pStyle w:val="144"/>
              <w:jc w:val="center"/>
              <w:rPr>
                <w:rFonts w:hAnsi="標楷體" w:hint="eastAsia"/>
                <w:b/>
                <w:color w:val="000000"/>
                <w:szCs w:val="24"/>
              </w:rPr>
            </w:pPr>
            <w:r w:rsidRPr="005F6331">
              <w:rPr>
                <w:rFonts w:hAnsi="標楷體" w:hint="eastAsia"/>
                <w:b/>
                <w:color w:val="000000"/>
                <w:szCs w:val="24"/>
              </w:rPr>
              <w:t>年度</w:t>
            </w:r>
          </w:p>
        </w:tc>
        <w:tc>
          <w:tcPr>
            <w:tcW w:w="1134" w:type="dxa"/>
            <w:vAlign w:val="center"/>
          </w:tcPr>
          <w:p w:rsidR="005E4A48" w:rsidRPr="005F6331" w:rsidRDefault="005E4A48" w:rsidP="005F6331">
            <w:pPr>
              <w:pStyle w:val="144"/>
              <w:jc w:val="center"/>
              <w:rPr>
                <w:rFonts w:hAnsi="標楷體" w:hint="eastAsia"/>
                <w:b/>
                <w:color w:val="000000"/>
                <w:szCs w:val="24"/>
              </w:rPr>
            </w:pPr>
            <w:r w:rsidRPr="005F6331">
              <w:rPr>
                <w:rFonts w:hAnsi="標楷體" w:hint="eastAsia"/>
                <w:b/>
                <w:color w:val="000000"/>
                <w:szCs w:val="24"/>
              </w:rPr>
              <w:t>日期</w:t>
            </w:r>
          </w:p>
        </w:tc>
        <w:tc>
          <w:tcPr>
            <w:tcW w:w="6237" w:type="dxa"/>
            <w:shd w:val="clear" w:color="auto" w:fill="auto"/>
            <w:noWrap/>
            <w:vAlign w:val="center"/>
          </w:tcPr>
          <w:p w:rsidR="005E4A48" w:rsidRPr="005F6331" w:rsidRDefault="005E4A48" w:rsidP="005F6331">
            <w:pPr>
              <w:pStyle w:val="144"/>
              <w:jc w:val="center"/>
              <w:rPr>
                <w:rFonts w:hAnsi="標楷體"/>
                <w:b/>
                <w:color w:val="000000"/>
                <w:szCs w:val="24"/>
              </w:rPr>
            </w:pPr>
            <w:r w:rsidRPr="005F6331">
              <w:rPr>
                <w:rFonts w:hAnsi="標楷體" w:hint="eastAsia"/>
                <w:b/>
                <w:color w:val="000000"/>
                <w:szCs w:val="24"/>
              </w:rPr>
              <w:t>辦理事項</w:t>
            </w:r>
          </w:p>
        </w:tc>
      </w:tr>
      <w:tr w:rsidR="009C171E" w:rsidRPr="005F6331" w:rsidTr="009B3AAA">
        <w:trPr>
          <w:trHeight w:val="312"/>
        </w:trPr>
        <w:tc>
          <w:tcPr>
            <w:tcW w:w="1134" w:type="dxa"/>
            <w:vMerge w:val="restart"/>
            <w:shd w:val="clear" w:color="auto" w:fill="auto"/>
            <w:noWrap/>
            <w:vAlign w:val="center"/>
          </w:tcPr>
          <w:p w:rsidR="009C171E" w:rsidRPr="005F6331" w:rsidRDefault="009C171E" w:rsidP="005F6331">
            <w:pPr>
              <w:pStyle w:val="144"/>
              <w:jc w:val="center"/>
              <w:rPr>
                <w:rFonts w:hAnsi="標楷體" w:hint="eastAsia"/>
                <w:color w:val="000000"/>
                <w:szCs w:val="24"/>
              </w:rPr>
            </w:pPr>
            <w:r w:rsidRPr="005F6331">
              <w:rPr>
                <w:rFonts w:hAnsi="標楷體" w:hint="eastAsia"/>
                <w:color w:val="000000"/>
                <w:szCs w:val="24"/>
              </w:rPr>
              <w:t>106</w:t>
            </w: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4月21日</w:t>
            </w:r>
          </w:p>
        </w:tc>
        <w:tc>
          <w:tcPr>
            <w:tcW w:w="6237" w:type="dxa"/>
            <w:shd w:val="clear" w:color="auto" w:fill="auto"/>
            <w:noWrap/>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發布「綠色債券作業要點」，建立綠色債券櫃檯買賣制度</w:t>
            </w:r>
          </w:p>
        </w:tc>
      </w:tr>
      <w:tr w:rsidR="009C171E" w:rsidRPr="005F6331" w:rsidTr="009B3AAA">
        <w:trPr>
          <w:trHeight w:val="312"/>
        </w:trPr>
        <w:tc>
          <w:tcPr>
            <w:tcW w:w="1134" w:type="dxa"/>
            <w:vMerge/>
            <w:shd w:val="clear" w:color="auto" w:fill="auto"/>
            <w:noWrap/>
            <w:vAlign w:val="center"/>
          </w:tcPr>
          <w:p w:rsidR="009C171E" w:rsidRPr="005F6331" w:rsidRDefault="009C171E" w:rsidP="005F6331">
            <w:pPr>
              <w:pStyle w:val="144"/>
              <w:jc w:val="center"/>
              <w:rPr>
                <w:rFonts w:hAnsi="標楷體" w:hint="eastAsia"/>
                <w:color w:val="000000"/>
                <w:szCs w:val="24"/>
              </w:rPr>
            </w:pP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5月19日</w:t>
            </w:r>
          </w:p>
        </w:tc>
        <w:tc>
          <w:tcPr>
            <w:tcW w:w="6237" w:type="dxa"/>
            <w:shd w:val="clear" w:color="auto" w:fill="auto"/>
            <w:noWrap/>
            <w:vAlign w:val="center"/>
          </w:tcPr>
          <w:p w:rsidR="009C171E" w:rsidRPr="005F6331" w:rsidRDefault="009C171E" w:rsidP="005E4A48">
            <w:pPr>
              <w:pStyle w:val="144"/>
              <w:rPr>
                <w:rFonts w:hAnsi="標楷體" w:hint="eastAsia"/>
                <w:color w:val="000000"/>
                <w:szCs w:val="24"/>
              </w:rPr>
            </w:pPr>
            <w:r w:rsidRPr="005F6331">
              <w:rPr>
                <w:rFonts w:hAnsi="標楷體"/>
                <w:color w:val="000000"/>
                <w:szCs w:val="24"/>
              </w:rPr>
              <w:t>首批綠色債券上櫃及發行</w:t>
            </w:r>
          </w:p>
        </w:tc>
      </w:tr>
      <w:tr w:rsidR="009C171E" w:rsidRPr="005F6331" w:rsidTr="009B3AAA">
        <w:trPr>
          <w:trHeight w:val="312"/>
        </w:trPr>
        <w:tc>
          <w:tcPr>
            <w:tcW w:w="1134" w:type="dxa"/>
            <w:vMerge/>
            <w:shd w:val="clear" w:color="auto" w:fill="auto"/>
            <w:noWrap/>
            <w:vAlign w:val="center"/>
          </w:tcPr>
          <w:p w:rsidR="009C171E" w:rsidRPr="005F6331" w:rsidRDefault="009C171E" w:rsidP="005F6331">
            <w:pPr>
              <w:pStyle w:val="144"/>
              <w:jc w:val="center"/>
              <w:rPr>
                <w:rFonts w:hAnsi="標楷體"/>
                <w:color w:val="000000"/>
                <w:szCs w:val="24"/>
              </w:rPr>
            </w:pP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7月20日</w:t>
            </w:r>
          </w:p>
        </w:tc>
        <w:tc>
          <w:tcPr>
            <w:tcW w:w="6237" w:type="dxa"/>
            <w:shd w:val="clear" w:color="auto" w:fill="auto"/>
            <w:noWrap/>
            <w:vAlign w:val="center"/>
          </w:tcPr>
          <w:p w:rsidR="009C171E" w:rsidRPr="005F6331" w:rsidRDefault="009C171E" w:rsidP="005E4A48">
            <w:pPr>
              <w:pStyle w:val="144"/>
              <w:rPr>
                <w:rFonts w:hAnsi="標楷體" w:hint="eastAsia"/>
                <w:color w:val="000000"/>
                <w:szCs w:val="24"/>
              </w:rPr>
            </w:pPr>
            <w:r w:rsidRPr="005F6331">
              <w:rPr>
                <w:rFonts w:hAnsi="標楷體"/>
                <w:color w:val="000000"/>
                <w:szCs w:val="24"/>
              </w:rPr>
              <w:t>舉辦「綠色債券國際研討會」</w:t>
            </w:r>
          </w:p>
        </w:tc>
      </w:tr>
      <w:tr w:rsidR="009C171E" w:rsidRPr="005F6331" w:rsidTr="009B3AAA">
        <w:trPr>
          <w:trHeight w:val="312"/>
        </w:trPr>
        <w:tc>
          <w:tcPr>
            <w:tcW w:w="1134" w:type="dxa"/>
            <w:vMerge w:val="restart"/>
            <w:shd w:val="clear" w:color="auto" w:fill="auto"/>
            <w:noWrap/>
            <w:vAlign w:val="center"/>
          </w:tcPr>
          <w:p w:rsidR="009C171E" w:rsidRPr="005F6331" w:rsidRDefault="009C171E" w:rsidP="005F6331">
            <w:pPr>
              <w:pStyle w:val="144"/>
              <w:jc w:val="center"/>
              <w:rPr>
                <w:rFonts w:hAnsi="標楷體" w:hint="eastAsia"/>
                <w:color w:val="000000"/>
                <w:szCs w:val="24"/>
              </w:rPr>
            </w:pPr>
            <w:r w:rsidRPr="005F6331">
              <w:rPr>
                <w:rFonts w:hAnsi="標楷體" w:hint="eastAsia"/>
                <w:color w:val="000000"/>
                <w:szCs w:val="24"/>
              </w:rPr>
              <w:t>107</w:t>
            </w: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5月3日</w:t>
            </w:r>
          </w:p>
        </w:tc>
        <w:tc>
          <w:tcPr>
            <w:tcW w:w="6237" w:type="dxa"/>
            <w:shd w:val="clear" w:color="auto" w:fill="auto"/>
            <w:noWrap/>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簡化外國銀行在臺分行申請綠色債券相關作業規定</w:t>
            </w:r>
          </w:p>
        </w:tc>
      </w:tr>
      <w:tr w:rsidR="009C171E" w:rsidRPr="005F6331" w:rsidTr="009B3AAA">
        <w:trPr>
          <w:trHeight w:val="312"/>
        </w:trPr>
        <w:tc>
          <w:tcPr>
            <w:tcW w:w="1134" w:type="dxa"/>
            <w:vMerge/>
            <w:shd w:val="clear" w:color="auto" w:fill="auto"/>
            <w:noWrap/>
            <w:vAlign w:val="center"/>
          </w:tcPr>
          <w:p w:rsidR="009C171E" w:rsidRPr="005F6331" w:rsidRDefault="009C171E" w:rsidP="005F6331">
            <w:pPr>
              <w:pStyle w:val="144"/>
              <w:jc w:val="center"/>
              <w:rPr>
                <w:rFonts w:hAnsi="標楷體" w:hint="eastAsia"/>
                <w:color w:val="000000"/>
                <w:szCs w:val="24"/>
              </w:rPr>
            </w:pP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5月25日</w:t>
            </w:r>
          </w:p>
        </w:tc>
        <w:tc>
          <w:tcPr>
            <w:tcW w:w="6237" w:type="dxa"/>
            <w:shd w:val="clear" w:color="auto" w:fill="auto"/>
            <w:noWrap/>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加入氣候債券倡議組織(Climate Bonds Initiative, CBI)會員</w:t>
            </w:r>
          </w:p>
        </w:tc>
      </w:tr>
      <w:tr w:rsidR="009C171E" w:rsidRPr="005F6331" w:rsidTr="009B3AAA">
        <w:trPr>
          <w:trHeight w:val="312"/>
        </w:trPr>
        <w:tc>
          <w:tcPr>
            <w:tcW w:w="1134" w:type="dxa"/>
            <w:vMerge w:val="restart"/>
            <w:shd w:val="clear" w:color="auto" w:fill="auto"/>
            <w:noWrap/>
            <w:vAlign w:val="center"/>
          </w:tcPr>
          <w:p w:rsidR="009C171E" w:rsidRPr="005F6331" w:rsidRDefault="009C171E" w:rsidP="005F6331">
            <w:pPr>
              <w:pStyle w:val="144"/>
              <w:jc w:val="center"/>
              <w:rPr>
                <w:rFonts w:hAnsi="標楷體" w:hint="eastAsia"/>
                <w:color w:val="000000"/>
                <w:szCs w:val="24"/>
              </w:rPr>
            </w:pPr>
            <w:r w:rsidRPr="005F6331">
              <w:rPr>
                <w:rFonts w:hAnsi="標楷體" w:hint="eastAsia"/>
                <w:color w:val="000000"/>
                <w:szCs w:val="24"/>
              </w:rPr>
              <w:t>108</w:t>
            </w: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1月19日</w:t>
            </w:r>
          </w:p>
        </w:tc>
        <w:tc>
          <w:tcPr>
            <w:tcW w:w="6237" w:type="dxa"/>
            <w:shd w:val="clear" w:color="auto" w:fill="auto"/>
            <w:noWrap/>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建立綠色金融資產證券化商品之認可機制</w:t>
            </w:r>
          </w:p>
        </w:tc>
      </w:tr>
      <w:tr w:rsidR="009C171E" w:rsidRPr="005F6331" w:rsidTr="009B3AAA">
        <w:trPr>
          <w:trHeight w:val="312"/>
        </w:trPr>
        <w:tc>
          <w:tcPr>
            <w:tcW w:w="1134" w:type="dxa"/>
            <w:vMerge/>
            <w:shd w:val="clear" w:color="auto" w:fill="auto"/>
            <w:noWrap/>
            <w:vAlign w:val="center"/>
          </w:tcPr>
          <w:p w:rsidR="009C171E" w:rsidRPr="005F6331" w:rsidRDefault="009C171E" w:rsidP="005F6331">
            <w:pPr>
              <w:pStyle w:val="144"/>
              <w:jc w:val="center"/>
              <w:rPr>
                <w:rFonts w:hAnsi="標楷體" w:hint="eastAsia"/>
                <w:color w:val="000000"/>
                <w:szCs w:val="24"/>
              </w:rPr>
            </w:pP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11月6日</w:t>
            </w:r>
          </w:p>
        </w:tc>
        <w:tc>
          <w:tcPr>
            <w:tcW w:w="6237" w:type="dxa"/>
            <w:shd w:val="clear" w:color="auto" w:fill="auto"/>
            <w:noWrap/>
            <w:vAlign w:val="center"/>
          </w:tcPr>
          <w:p w:rsidR="009C171E" w:rsidRPr="005F6331" w:rsidRDefault="009C171E" w:rsidP="005E4A48">
            <w:pPr>
              <w:pStyle w:val="144"/>
              <w:jc w:val="both"/>
              <w:rPr>
                <w:rFonts w:hAnsi="標楷體" w:hint="eastAsia"/>
                <w:color w:val="000000"/>
                <w:szCs w:val="24"/>
              </w:rPr>
            </w:pPr>
            <w:r w:rsidRPr="005F6331">
              <w:rPr>
                <w:rFonts w:hAnsi="標楷體" w:hint="eastAsia"/>
                <w:color w:val="000000"/>
                <w:szCs w:val="24"/>
              </w:rPr>
              <w:t>舉辦「2019臺北綠色債券國際研討會」</w:t>
            </w:r>
          </w:p>
        </w:tc>
      </w:tr>
      <w:tr w:rsidR="009C171E" w:rsidRPr="005F6331" w:rsidTr="009B3AAA">
        <w:trPr>
          <w:trHeight w:val="312"/>
        </w:trPr>
        <w:tc>
          <w:tcPr>
            <w:tcW w:w="1134" w:type="dxa"/>
            <w:vMerge/>
            <w:shd w:val="clear" w:color="auto" w:fill="auto"/>
            <w:noWrap/>
            <w:vAlign w:val="center"/>
          </w:tcPr>
          <w:p w:rsidR="009C171E" w:rsidRPr="005F6331" w:rsidRDefault="009C171E" w:rsidP="005F6331">
            <w:pPr>
              <w:pStyle w:val="144"/>
              <w:jc w:val="center"/>
              <w:rPr>
                <w:rFonts w:hAnsi="標楷體"/>
                <w:color w:val="000000"/>
                <w:szCs w:val="24"/>
              </w:rPr>
            </w:pPr>
          </w:p>
        </w:tc>
        <w:tc>
          <w:tcPr>
            <w:tcW w:w="1134" w:type="dxa"/>
            <w:vAlign w:val="center"/>
          </w:tcPr>
          <w:p w:rsidR="009C171E" w:rsidRPr="005F6331" w:rsidRDefault="009C171E" w:rsidP="005E4A48">
            <w:pPr>
              <w:pStyle w:val="144"/>
              <w:rPr>
                <w:rFonts w:hAnsi="標楷體"/>
                <w:color w:val="000000"/>
                <w:szCs w:val="24"/>
              </w:rPr>
            </w:pPr>
            <w:r w:rsidRPr="005F6331">
              <w:rPr>
                <w:rFonts w:hAnsi="標楷體" w:hint="eastAsia"/>
                <w:color w:val="000000"/>
                <w:szCs w:val="24"/>
              </w:rPr>
              <w:t>12月16日</w:t>
            </w:r>
          </w:p>
        </w:tc>
        <w:tc>
          <w:tcPr>
            <w:tcW w:w="6237" w:type="dxa"/>
            <w:shd w:val="clear" w:color="auto" w:fill="auto"/>
            <w:noWrap/>
            <w:vAlign w:val="center"/>
          </w:tcPr>
          <w:p w:rsidR="009C171E" w:rsidRPr="005F6331" w:rsidRDefault="009C171E" w:rsidP="005E4A48">
            <w:pPr>
              <w:pStyle w:val="144"/>
              <w:rPr>
                <w:rFonts w:hAnsi="標楷體"/>
                <w:color w:val="000000"/>
                <w:szCs w:val="24"/>
              </w:rPr>
            </w:pPr>
            <w:r w:rsidRPr="005F6331">
              <w:rPr>
                <w:rFonts w:hAnsi="標楷體" w:hint="eastAsia"/>
                <w:color w:val="000000"/>
                <w:szCs w:val="24"/>
              </w:rPr>
              <w:t>我國綠色債券流通在外餘額突破新臺幣1,000億元</w:t>
            </w:r>
          </w:p>
        </w:tc>
      </w:tr>
      <w:tr w:rsidR="009C171E" w:rsidRPr="005F6331" w:rsidTr="009B3AAA">
        <w:trPr>
          <w:trHeight w:val="312"/>
        </w:trPr>
        <w:tc>
          <w:tcPr>
            <w:tcW w:w="1134" w:type="dxa"/>
            <w:vMerge w:val="restart"/>
            <w:shd w:val="clear" w:color="auto" w:fill="auto"/>
            <w:noWrap/>
            <w:vAlign w:val="center"/>
          </w:tcPr>
          <w:p w:rsidR="009C171E" w:rsidRPr="005F6331" w:rsidRDefault="009C171E" w:rsidP="005F6331">
            <w:pPr>
              <w:pStyle w:val="144"/>
              <w:jc w:val="center"/>
              <w:rPr>
                <w:rFonts w:hAnsi="標楷體" w:hint="eastAsia"/>
                <w:color w:val="000000"/>
                <w:szCs w:val="24"/>
              </w:rPr>
            </w:pPr>
            <w:r w:rsidRPr="005F6331">
              <w:rPr>
                <w:rFonts w:hAnsi="標楷體" w:hint="eastAsia"/>
                <w:color w:val="000000"/>
                <w:szCs w:val="24"/>
              </w:rPr>
              <w:t>109</w:t>
            </w: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10月6日</w:t>
            </w:r>
          </w:p>
        </w:tc>
        <w:tc>
          <w:tcPr>
            <w:tcW w:w="6237" w:type="dxa"/>
            <w:shd w:val="clear" w:color="auto" w:fill="auto"/>
            <w:noWrap/>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發布「可持續發展債券作業要點」，建立可持續發展債券櫃檯買賣制度</w:t>
            </w:r>
          </w:p>
        </w:tc>
      </w:tr>
      <w:tr w:rsidR="009C171E" w:rsidRPr="005F6331" w:rsidTr="009B3AAA">
        <w:trPr>
          <w:trHeight w:val="312"/>
        </w:trPr>
        <w:tc>
          <w:tcPr>
            <w:tcW w:w="1134" w:type="dxa"/>
            <w:vMerge/>
            <w:shd w:val="clear" w:color="auto" w:fill="auto"/>
            <w:noWrap/>
            <w:vAlign w:val="center"/>
          </w:tcPr>
          <w:p w:rsidR="009C171E" w:rsidRPr="005F6331" w:rsidRDefault="009C171E" w:rsidP="005F6331">
            <w:pPr>
              <w:pStyle w:val="144"/>
              <w:jc w:val="center"/>
              <w:rPr>
                <w:rFonts w:hAnsi="標楷體" w:hint="eastAsia"/>
                <w:color w:val="000000"/>
                <w:szCs w:val="24"/>
              </w:rPr>
            </w:pP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10月23日</w:t>
            </w:r>
          </w:p>
        </w:tc>
        <w:tc>
          <w:tcPr>
            <w:tcW w:w="6237" w:type="dxa"/>
            <w:shd w:val="clear" w:color="auto" w:fill="auto"/>
            <w:noWrap/>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建置永續發展債券資訊專區</w:t>
            </w:r>
          </w:p>
        </w:tc>
      </w:tr>
      <w:tr w:rsidR="009C171E" w:rsidRPr="005F6331" w:rsidTr="009B3AAA">
        <w:trPr>
          <w:trHeight w:val="312"/>
        </w:trPr>
        <w:tc>
          <w:tcPr>
            <w:tcW w:w="1134" w:type="dxa"/>
            <w:vMerge/>
            <w:shd w:val="clear" w:color="auto" w:fill="auto"/>
            <w:noWrap/>
            <w:vAlign w:val="center"/>
          </w:tcPr>
          <w:p w:rsidR="009C171E" w:rsidRPr="005F6331" w:rsidRDefault="009C171E" w:rsidP="005F6331">
            <w:pPr>
              <w:pStyle w:val="144"/>
              <w:jc w:val="center"/>
              <w:rPr>
                <w:rFonts w:hAnsi="標楷體" w:hint="eastAsia"/>
                <w:color w:val="000000"/>
                <w:szCs w:val="24"/>
              </w:rPr>
            </w:pP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11月6日</w:t>
            </w:r>
          </w:p>
        </w:tc>
        <w:tc>
          <w:tcPr>
            <w:tcW w:w="6237" w:type="dxa"/>
            <w:shd w:val="clear" w:color="auto" w:fill="auto"/>
            <w:noWrap/>
            <w:vAlign w:val="center"/>
          </w:tcPr>
          <w:p w:rsidR="009C171E" w:rsidRPr="005F6331" w:rsidRDefault="009C171E" w:rsidP="005E4A48">
            <w:pPr>
              <w:pStyle w:val="144"/>
              <w:rPr>
                <w:rFonts w:hAnsi="標楷體" w:hint="eastAsia"/>
                <w:color w:val="000000"/>
                <w:szCs w:val="24"/>
              </w:rPr>
            </w:pPr>
            <w:r w:rsidRPr="005F6331">
              <w:rPr>
                <w:rFonts w:hAnsi="標楷體"/>
                <w:color w:val="000000"/>
                <w:szCs w:val="24"/>
              </w:rPr>
              <w:t>首批可持續發展債券上櫃發行</w:t>
            </w:r>
          </w:p>
        </w:tc>
      </w:tr>
      <w:tr w:rsidR="009C171E" w:rsidRPr="005F6331" w:rsidTr="009B3AAA">
        <w:trPr>
          <w:trHeight w:val="312"/>
        </w:trPr>
        <w:tc>
          <w:tcPr>
            <w:tcW w:w="1134" w:type="dxa"/>
            <w:vMerge/>
            <w:shd w:val="clear" w:color="auto" w:fill="auto"/>
            <w:noWrap/>
            <w:vAlign w:val="center"/>
          </w:tcPr>
          <w:p w:rsidR="009C171E" w:rsidRPr="005F6331" w:rsidRDefault="009C171E" w:rsidP="005F6331">
            <w:pPr>
              <w:pStyle w:val="144"/>
              <w:jc w:val="center"/>
              <w:rPr>
                <w:rFonts w:hAnsi="標楷體" w:hint="eastAsia"/>
                <w:color w:val="000000"/>
                <w:szCs w:val="24"/>
              </w:rPr>
            </w:pP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12月25日</w:t>
            </w:r>
          </w:p>
        </w:tc>
        <w:tc>
          <w:tcPr>
            <w:tcW w:w="6237" w:type="dxa"/>
            <w:shd w:val="clear" w:color="auto" w:fill="auto"/>
            <w:noWrap/>
            <w:vAlign w:val="center"/>
          </w:tcPr>
          <w:p w:rsidR="009C171E" w:rsidRPr="005F6331" w:rsidRDefault="003C7997" w:rsidP="005E4A48">
            <w:pPr>
              <w:pStyle w:val="144"/>
              <w:rPr>
                <w:rFonts w:hAnsi="標楷體" w:hint="eastAsia"/>
                <w:color w:val="000000"/>
                <w:szCs w:val="24"/>
              </w:rPr>
            </w:pPr>
            <w:r>
              <w:rPr>
                <w:rFonts w:hAnsi="標楷體" w:hint="eastAsia"/>
                <w:color w:val="000000"/>
                <w:szCs w:val="24"/>
              </w:rPr>
              <w:t>我國綠色債券流通在外餘額突破新臺</w:t>
            </w:r>
            <w:r w:rsidR="009C171E" w:rsidRPr="005F6331">
              <w:rPr>
                <w:rFonts w:hAnsi="標楷體" w:hint="eastAsia"/>
                <w:color w:val="000000"/>
                <w:szCs w:val="24"/>
              </w:rPr>
              <w:t>幣1,500億元</w:t>
            </w:r>
          </w:p>
        </w:tc>
      </w:tr>
      <w:tr w:rsidR="009C171E" w:rsidRPr="005F6331" w:rsidTr="009B3AAA">
        <w:trPr>
          <w:trHeight w:val="312"/>
        </w:trPr>
        <w:tc>
          <w:tcPr>
            <w:tcW w:w="1134" w:type="dxa"/>
            <w:vMerge w:val="restart"/>
            <w:shd w:val="clear" w:color="auto" w:fill="auto"/>
            <w:noWrap/>
            <w:vAlign w:val="center"/>
          </w:tcPr>
          <w:p w:rsidR="009C171E" w:rsidRPr="005F6331" w:rsidRDefault="009C171E" w:rsidP="005F6331">
            <w:pPr>
              <w:pStyle w:val="144"/>
              <w:jc w:val="center"/>
              <w:rPr>
                <w:rFonts w:hAnsi="標楷體" w:hint="eastAsia"/>
                <w:color w:val="000000"/>
                <w:szCs w:val="24"/>
              </w:rPr>
            </w:pPr>
            <w:r w:rsidRPr="005F6331">
              <w:rPr>
                <w:rFonts w:hAnsi="標楷體" w:hint="eastAsia"/>
                <w:color w:val="000000"/>
                <w:szCs w:val="24"/>
              </w:rPr>
              <w:t>110</w:t>
            </w: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4月29日</w:t>
            </w:r>
          </w:p>
        </w:tc>
        <w:tc>
          <w:tcPr>
            <w:tcW w:w="6237" w:type="dxa"/>
            <w:shd w:val="clear" w:color="auto" w:fill="auto"/>
            <w:noWrap/>
            <w:vAlign w:val="center"/>
          </w:tcPr>
          <w:p w:rsidR="009C171E" w:rsidRPr="005F6331" w:rsidRDefault="009C171E" w:rsidP="005E4A48">
            <w:pPr>
              <w:pStyle w:val="144"/>
              <w:rPr>
                <w:rFonts w:hAnsi="標楷體" w:hint="eastAsia"/>
                <w:color w:val="000000"/>
                <w:szCs w:val="24"/>
              </w:rPr>
            </w:pPr>
            <w:r w:rsidRPr="005F6331">
              <w:rPr>
                <w:rFonts w:hAnsi="標楷體"/>
                <w:color w:val="000000"/>
                <w:szCs w:val="24"/>
              </w:rPr>
              <w:t>發布「永續發展債券作業要點」並建立社會責任債券櫃檯買賣制度</w:t>
            </w:r>
          </w:p>
        </w:tc>
      </w:tr>
      <w:tr w:rsidR="009C171E" w:rsidRPr="005F6331" w:rsidTr="009B3AAA">
        <w:trPr>
          <w:trHeight w:val="312"/>
        </w:trPr>
        <w:tc>
          <w:tcPr>
            <w:tcW w:w="1134" w:type="dxa"/>
            <w:vMerge/>
            <w:shd w:val="clear" w:color="auto" w:fill="auto"/>
            <w:noWrap/>
            <w:vAlign w:val="center"/>
          </w:tcPr>
          <w:p w:rsidR="009C171E" w:rsidRPr="005F6331" w:rsidRDefault="009C171E" w:rsidP="005F6331">
            <w:pPr>
              <w:pStyle w:val="144"/>
              <w:jc w:val="center"/>
              <w:rPr>
                <w:rFonts w:hAnsi="標楷體" w:hint="eastAsia"/>
                <w:color w:val="000000"/>
                <w:szCs w:val="24"/>
              </w:rPr>
            </w:pP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5月18日</w:t>
            </w:r>
          </w:p>
        </w:tc>
        <w:tc>
          <w:tcPr>
            <w:tcW w:w="6237" w:type="dxa"/>
            <w:shd w:val="clear" w:color="auto" w:fill="auto"/>
            <w:noWrap/>
            <w:vAlign w:val="center"/>
          </w:tcPr>
          <w:p w:rsidR="009C171E" w:rsidRPr="005F6331" w:rsidRDefault="009C171E" w:rsidP="005E4A48">
            <w:pPr>
              <w:pStyle w:val="144"/>
              <w:rPr>
                <w:rFonts w:hAnsi="標楷體" w:hint="eastAsia"/>
                <w:color w:val="000000"/>
                <w:szCs w:val="24"/>
              </w:rPr>
            </w:pPr>
            <w:r w:rsidRPr="005F6331">
              <w:rPr>
                <w:rFonts w:hAnsi="標楷體"/>
                <w:color w:val="000000"/>
                <w:szCs w:val="24"/>
              </w:rPr>
              <w:t>永續發展債券專板啟動及首批社會責任債券上櫃掛牌</w:t>
            </w:r>
          </w:p>
        </w:tc>
      </w:tr>
      <w:tr w:rsidR="009C171E" w:rsidRPr="005F6331" w:rsidTr="009B3AAA">
        <w:trPr>
          <w:trHeight w:val="312"/>
        </w:trPr>
        <w:tc>
          <w:tcPr>
            <w:tcW w:w="1134" w:type="dxa"/>
            <w:vMerge/>
            <w:shd w:val="clear" w:color="auto" w:fill="auto"/>
            <w:noWrap/>
            <w:vAlign w:val="center"/>
          </w:tcPr>
          <w:p w:rsidR="009C171E" w:rsidRPr="005F6331" w:rsidRDefault="009C171E" w:rsidP="005F6331">
            <w:pPr>
              <w:pStyle w:val="144"/>
              <w:jc w:val="center"/>
              <w:rPr>
                <w:rFonts w:hAnsi="標楷體" w:hint="eastAsia"/>
                <w:color w:val="000000"/>
                <w:szCs w:val="24"/>
              </w:rPr>
            </w:pP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7月6日</w:t>
            </w:r>
          </w:p>
        </w:tc>
        <w:tc>
          <w:tcPr>
            <w:tcW w:w="6237" w:type="dxa"/>
            <w:shd w:val="clear" w:color="auto" w:fill="auto"/>
            <w:noWrap/>
            <w:vAlign w:val="center"/>
          </w:tcPr>
          <w:p w:rsidR="009C171E" w:rsidRPr="005F6331" w:rsidRDefault="009C171E" w:rsidP="005E4A48">
            <w:pPr>
              <w:pStyle w:val="144"/>
              <w:rPr>
                <w:rFonts w:hAnsi="標楷體" w:hint="eastAsia"/>
                <w:color w:val="000000"/>
                <w:szCs w:val="24"/>
              </w:rPr>
            </w:pPr>
            <w:r w:rsidRPr="005F6331">
              <w:rPr>
                <w:rFonts w:hAnsi="標楷體"/>
                <w:color w:val="000000"/>
                <w:szCs w:val="24"/>
              </w:rPr>
              <w:t>加入國際資本市場協會(International Capital Market Association, ICMA)之會員</w:t>
            </w:r>
          </w:p>
        </w:tc>
      </w:tr>
      <w:tr w:rsidR="009C171E" w:rsidRPr="005F6331" w:rsidTr="009B3AAA">
        <w:trPr>
          <w:trHeight w:val="312"/>
        </w:trPr>
        <w:tc>
          <w:tcPr>
            <w:tcW w:w="1134" w:type="dxa"/>
            <w:vMerge/>
            <w:shd w:val="clear" w:color="auto" w:fill="auto"/>
            <w:noWrap/>
            <w:vAlign w:val="center"/>
          </w:tcPr>
          <w:p w:rsidR="009C171E" w:rsidRPr="005F6331" w:rsidRDefault="009C171E" w:rsidP="005F6331">
            <w:pPr>
              <w:pStyle w:val="144"/>
              <w:jc w:val="center"/>
              <w:rPr>
                <w:rFonts w:hAnsi="標楷體" w:hint="eastAsia"/>
                <w:color w:val="000000"/>
                <w:szCs w:val="24"/>
              </w:rPr>
            </w:pP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12月16日</w:t>
            </w:r>
          </w:p>
        </w:tc>
        <w:tc>
          <w:tcPr>
            <w:tcW w:w="6237" w:type="dxa"/>
            <w:shd w:val="clear" w:color="auto" w:fill="auto"/>
            <w:noWrap/>
            <w:vAlign w:val="center"/>
          </w:tcPr>
          <w:p w:rsidR="009C171E" w:rsidRPr="005F6331" w:rsidRDefault="009C171E" w:rsidP="005E4A48">
            <w:pPr>
              <w:pStyle w:val="144"/>
              <w:rPr>
                <w:rFonts w:hAnsi="標楷體" w:hint="eastAsia"/>
                <w:color w:val="000000"/>
                <w:szCs w:val="24"/>
              </w:rPr>
            </w:pPr>
            <w:r w:rsidRPr="005F6331">
              <w:rPr>
                <w:rFonts w:hAnsi="標楷體"/>
                <w:color w:val="000000"/>
                <w:szCs w:val="24"/>
              </w:rPr>
              <w:t>建立永續發展政府債券櫃檯買賣制度</w:t>
            </w:r>
          </w:p>
        </w:tc>
      </w:tr>
      <w:tr w:rsidR="009C171E" w:rsidRPr="005F6331" w:rsidTr="009B3AAA">
        <w:trPr>
          <w:trHeight w:val="312"/>
        </w:trPr>
        <w:tc>
          <w:tcPr>
            <w:tcW w:w="1134" w:type="dxa"/>
            <w:vMerge w:val="restart"/>
            <w:shd w:val="clear" w:color="auto" w:fill="auto"/>
            <w:noWrap/>
            <w:vAlign w:val="center"/>
          </w:tcPr>
          <w:p w:rsidR="009C171E" w:rsidRPr="005F6331" w:rsidRDefault="009C171E" w:rsidP="005F6331">
            <w:pPr>
              <w:pStyle w:val="144"/>
              <w:jc w:val="center"/>
              <w:rPr>
                <w:rFonts w:hAnsi="標楷體" w:hint="eastAsia"/>
                <w:color w:val="000000"/>
                <w:szCs w:val="24"/>
              </w:rPr>
            </w:pPr>
            <w:r w:rsidRPr="005F6331">
              <w:rPr>
                <w:rFonts w:hAnsi="標楷體" w:hint="eastAsia"/>
                <w:color w:val="000000"/>
                <w:szCs w:val="24"/>
              </w:rPr>
              <w:t>111</w:t>
            </w: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3月24日</w:t>
            </w:r>
          </w:p>
        </w:tc>
        <w:tc>
          <w:tcPr>
            <w:tcW w:w="6237" w:type="dxa"/>
            <w:shd w:val="clear" w:color="auto" w:fill="auto"/>
            <w:noWrap/>
            <w:vAlign w:val="center"/>
          </w:tcPr>
          <w:p w:rsidR="009C171E" w:rsidRPr="005F6331" w:rsidRDefault="009C171E" w:rsidP="005E4A48">
            <w:pPr>
              <w:pStyle w:val="144"/>
              <w:rPr>
                <w:rFonts w:hAnsi="標楷體"/>
                <w:color w:val="000000"/>
                <w:szCs w:val="24"/>
              </w:rPr>
            </w:pPr>
            <w:r w:rsidRPr="005F6331">
              <w:rPr>
                <w:rFonts w:hAnsi="標楷體"/>
                <w:color w:val="000000"/>
                <w:szCs w:val="24"/>
              </w:rPr>
              <w:t>揭露發行人整體永續發展策略概要資訊</w:t>
            </w:r>
          </w:p>
        </w:tc>
      </w:tr>
      <w:tr w:rsidR="009C171E" w:rsidRPr="005F6331" w:rsidTr="009B3AAA">
        <w:trPr>
          <w:trHeight w:val="312"/>
        </w:trPr>
        <w:tc>
          <w:tcPr>
            <w:tcW w:w="1134" w:type="dxa"/>
            <w:vMerge/>
            <w:shd w:val="clear" w:color="auto" w:fill="auto"/>
            <w:noWrap/>
            <w:vAlign w:val="center"/>
          </w:tcPr>
          <w:p w:rsidR="009C171E" w:rsidRPr="005F6331" w:rsidRDefault="009C171E" w:rsidP="005F6331">
            <w:pPr>
              <w:pStyle w:val="144"/>
              <w:jc w:val="center"/>
              <w:rPr>
                <w:rFonts w:hAnsi="標楷體" w:hint="eastAsia"/>
                <w:color w:val="000000"/>
                <w:szCs w:val="24"/>
              </w:rPr>
            </w:pP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4月20日</w:t>
            </w:r>
          </w:p>
        </w:tc>
        <w:tc>
          <w:tcPr>
            <w:tcW w:w="6237" w:type="dxa"/>
            <w:shd w:val="clear" w:color="auto" w:fill="auto"/>
            <w:noWrap/>
            <w:vAlign w:val="center"/>
          </w:tcPr>
          <w:p w:rsidR="009C171E" w:rsidRPr="005F6331" w:rsidRDefault="003C7997" w:rsidP="005E4A48">
            <w:pPr>
              <w:pStyle w:val="144"/>
              <w:rPr>
                <w:rFonts w:hAnsi="標楷體"/>
                <w:color w:val="000000"/>
                <w:szCs w:val="24"/>
              </w:rPr>
            </w:pPr>
            <w:r>
              <w:rPr>
                <w:rFonts w:hAnsi="標楷體"/>
                <w:color w:val="000000"/>
                <w:szCs w:val="24"/>
              </w:rPr>
              <w:t>我國永續發展債券流通在外餘額突破新</w:t>
            </w:r>
            <w:r>
              <w:rPr>
                <w:rFonts w:hAnsi="標楷體" w:hint="eastAsia"/>
                <w:color w:val="000000"/>
                <w:szCs w:val="24"/>
              </w:rPr>
              <w:t>臺</w:t>
            </w:r>
            <w:r w:rsidR="009C171E" w:rsidRPr="005F6331">
              <w:rPr>
                <w:rFonts w:hAnsi="標楷體"/>
                <w:color w:val="000000"/>
                <w:szCs w:val="24"/>
              </w:rPr>
              <w:t>幣3,000億元</w:t>
            </w:r>
          </w:p>
        </w:tc>
      </w:tr>
      <w:tr w:rsidR="009C171E" w:rsidRPr="005F6331" w:rsidTr="009B3AAA">
        <w:trPr>
          <w:trHeight w:val="312"/>
        </w:trPr>
        <w:tc>
          <w:tcPr>
            <w:tcW w:w="1134" w:type="dxa"/>
            <w:vMerge/>
            <w:shd w:val="clear" w:color="auto" w:fill="auto"/>
            <w:noWrap/>
            <w:vAlign w:val="center"/>
          </w:tcPr>
          <w:p w:rsidR="009C171E" w:rsidRPr="005F6331" w:rsidRDefault="009C171E" w:rsidP="005F6331">
            <w:pPr>
              <w:pStyle w:val="144"/>
              <w:jc w:val="center"/>
              <w:rPr>
                <w:rFonts w:hAnsi="標楷體" w:hint="eastAsia"/>
                <w:color w:val="000000"/>
                <w:szCs w:val="24"/>
              </w:rPr>
            </w:pP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7月8日</w:t>
            </w:r>
          </w:p>
        </w:tc>
        <w:tc>
          <w:tcPr>
            <w:tcW w:w="6237" w:type="dxa"/>
            <w:shd w:val="clear" w:color="auto" w:fill="auto"/>
            <w:noWrap/>
            <w:vAlign w:val="center"/>
          </w:tcPr>
          <w:p w:rsidR="009C171E" w:rsidRPr="005F6331" w:rsidRDefault="009C171E" w:rsidP="005E4A48">
            <w:pPr>
              <w:pStyle w:val="144"/>
              <w:rPr>
                <w:rFonts w:hAnsi="標楷體"/>
                <w:color w:val="000000"/>
                <w:szCs w:val="24"/>
              </w:rPr>
            </w:pPr>
            <w:r w:rsidRPr="005F6331">
              <w:rPr>
                <w:rFonts w:hAnsi="標楷體"/>
                <w:color w:val="000000"/>
                <w:szCs w:val="24"/>
              </w:rPr>
              <w:t>建立可持續發展連結債券(SLB)櫃檯買賣制度</w:t>
            </w:r>
          </w:p>
        </w:tc>
      </w:tr>
      <w:tr w:rsidR="009C171E" w:rsidRPr="005F6331" w:rsidTr="009B3AAA">
        <w:trPr>
          <w:trHeight w:val="312"/>
        </w:trPr>
        <w:tc>
          <w:tcPr>
            <w:tcW w:w="1134" w:type="dxa"/>
            <w:vMerge/>
            <w:shd w:val="clear" w:color="auto" w:fill="auto"/>
            <w:noWrap/>
            <w:vAlign w:val="center"/>
          </w:tcPr>
          <w:p w:rsidR="009C171E" w:rsidRPr="005F6331" w:rsidRDefault="009C171E" w:rsidP="005F6331">
            <w:pPr>
              <w:pStyle w:val="144"/>
              <w:jc w:val="center"/>
              <w:rPr>
                <w:rFonts w:hAnsi="標楷體" w:hint="eastAsia"/>
                <w:color w:val="000000"/>
                <w:szCs w:val="24"/>
              </w:rPr>
            </w:pP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9月14日</w:t>
            </w:r>
          </w:p>
        </w:tc>
        <w:tc>
          <w:tcPr>
            <w:tcW w:w="6237" w:type="dxa"/>
            <w:shd w:val="clear" w:color="auto" w:fill="auto"/>
            <w:noWrap/>
            <w:vAlign w:val="center"/>
          </w:tcPr>
          <w:p w:rsidR="009C171E" w:rsidRPr="005F6331" w:rsidRDefault="009C171E" w:rsidP="005E4A48">
            <w:pPr>
              <w:pStyle w:val="144"/>
              <w:rPr>
                <w:rFonts w:hAnsi="標楷體"/>
                <w:color w:val="000000"/>
                <w:szCs w:val="24"/>
              </w:rPr>
            </w:pPr>
            <w:r w:rsidRPr="005F6331">
              <w:rPr>
                <w:rFonts w:hAnsi="標楷體"/>
                <w:color w:val="000000"/>
                <w:szCs w:val="24"/>
              </w:rPr>
              <w:t>首批可持續發展連結債券上櫃發行</w:t>
            </w:r>
          </w:p>
        </w:tc>
      </w:tr>
      <w:tr w:rsidR="009C171E" w:rsidRPr="005F6331" w:rsidTr="009B3AAA">
        <w:trPr>
          <w:trHeight w:val="312"/>
        </w:trPr>
        <w:tc>
          <w:tcPr>
            <w:tcW w:w="1134" w:type="dxa"/>
            <w:vMerge w:val="restart"/>
            <w:shd w:val="clear" w:color="auto" w:fill="auto"/>
            <w:noWrap/>
            <w:vAlign w:val="center"/>
          </w:tcPr>
          <w:p w:rsidR="009C171E" w:rsidRPr="005F6331" w:rsidRDefault="009C171E" w:rsidP="005F6331">
            <w:pPr>
              <w:pStyle w:val="144"/>
              <w:jc w:val="center"/>
              <w:rPr>
                <w:rFonts w:hAnsi="標楷體" w:hint="eastAsia"/>
                <w:color w:val="000000"/>
                <w:szCs w:val="24"/>
              </w:rPr>
            </w:pPr>
            <w:r w:rsidRPr="005F6331">
              <w:rPr>
                <w:rFonts w:hAnsi="標楷體" w:hint="eastAsia"/>
                <w:color w:val="000000"/>
                <w:szCs w:val="24"/>
              </w:rPr>
              <w:t>112</w:t>
            </w: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5月3日</w:t>
            </w:r>
          </w:p>
        </w:tc>
        <w:tc>
          <w:tcPr>
            <w:tcW w:w="6237" w:type="dxa"/>
            <w:shd w:val="clear" w:color="auto" w:fill="auto"/>
            <w:noWrap/>
            <w:vAlign w:val="center"/>
          </w:tcPr>
          <w:p w:rsidR="009C171E" w:rsidRPr="005F6331" w:rsidRDefault="009C171E" w:rsidP="005E4A48">
            <w:pPr>
              <w:pStyle w:val="144"/>
              <w:rPr>
                <w:rFonts w:hAnsi="標楷體"/>
                <w:color w:val="000000"/>
                <w:szCs w:val="24"/>
              </w:rPr>
            </w:pPr>
            <w:r w:rsidRPr="005F6331">
              <w:rPr>
                <w:rFonts w:hAnsi="標楷體"/>
                <w:color w:val="000000"/>
                <w:szCs w:val="24"/>
              </w:rPr>
              <w:t>我國永續發展債券流通在外餘額突破新</w:t>
            </w:r>
            <w:r w:rsidR="003C7997">
              <w:rPr>
                <w:rFonts w:hAnsi="標楷體" w:hint="eastAsia"/>
                <w:color w:val="000000"/>
                <w:szCs w:val="24"/>
              </w:rPr>
              <w:t>臺</w:t>
            </w:r>
            <w:r w:rsidRPr="005F6331">
              <w:rPr>
                <w:rFonts w:hAnsi="標楷體"/>
                <w:color w:val="000000"/>
                <w:szCs w:val="24"/>
              </w:rPr>
              <w:t>幣4,000億元</w:t>
            </w:r>
          </w:p>
        </w:tc>
      </w:tr>
      <w:tr w:rsidR="009C171E" w:rsidRPr="005F6331" w:rsidTr="009B3AAA">
        <w:trPr>
          <w:trHeight w:val="312"/>
        </w:trPr>
        <w:tc>
          <w:tcPr>
            <w:tcW w:w="1134" w:type="dxa"/>
            <w:vMerge/>
            <w:shd w:val="clear" w:color="auto" w:fill="auto"/>
            <w:noWrap/>
            <w:vAlign w:val="center"/>
          </w:tcPr>
          <w:p w:rsidR="009C171E" w:rsidRPr="005F6331" w:rsidRDefault="009C171E" w:rsidP="005F6331">
            <w:pPr>
              <w:pStyle w:val="144"/>
              <w:jc w:val="center"/>
              <w:rPr>
                <w:rFonts w:hAnsi="標楷體" w:hint="eastAsia"/>
                <w:color w:val="000000"/>
                <w:szCs w:val="24"/>
              </w:rPr>
            </w:pPr>
          </w:p>
        </w:tc>
        <w:tc>
          <w:tcPr>
            <w:tcW w:w="1134" w:type="dxa"/>
            <w:vAlign w:val="center"/>
          </w:tcPr>
          <w:p w:rsidR="009C171E" w:rsidRPr="005F6331" w:rsidRDefault="009C171E" w:rsidP="005E4A48">
            <w:pPr>
              <w:pStyle w:val="144"/>
              <w:rPr>
                <w:rFonts w:hAnsi="標楷體" w:hint="eastAsia"/>
                <w:color w:val="000000"/>
                <w:szCs w:val="24"/>
              </w:rPr>
            </w:pPr>
            <w:r w:rsidRPr="005F6331">
              <w:rPr>
                <w:rFonts w:hAnsi="標楷體" w:hint="eastAsia"/>
                <w:color w:val="000000"/>
                <w:szCs w:val="24"/>
              </w:rPr>
              <w:t>12月14日</w:t>
            </w:r>
          </w:p>
        </w:tc>
        <w:tc>
          <w:tcPr>
            <w:tcW w:w="6237" w:type="dxa"/>
            <w:shd w:val="clear" w:color="auto" w:fill="auto"/>
            <w:noWrap/>
            <w:vAlign w:val="center"/>
          </w:tcPr>
          <w:p w:rsidR="009C171E" w:rsidRPr="005F6331" w:rsidRDefault="009C171E" w:rsidP="005E4A48">
            <w:pPr>
              <w:pStyle w:val="144"/>
              <w:rPr>
                <w:rFonts w:hAnsi="標楷體"/>
                <w:color w:val="000000"/>
                <w:szCs w:val="24"/>
              </w:rPr>
            </w:pPr>
            <w:r w:rsidRPr="005F6331">
              <w:rPr>
                <w:rFonts w:hAnsi="標楷體"/>
                <w:color w:val="000000"/>
                <w:szCs w:val="24"/>
              </w:rPr>
              <w:t>建立永續發展轉(交)換公司債券櫃檯買賣制度</w:t>
            </w:r>
          </w:p>
        </w:tc>
      </w:tr>
    </w:tbl>
    <w:p w:rsidR="00D86C76" w:rsidRPr="001A1EA1" w:rsidRDefault="00D86C76" w:rsidP="005E4A48">
      <w:pPr>
        <w:pStyle w:val="144"/>
        <w:rPr>
          <w:rFonts w:hint="eastAsia"/>
          <w:snapToGrid/>
        </w:rPr>
      </w:pPr>
      <w:r>
        <w:rPr>
          <w:rFonts w:hint="eastAsia"/>
          <w:snapToGrid/>
        </w:rPr>
        <w:t>資料來源：</w:t>
      </w:r>
      <w:r w:rsidR="005E4A48">
        <w:rPr>
          <w:rFonts w:hint="eastAsia"/>
          <w:snapToGrid/>
        </w:rPr>
        <w:t>櫃買中心</w:t>
      </w:r>
      <w:r>
        <w:rPr>
          <w:rFonts w:hint="eastAsia"/>
          <w:snapToGrid/>
        </w:rPr>
        <w:t>。</w:t>
      </w:r>
    </w:p>
    <w:p w:rsidR="00D93238" w:rsidRPr="00613B26" w:rsidRDefault="00D93238" w:rsidP="00613B26">
      <w:pPr>
        <w:pStyle w:val="a4"/>
        <w:ind w:left="851" w:hanging="284"/>
        <w:rPr>
          <w:rFonts w:hint="eastAsia"/>
          <w:b/>
        </w:rPr>
      </w:pPr>
      <w:r w:rsidRPr="00613B26">
        <w:rPr>
          <w:rFonts w:hint="eastAsia"/>
          <w:b/>
        </w:rPr>
        <w:t>(二)</w:t>
      </w:r>
      <w:r w:rsidR="00C06442">
        <w:rPr>
          <w:rFonts w:hint="eastAsia"/>
          <w:b/>
        </w:rPr>
        <w:t>臺北市及高雄市等地方政府均已發行永續發展債券，惟</w:t>
      </w:r>
      <w:r w:rsidR="00F95F97" w:rsidRPr="00F95F97">
        <w:rPr>
          <w:rFonts w:hint="eastAsia"/>
          <w:b/>
        </w:rPr>
        <w:t>截至113年</w:t>
      </w:r>
      <w:r w:rsidR="00E274BE">
        <w:rPr>
          <w:rFonts w:hint="eastAsia"/>
          <w:b/>
        </w:rPr>
        <w:t>6</w:t>
      </w:r>
      <w:r w:rsidR="00F95F97">
        <w:rPr>
          <w:rFonts w:hint="eastAsia"/>
          <w:b/>
        </w:rPr>
        <w:t>月底止，</w:t>
      </w:r>
      <w:r w:rsidR="00C06442">
        <w:rPr>
          <w:rFonts w:hint="eastAsia"/>
          <w:b/>
        </w:rPr>
        <w:t>中央政府</w:t>
      </w:r>
      <w:r w:rsidR="00F95F97">
        <w:rPr>
          <w:rFonts w:hint="eastAsia"/>
          <w:b/>
        </w:rPr>
        <w:t>尚無發行</w:t>
      </w:r>
      <w:r w:rsidR="00C06442">
        <w:rPr>
          <w:rFonts w:hint="eastAsia"/>
          <w:b/>
        </w:rPr>
        <w:t>是類</w:t>
      </w:r>
      <w:r w:rsidR="00F95F97">
        <w:rPr>
          <w:rFonts w:hint="eastAsia"/>
          <w:b/>
        </w:rPr>
        <w:t>債券</w:t>
      </w:r>
    </w:p>
    <w:p w:rsidR="003A5056" w:rsidRDefault="00D705BA" w:rsidP="00F95F97">
      <w:pPr>
        <w:pStyle w:val="123"/>
        <w:ind w:left="1133" w:hanging="283"/>
      </w:pPr>
      <w:r>
        <w:rPr>
          <w:rFonts w:hint="eastAsia"/>
        </w:rPr>
        <w:t>1.</w:t>
      </w:r>
      <w:r w:rsidR="003A5056">
        <w:rPr>
          <w:rFonts w:hint="eastAsia"/>
        </w:rPr>
        <w:t>櫃買中心於110年12月16日發布增訂「</w:t>
      </w:r>
      <w:r w:rsidR="003A5056" w:rsidRPr="003A5056">
        <w:rPr>
          <w:rFonts w:hint="eastAsia"/>
        </w:rPr>
        <w:t>財團法人中華民國證券櫃檯買賣中心永續發展債券作業要點</w:t>
      </w:r>
      <w:r w:rsidR="003A5056">
        <w:rPr>
          <w:rFonts w:hint="eastAsia"/>
        </w:rPr>
        <w:t>」第6條第5款</w:t>
      </w:r>
      <w:r w:rsidR="003A5056">
        <w:rPr>
          <w:rStyle w:val="af7"/>
        </w:rPr>
        <w:footnoteReference w:id="15"/>
      </w:r>
      <w:r w:rsidR="003A5056">
        <w:rPr>
          <w:rFonts w:hint="eastAsia"/>
        </w:rPr>
        <w:t>規定，將中央政府公債及地方政府公債納入得向該中心申請永續發展債券資格認可之有價證券。</w:t>
      </w:r>
    </w:p>
    <w:p w:rsidR="0002761C" w:rsidRDefault="00C06442" w:rsidP="00F95F97">
      <w:pPr>
        <w:pStyle w:val="123"/>
        <w:ind w:left="1133" w:hanging="283"/>
      </w:pPr>
      <w:r>
        <w:rPr>
          <w:rFonts w:hint="eastAsia"/>
        </w:rPr>
        <w:t>2.</w:t>
      </w:r>
      <w:r w:rsidR="00F95F97">
        <w:rPr>
          <w:rFonts w:hint="eastAsia"/>
        </w:rPr>
        <w:t>臺北市政府捷運局</w:t>
      </w:r>
      <w:r w:rsidR="00DE6B23">
        <w:rPr>
          <w:rFonts w:hint="eastAsia"/>
        </w:rPr>
        <w:t>為</w:t>
      </w:r>
      <w:r w:rsidR="008C09EB">
        <w:rPr>
          <w:rFonts w:hint="eastAsia"/>
        </w:rPr>
        <w:t>改善該</w:t>
      </w:r>
      <w:r w:rsidR="00F95F97" w:rsidRPr="00F95F97">
        <w:rPr>
          <w:rFonts w:hint="eastAsia"/>
        </w:rPr>
        <w:t>市捷運建設環境</w:t>
      </w:r>
      <w:r w:rsidR="00F95F97">
        <w:rPr>
          <w:rFonts w:hint="eastAsia"/>
        </w:rPr>
        <w:t>，於113年1月10日發行</w:t>
      </w:r>
      <w:r w:rsidR="00F95F97" w:rsidRPr="00F95F97">
        <w:rPr>
          <w:rFonts w:hint="eastAsia"/>
        </w:rPr>
        <w:t>社會責任債券</w:t>
      </w:r>
      <w:r w:rsidR="00F95F97">
        <w:rPr>
          <w:rFonts w:hint="eastAsia"/>
        </w:rPr>
        <w:t>25</w:t>
      </w:r>
      <w:r w:rsidR="00F95F97" w:rsidRPr="00F95F97">
        <w:rPr>
          <w:rFonts w:hint="eastAsia"/>
        </w:rPr>
        <w:t>億元，各年期發行金額分別為2年期6億元、3年期8億元及5年期11億元，加權平均利率1.237%</w:t>
      </w:r>
      <w:r w:rsidR="00DE6B23">
        <w:rPr>
          <w:rStyle w:val="af7"/>
        </w:rPr>
        <w:footnoteReference w:id="16"/>
      </w:r>
      <w:r w:rsidR="00F95F97" w:rsidRPr="00F95F97">
        <w:rPr>
          <w:rFonts w:hint="eastAsia"/>
        </w:rPr>
        <w:t>。</w:t>
      </w:r>
      <w:r w:rsidR="00F95F97">
        <w:rPr>
          <w:rFonts w:hint="eastAsia"/>
        </w:rPr>
        <w:t>該檔債券是國內政府機關首先掛牌發行之社會責任債券，並為國內政府機關首例將計畫書內容與聯合國永續發展目標(</w:t>
      </w:r>
      <w:r w:rsidR="00F95F97" w:rsidRPr="00F95F97">
        <w:t>SDGs</w:t>
      </w:r>
      <w:r w:rsidR="00F95F97">
        <w:rPr>
          <w:rFonts w:hint="eastAsia"/>
        </w:rPr>
        <w:t>)</w:t>
      </w:r>
      <w:r w:rsidR="00F95F97" w:rsidRPr="00F95F97">
        <w:rPr>
          <w:rFonts w:hint="eastAsia"/>
        </w:rPr>
        <w:t>連結。此外，</w:t>
      </w:r>
      <w:r w:rsidR="00F95F97">
        <w:rPr>
          <w:rFonts w:hint="eastAsia"/>
        </w:rPr>
        <w:t>亦</w:t>
      </w:r>
      <w:r w:rsidR="00F95F97" w:rsidRPr="00F95F97">
        <w:rPr>
          <w:rFonts w:hint="eastAsia"/>
        </w:rPr>
        <w:t>是國內首先參照國際資本市場協會(ICMA)</w:t>
      </w:r>
      <w:r w:rsidR="00F50D92">
        <w:rPr>
          <w:rFonts w:hint="eastAsia"/>
        </w:rPr>
        <w:t>發行社會責任債券</w:t>
      </w:r>
      <w:r w:rsidR="00F95F97">
        <w:rPr>
          <w:rFonts w:hint="eastAsia"/>
        </w:rPr>
        <w:t>最新準則，</w:t>
      </w:r>
      <w:r w:rsidR="00F50D92">
        <w:rPr>
          <w:rFonts w:hint="eastAsia"/>
        </w:rPr>
        <w:t>並</w:t>
      </w:r>
      <w:r w:rsidR="00F95F97">
        <w:rPr>
          <w:rFonts w:hint="eastAsia"/>
        </w:rPr>
        <w:t>追蹤</w:t>
      </w:r>
      <w:r w:rsidR="00F50D92">
        <w:rPr>
          <w:rFonts w:hint="eastAsia"/>
        </w:rPr>
        <w:t>債券</w:t>
      </w:r>
      <w:r w:rsidR="00F95F97" w:rsidRPr="00F95F97">
        <w:rPr>
          <w:rFonts w:hint="eastAsia"/>
        </w:rPr>
        <w:t>發行</w:t>
      </w:r>
      <w:r w:rsidR="00F95F97">
        <w:rPr>
          <w:rFonts w:hint="eastAsia"/>
        </w:rPr>
        <w:t>後之</w:t>
      </w:r>
      <w:r w:rsidR="00F95F97" w:rsidRPr="00F95F97">
        <w:rPr>
          <w:rFonts w:hint="eastAsia"/>
        </w:rPr>
        <w:t>外部成果及影響力。</w:t>
      </w:r>
      <w:r w:rsidR="00F50D92">
        <w:rPr>
          <w:rFonts w:hint="eastAsia"/>
        </w:rPr>
        <w:t>嗣臺北市政府於113年3月25日發行第2次</w:t>
      </w:r>
      <w:r w:rsidR="00F50D92" w:rsidRPr="00F50D92">
        <w:rPr>
          <w:rFonts w:hint="eastAsia"/>
        </w:rPr>
        <w:t>社會責任債券</w:t>
      </w:r>
      <w:r w:rsidR="00F50D92">
        <w:rPr>
          <w:rFonts w:hint="eastAsia"/>
        </w:rPr>
        <w:t>，</w:t>
      </w:r>
      <w:r w:rsidR="00F50D92" w:rsidRPr="00F50D92">
        <w:rPr>
          <w:rFonts w:hint="eastAsia"/>
        </w:rPr>
        <w:t>各年期發行金額分別為2年期21億元、3年期7億元及5年期47億元，加權平均利率1.247%</w:t>
      </w:r>
      <w:r w:rsidR="00DE6B23">
        <w:rPr>
          <w:rStyle w:val="af7"/>
        </w:rPr>
        <w:footnoteReference w:id="17"/>
      </w:r>
      <w:r w:rsidR="00F50D92">
        <w:rPr>
          <w:rFonts w:hint="eastAsia"/>
        </w:rPr>
        <w:t>，發行債券所募得資金全數用於捷運建設工程經費；</w:t>
      </w:r>
      <w:r w:rsidR="00F50D92" w:rsidRPr="00F50D92">
        <w:rPr>
          <w:rFonts w:hint="eastAsia"/>
        </w:rPr>
        <w:t>累計發行總額100億元</w:t>
      </w:r>
      <w:r w:rsidR="00F50D92">
        <w:rPr>
          <w:rFonts w:hint="eastAsia"/>
        </w:rPr>
        <w:t>。</w:t>
      </w:r>
    </w:p>
    <w:p w:rsidR="004C2A53" w:rsidRDefault="00C06442" w:rsidP="00F50D92">
      <w:pPr>
        <w:pStyle w:val="123"/>
        <w:ind w:left="1133" w:hanging="283"/>
        <w:rPr>
          <w:rFonts w:hint="eastAsia"/>
        </w:rPr>
      </w:pPr>
      <w:r>
        <w:rPr>
          <w:rFonts w:hint="eastAsia"/>
        </w:rPr>
        <w:t>3</w:t>
      </w:r>
      <w:r w:rsidR="004C2A53">
        <w:rPr>
          <w:rFonts w:hint="eastAsia"/>
        </w:rPr>
        <w:t>.</w:t>
      </w:r>
      <w:r w:rsidR="00F50D92">
        <w:rPr>
          <w:rFonts w:hint="eastAsia"/>
        </w:rPr>
        <w:t>高雄市政府為捷運紅線、橘線興建營運階段之監造及興建等工程資金需求，於113年1月12日發行2年期綠色債券20億元，</w:t>
      </w:r>
      <w:r w:rsidR="003A5056">
        <w:rPr>
          <w:rFonts w:hint="eastAsia"/>
        </w:rPr>
        <w:t>發行</w:t>
      </w:r>
      <w:r w:rsidR="00F50D92" w:rsidRPr="00F95F97">
        <w:rPr>
          <w:rFonts w:hint="eastAsia"/>
        </w:rPr>
        <w:t>利率1.27%。</w:t>
      </w:r>
    </w:p>
    <w:p w:rsidR="008108B8" w:rsidRDefault="00F47D19" w:rsidP="001B4D05">
      <w:pPr>
        <w:pStyle w:val="123"/>
        <w:ind w:left="1133" w:hanging="283"/>
      </w:pPr>
      <w:r>
        <w:rPr>
          <w:rFonts w:hint="eastAsia"/>
        </w:rPr>
        <w:t>4</w:t>
      </w:r>
      <w:r w:rsidR="00D705BA">
        <w:rPr>
          <w:rFonts w:hint="eastAsia"/>
        </w:rPr>
        <w:t>.</w:t>
      </w:r>
      <w:r w:rsidR="001B4D05">
        <w:rPr>
          <w:rFonts w:hint="eastAsia"/>
        </w:rPr>
        <w:t>截至113年</w:t>
      </w:r>
      <w:r w:rsidR="00E274BE">
        <w:rPr>
          <w:rFonts w:hint="eastAsia"/>
        </w:rPr>
        <w:t>6</w:t>
      </w:r>
      <w:r w:rsidR="001B4D05">
        <w:rPr>
          <w:rFonts w:hint="eastAsia"/>
        </w:rPr>
        <w:t>月底止，</w:t>
      </w:r>
      <w:r w:rsidR="001B4D05" w:rsidRPr="001B4D05">
        <w:rPr>
          <w:rFonts w:hint="eastAsia"/>
        </w:rPr>
        <w:t>中央政府尚無發行</w:t>
      </w:r>
      <w:r w:rsidR="001B4D05">
        <w:rPr>
          <w:rFonts w:hint="eastAsia"/>
        </w:rPr>
        <w:t>永續發展</w:t>
      </w:r>
      <w:r w:rsidR="001B4D05" w:rsidRPr="001B4D05">
        <w:rPr>
          <w:rFonts w:hint="eastAsia"/>
        </w:rPr>
        <w:t>債券</w:t>
      </w:r>
      <w:r w:rsidR="00F4177B">
        <w:rPr>
          <w:rFonts w:hint="eastAsia"/>
        </w:rPr>
        <w:t>，詢據財政部國庫署說明如次：</w:t>
      </w:r>
    </w:p>
    <w:p w:rsidR="008108B8" w:rsidRDefault="00F4177B" w:rsidP="008108B8">
      <w:pPr>
        <w:pStyle w:val="1231"/>
        <w:ind w:left="1417" w:hanging="283"/>
      </w:pPr>
      <w:r>
        <w:rPr>
          <w:rFonts w:hint="eastAsia"/>
        </w:rPr>
        <w:t>(1)</w:t>
      </w:r>
      <w:r w:rsidR="004552C2">
        <w:rPr>
          <w:rFonts w:hint="eastAsia"/>
        </w:rPr>
        <w:t>目前</w:t>
      </w:r>
      <w:r w:rsidR="004552C2" w:rsidRPr="004552C2">
        <w:rPr>
          <w:rFonts w:hint="eastAsia"/>
        </w:rPr>
        <w:t>中央各非營業特種基金提報公共債務管理委員會審議之自償性債務舉借及償還計畫案多為國立大學宿舍興建案</w:t>
      </w:r>
      <w:r w:rsidR="004552C2">
        <w:rPr>
          <w:rFonts w:hint="eastAsia"/>
        </w:rPr>
        <w:t>，</w:t>
      </w:r>
      <w:r w:rsidR="00564055">
        <w:rPr>
          <w:rFonts w:hint="eastAsia"/>
        </w:rPr>
        <w:t>將</w:t>
      </w:r>
      <w:r w:rsidR="004552C2" w:rsidRPr="004552C2">
        <w:rPr>
          <w:rFonts w:hint="eastAsia"/>
        </w:rPr>
        <w:t>視</w:t>
      </w:r>
      <w:r w:rsidR="00564055">
        <w:rPr>
          <w:rFonts w:hint="eastAsia"/>
        </w:rPr>
        <w:t>個案</w:t>
      </w:r>
      <w:r w:rsidR="004552C2" w:rsidRPr="004552C2">
        <w:rPr>
          <w:rFonts w:hint="eastAsia"/>
        </w:rPr>
        <w:t>規劃取得綠建築標章與建築能效等級</w:t>
      </w:r>
      <w:r w:rsidR="004552C2">
        <w:rPr>
          <w:rStyle w:val="af7"/>
        </w:rPr>
        <w:footnoteReference w:id="18"/>
      </w:r>
      <w:r w:rsidR="004552C2" w:rsidRPr="004552C2">
        <w:rPr>
          <w:rFonts w:hint="eastAsia"/>
        </w:rPr>
        <w:t>，適時建議評估以發行綠色債券等方式籌措資金，並將相關案源函送金管</w:t>
      </w:r>
      <w:r w:rsidR="008C09EB">
        <w:rPr>
          <w:rFonts w:hint="eastAsia"/>
        </w:rPr>
        <w:t>會轉請櫃買中心進行後續追蹤輔導，以提升發行永續發展政府債券可能性</w:t>
      </w:r>
      <w:r w:rsidR="004552C2" w:rsidRPr="004552C2">
        <w:rPr>
          <w:rFonts w:hint="eastAsia"/>
        </w:rPr>
        <w:t>。</w:t>
      </w:r>
    </w:p>
    <w:p w:rsidR="00EE0AE5" w:rsidRDefault="00F4177B" w:rsidP="008108B8">
      <w:pPr>
        <w:pStyle w:val="1231"/>
        <w:ind w:left="1417" w:hanging="283"/>
      </w:pPr>
      <w:r>
        <w:rPr>
          <w:rFonts w:hint="eastAsia"/>
        </w:rPr>
        <w:t>(2)</w:t>
      </w:r>
      <w:r w:rsidRPr="00F4177B">
        <w:rPr>
          <w:rFonts w:hint="eastAsia"/>
        </w:rPr>
        <w:t>為引導非營業特種基金於預算籌編階段評估發行公債(含永續發展債券)</w:t>
      </w:r>
      <w:r>
        <w:rPr>
          <w:rFonts w:hint="eastAsia"/>
        </w:rPr>
        <w:t>籌措建設財源之可行性，財政</w:t>
      </w:r>
      <w:r w:rsidRPr="00F4177B">
        <w:rPr>
          <w:rFonts w:hint="eastAsia"/>
        </w:rPr>
        <w:t>部建議行政院主計總處</w:t>
      </w:r>
      <w:r w:rsidR="008108B8">
        <w:rPr>
          <w:rFonts w:hint="eastAsia"/>
        </w:rPr>
        <w:t>於</w:t>
      </w:r>
      <w:r w:rsidRPr="00F4177B">
        <w:rPr>
          <w:rFonts w:hint="eastAsia"/>
        </w:rPr>
        <w:t>「附屬單位預算共同項目編列作業規範」</w:t>
      </w:r>
      <w:r w:rsidR="008108B8">
        <w:rPr>
          <w:rFonts w:hint="eastAsia"/>
        </w:rPr>
        <w:t>貳、作業基金-丁、基金及長期債務-二、</w:t>
      </w:r>
      <w:r w:rsidRPr="00F4177B">
        <w:rPr>
          <w:rFonts w:hint="eastAsia"/>
        </w:rPr>
        <w:t>長期債務</w:t>
      </w:r>
      <w:r w:rsidR="008108B8">
        <w:rPr>
          <w:rFonts w:hint="eastAsia"/>
        </w:rPr>
        <w:t>項下</w:t>
      </w:r>
      <w:r w:rsidR="001A4213">
        <w:rPr>
          <w:rFonts w:hint="eastAsia"/>
        </w:rPr>
        <w:t>，增訂「得考量以自償性公債或永續發展債券方式籌措」文字，</w:t>
      </w:r>
      <w:r w:rsidRPr="00F4177B">
        <w:rPr>
          <w:rFonts w:hint="eastAsia"/>
        </w:rPr>
        <w:t>已獲該總處參採。</w:t>
      </w:r>
    </w:p>
    <w:p w:rsidR="008108B8" w:rsidRPr="008108B8" w:rsidRDefault="008108B8" w:rsidP="008108B8">
      <w:pPr>
        <w:pStyle w:val="1231"/>
        <w:ind w:left="1417" w:hanging="283"/>
        <w:rPr>
          <w:rFonts w:hint="eastAsia"/>
        </w:rPr>
      </w:pPr>
      <w:r>
        <w:rPr>
          <w:rFonts w:hint="eastAsia"/>
        </w:rPr>
        <w:t>(3)</w:t>
      </w:r>
      <w:r w:rsidRPr="008108B8">
        <w:rPr>
          <w:rFonts w:hint="eastAsia"/>
        </w:rPr>
        <w:t>教育部於113年2月17</w:t>
      </w:r>
      <w:r>
        <w:rPr>
          <w:rFonts w:hint="eastAsia"/>
        </w:rPr>
        <w:t>日函知財政部，國立金門大學</w:t>
      </w:r>
      <w:r w:rsidRPr="008108B8">
        <w:rPr>
          <w:rFonts w:hint="eastAsia"/>
        </w:rPr>
        <w:t>擬於116年1月發行4億之30</w:t>
      </w:r>
      <w:r w:rsidR="008C09EB">
        <w:rPr>
          <w:rFonts w:hint="eastAsia"/>
        </w:rPr>
        <w:t>年期公債，並視工程進度滾動</w:t>
      </w:r>
      <w:r w:rsidRPr="008108B8">
        <w:rPr>
          <w:rFonts w:hint="eastAsia"/>
        </w:rPr>
        <w:t>檢討</w:t>
      </w:r>
      <w:r w:rsidR="008C09EB">
        <w:rPr>
          <w:rFonts w:hint="eastAsia"/>
        </w:rPr>
        <w:t>，</w:t>
      </w:r>
      <w:r w:rsidRPr="008108B8">
        <w:rPr>
          <w:rFonts w:hint="eastAsia"/>
        </w:rPr>
        <w:t>該案已錄案納入116年</w:t>
      </w:r>
      <w:r w:rsidR="008C09EB">
        <w:rPr>
          <w:rFonts w:hint="eastAsia"/>
        </w:rPr>
        <w:t>度</w:t>
      </w:r>
      <w:r w:rsidRPr="008108B8">
        <w:rPr>
          <w:rFonts w:hint="eastAsia"/>
        </w:rPr>
        <w:t>發債規劃</w:t>
      </w:r>
      <w:r>
        <w:rPr>
          <w:rFonts w:hint="eastAsia"/>
        </w:rPr>
        <w:t>，財政部</w:t>
      </w:r>
      <w:r w:rsidRPr="008108B8">
        <w:rPr>
          <w:rFonts w:hint="eastAsia"/>
        </w:rPr>
        <w:t>將與櫃買中心合作持續追蹤該校申請綠</w:t>
      </w:r>
      <w:r>
        <w:rPr>
          <w:rFonts w:hint="eastAsia"/>
        </w:rPr>
        <w:t>建築標章及永續發展債券評估認證等後續進度，俾利該</w:t>
      </w:r>
      <w:r w:rsidRPr="008108B8">
        <w:rPr>
          <w:rFonts w:hint="eastAsia"/>
        </w:rPr>
        <w:t>部配合辦理115年底發債計畫公告及後續永續版債券上櫃事宜。</w:t>
      </w:r>
    </w:p>
    <w:p w:rsidR="003428C7" w:rsidRDefault="003428C7" w:rsidP="00F91B50">
      <w:pPr>
        <w:ind w:left="567" w:firstLine="567"/>
        <w:rPr>
          <w:rFonts w:hint="eastAsia"/>
        </w:rPr>
      </w:pPr>
    </w:p>
    <w:p w:rsidR="0006012C" w:rsidRDefault="00DE6B23" w:rsidP="00EE2AFB">
      <w:pPr>
        <w:pStyle w:val="14"/>
        <w:ind w:left="567" w:hanging="567"/>
        <w:rPr>
          <w:rFonts w:hint="eastAsia"/>
        </w:rPr>
      </w:pPr>
      <w:bookmarkStart w:id="22" w:name="_Toc173746455"/>
      <w:r>
        <w:rPr>
          <w:rFonts w:hint="eastAsia"/>
        </w:rPr>
        <w:t>三</w:t>
      </w:r>
      <w:r w:rsidR="0006012C" w:rsidRPr="00EE2AFB">
        <w:rPr>
          <w:rFonts w:hint="eastAsia"/>
        </w:rPr>
        <w:t>、</w:t>
      </w:r>
      <w:r w:rsidR="004D3FCF">
        <w:rPr>
          <w:rFonts w:hint="eastAsia"/>
        </w:rPr>
        <w:t>近年</w:t>
      </w:r>
      <w:r w:rsidR="00A52682">
        <w:rPr>
          <w:rFonts w:hint="eastAsia"/>
        </w:rPr>
        <w:t>債務基金辦理</w:t>
      </w:r>
      <w:r w:rsidR="00A52682" w:rsidRPr="00A52682">
        <w:rPr>
          <w:rFonts w:hint="eastAsia"/>
        </w:rPr>
        <w:t>轉換高利率債務為低利率債務之財務運作空間有限</w:t>
      </w:r>
      <w:r w:rsidR="00A52682">
        <w:rPr>
          <w:rFonts w:hint="eastAsia"/>
        </w:rPr>
        <w:t>，</w:t>
      </w:r>
      <w:r w:rsidR="007C64DD">
        <w:rPr>
          <w:rFonts w:hint="eastAsia"/>
        </w:rPr>
        <w:t>允宜</w:t>
      </w:r>
      <w:r w:rsidR="00D87E14">
        <w:rPr>
          <w:rFonts w:hint="eastAsia"/>
        </w:rPr>
        <w:t>密切關注</w:t>
      </w:r>
      <w:r w:rsidR="007C64DD">
        <w:rPr>
          <w:rFonts w:hint="eastAsia"/>
        </w:rPr>
        <w:t>市場利率走向並</w:t>
      </w:r>
      <w:r w:rsidR="00A52682">
        <w:rPr>
          <w:rFonts w:hint="eastAsia"/>
        </w:rPr>
        <w:t>研謀善策改善</w:t>
      </w:r>
      <w:r w:rsidR="007C64DD">
        <w:rPr>
          <w:rFonts w:hint="eastAsia"/>
        </w:rPr>
        <w:t>，以提升基金運作效能</w:t>
      </w:r>
      <w:bookmarkEnd w:id="22"/>
    </w:p>
    <w:p w:rsidR="0006012C" w:rsidRDefault="005F440C" w:rsidP="00A776C4">
      <w:pPr>
        <w:ind w:left="567" w:firstLine="567"/>
        <w:rPr>
          <w:rFonts w:hint="eastAsia"/>
        </w:rPr>
      </w:pPr>
      <w:r w:rsidRPr="005F440C">
        <w:rPr>
          <w:rFonts w:hint="eastAsia"/>
        </w:rPr>
        <w:t>我國政府為加強債務管理功能與增進償債能力，於</w:t>
      </w:r>
      <w:r>
        <w:rPr>
          <w:rFonts w:hint="eastAsia"/>
        </w:rPr>
        <w:t>88</w:t>
      </w:r>
      <w:r w:rsidRPr="005F440C">
        <w:rPr>
          <w:rFonts w:hint="eastAsia"/>
        </w:rPr>
        <w:t>年下半年及</w:t>
      </w:r>
      <w:r>
        <w:rPr>
          <w:rFonts w:hint="eastAsia"/>
        </w:rPr>
        <w:t>89</w:t>
      </w:r>
      <w:r w:rsidRPr="005F440C">
        <w:rPr>
          <w:rFonts w:hint="eastAsia"/>
        </w:rPr>
        <w:t>年度依公共債務法第</w:t>
      </w:r>
      <w:r>
        <w:rPr>
          <w:rFonts w:hint="eastAsia"/>
        </w:rPr>
        <w:t>11</w:t>
      </w:r>
      <w:r w:rsidRPr="005F440C">
        <w:rPr>
          <w:rFonts w:hint="eastAsia"/>
        </w:rPr>
        <w:t>條</w:t>
      </w:r>
      <w:r>
        <w:rPr>
          <w:rFonts w:hint="eastAsia"/>
        </w:rPr>
        <w:t>第1項</w:t>
      </w:r>
      <w:r w:rsidRPr="005F440C">
        <w:rPr>
          <w:rFonts w:hint="eastAsia"/>
        </w:rPr>
        <w:t>規定設置中央政府債務基金</w:t>
      </w:r>
      <w:r w:rsidR="0024797F">
        <w:rPr>
          <w:rFonts w:hint="eastAsia"/>
        </w:rPr>
        <w:t>(下稱債務基金)</w:t>
      </w:r>
      <w:r>
        <w:rPr>
          <w:rFonts w:hint="eastAsia"/>
        </w:rPr>
        <w:t>。</w:t>
      </w:r>
      <w:r w:rsidR="00A850C2">
        <w:rPr>
          <w:rFonts w:hint="eastAsia"/>
        </w:rPr>
        <w:t>經查：</w:t>
      </w:r>
    </w:p>
    <w:p w:rsidR="00A850C2" w:rsidRPr="00784FEC" w:rsidRDefault="00A850C2" w:rsidP="00784FEC">
      <w:pPr>
        <w:pStyle w:val="a4"/>
        <w:ind w:left="851" w:hanging="284"/>
        <w:rPr>
          <w:rFonts w:hint="eastAsia"/>
          <w:b/>
        </w:rPr>
      </w:pPr>
      <w:r w:rsidRPr="00784FEC">
        <w:rPr>
          <w:rFonts w:hint="eastAsia"/>
          <w:b/>
        </w:rPr>
        <w:t>(一)</w:t>
      </w:r>
      <w:r w:rsidR="005F440C" w:rsidRPr="005F440C">
        <w:rPr>
          <w:rFonts w:hint="eastAsia"/>
          <w:b/>
        </w:rPr>
        <w:t>債務基金主要</w:t>
      </w:r>
      <w:r w:rsidR="00423A5C" w:rsidRPr="00423A5C">
        <w:rPr>
          <w:rFonts w:hint="eastAsia"/>
          <w:b/>
        </w:rPr>
        <w:t>辦理償還到期債務、提前償還一部或全部之債務及轉換高利率債務為低利率債務等財務運作</w:t>
      </w:r>
    </w:p>
    <w:p w:rsidR="0006012C" w:rsidRPr="00F17920" w:rsidRDefault="002E5A25" w:rsidP="00A3244E">
      <w:pPr>
        <w:pStyle w:val="22"/>
        <w:ind w:left="850" w:firstLine="567"/>
        <w:rPr>
          <w:rFonts w:hint="eastAsia"/>
        </w:rPr>
      </w:pPr>
      <w:r>
        <w:rPr>
          <w:rFonts w:hint="eastAsia"/>
        </w:rPr>
        <w:t>從</w:t>
      </w:r>
      <w:r w:rsidR="0024797F" w:rsidRPr="005F440C">
        <w:rPr>
          <w:rFonts w:hint="eastAsia"/>
        </w:rPr>
        <w:t>公共債務法第11條第1項</w:t>
      </w:r>
      <w:r w:rsidR="0024797F">
        <w:rPr>
          <w:rFonts w:hint="eastAsia"/>
        </w:rPr>
        <w:t>：</w:t>
      </w:r>
      <w:r w:rsidR="0024797F" w:rsidRPr="005F440C">
        <w:rPr>
          <w:rFonts w:hint="eastAsia"/>
        </w:rPr>
        <w:t>「中央</w:t>
      </w:r>
      <w:r w:rsidR="0024797F" w:rsidRPr="0024797F">
        <w:rPr>
          <w:rFonts w:hAnsi="標楷體"/>
        </w:rPr>
        <w:t>…</w:t>
      </w:r>
      <w:r w:rsidR="0024797F" w:rsidRPr="0024797F">
        <w:rPr>
          <w:rFonts w:hAnsi="標楷體" w:hint="eastAsia"/>
        </w:rPr>
        <w:t>為</w:t>
      </w:r>
      <w:r w:rsidR="0024797F" w:rsidRPr="005F440C">
        <w:rPr>
          <w:rFonts w:hint="eastAsia"/>
        </w:rPr>
        <w:t>加強債務管理、提高財務運用效能，得設立債務基金籌措財源，辦理償還到期債務、提前償還一部或全部之債務及轉換高利率債務為低利率債務等財務運作之相關業務。」</w:t>
      </w:r>
      <w:r w:rsidR="0024797F">
        <w:rPr>
          <w:rFonts w:hint="eastAsia"/>
        </w:rPr>
        <w:t>及第3項：「</w:t>
      </w:r>
      <w:r w:rsidR="0024797F" w:rsidRPr="0024797F">
        <w:rPr>
          <w:rFonts w:hint="eastAsia"/>
        </w:rPr>
        <w:t>債務基金為應債務還本或轉換需要，得在不增加原有債務之前提下，以發行公債、向金融機構舉借、</w:t>
      </w:r>
      <w:r w:rsidR="0028446D" w:rsidRPr="0024797F">
        <w:rPr>
          <w:rFonts w:hAnsi="標楷體"/>
        </w:rPr>
        <w:t>…</w:t>
      </w:r>
      <w:r w:rsidR="0024797F" w:rsidRPr="0024797F">
        <w:rPr>
          <w:rFonts w:hint="eastAsia"/>
        </w:rPr>
        <w:t>之方式，籌措資金配合運用。</w:t>
      </w:r>
      <w:r w:rsidR="0024797F">
        <w:rPr>
          <w:rFonts w:hint="eastAsia"/>
        </w:rPr>
        <w:t>」</w:t>
      </w:r>
      <w:r w:rsidR="00DE6B23">
        <w:rPr>
          <w:rFonts w:hint="eastAsia"/>
        </w:rPr>
        <w:t>準此</w:t>
      </w:r>
      <w:r w:rsidR="0024797F" w:rsidRPr="005F440C">
        <w:rPr>
          <w:rFonts w:hint="eastAsia"/>
        </w:rPr>
        <w:t>，</w:t>
      </w:r>
      <w:r w:rsidR="0024797F">
        <w:rPr>
          <w:rFonts w:hint="eastAsia"/>
        </w:rPr>
        <w:t>債務</w:t>
      </w:r>
      <w:r w:rsidR="0024797F" w:rsidRPr="0024797F">
        <w:rPr>
          <w:rFonts w:hint="eastAsia"/>
        </w:rPr>
        <w:t>基金主要任務為在不增加政府原有債務餘額之前提下，籌措穩定適足財源，償還政府債務本金，並</w:t>
      </w:r>
      <w:r w:rsidR="0024797F">
        <w:rPr>
          <w:rFonts w:hint="eastAsia"/>
        </w:rPr>
        <w:t>辦理付息作業，</w:t>
      </w:r>
      <w:r w:rsidR="00582D9B">
        <w:rPr>
          <w:rFonts w:hint="eastAsia"/>
        </w:rPr>
        <w:t>及</w:t>
      </w:r>
      <w:r w:rsidR="0024797F" w:rsidRPr="0024797F">
        <w:rPr>
          <w:rFonts w:hint="eastAsia"/>
        </w:rPr>
        <w:t>透過舉新債償還舊債之債務轉換，調整債務結構，使債務還本平滑化</w:t>
      </w:r>
      <w:r w:rsidR="0024797F">
        <w:rPr>
          <w:rFonts w:hint="eastAsia"/>
        </w:rPr>
        <w:t>。</w:t>
      </w:r>
    </w:p>
    <w:p w:rsidR="000C3E4D" w:rsidRDefault="006B0B6F" w:rsidP="006B0B6F">
      <w:pPr>
        <w:pStyle w:val="a4"/>
        <w:ind w:left="851" w:hanging="284"/>
        <w:rPr>
          <w:rFonts w:hint="eastAsia"/>
          <w:b/>
        </w:rPr>
      </w:pPr>
      <w:r w:rsidRPr="00784FEC">
        <w:rPr>
          <w:rFonts w:hint="eastAsia"/>
          <w:b/>
        </w:rPr>
        <w:t>(</w:t>
      </w:r>
      <w:r>
        <w:rPr>
          <w:rFonts w:hint="eastAsia"/>
          <w:b/>
        </w:rPr>
        <w:t>二</w:t>
      </w:r>
      <w:r w:rsidRPr="00784FEC">
        <w:rPr>
          <w:rFonts w:hint="eastAsia"/>
          <w:b/>
        </w:rPr>
        <w:t>)</w:t>
      </w:r>
      <w:r w:rsidR="00C1398B">
        <w:rPr>
          <w:rFonts w:hint="eastAsia"/>
          <w:b/>
        </w:rPr>
        <w:t>債務餘額持續攀升，惟債務基金財務操作節省利息數</w:t>
      </w:r>
      <w:r w:rsidR="00C86C1C">
        <w:rPr>
          <w:rFonts w:hint="eastAsia"/>
          <w:b/>
        </w:rPr>
        <w:t>卻</w:t>
      </w:r>
      <w:r w:rsidR="00DE6B23">
        <w:rPr>
          <w:rFonts w:hint="eastAsia"/>
          <w:b/>
        </w:rPr>
        <w:t>概</w:t>
      </w:r>
      <w:r w:rsidR="00C1398B">
        <w:rPr>
          <w:rFonts w:hint="eastAsia"/>
          <w:b/>
        </w:rPr>
        <w:t>呈下降趨勢</w:t>
      </w:r>
    </w:p>
    <w:p w:rsidR="00F97477" w:rsidRDefault="000F2A76" w:rsidP="000F2A76">
      <w:pPr>
        <w:pStyle w:val="123"/>
        <w:ind w:left="1133" w:hanging="283"/>
      </w:pPr>
      <w:r>
        <w:rPr>
          <w:rFonts w:hint="eastAsia"/>
        </w:rPr>
        <w:t>1.</w:t>
      </w:r>
      <w:r w:rsidR="0067721B">
        <w:rPr>
          <w:rFonts w:hint="eastAsia"/>
        </w:rPr>
        <w:t>依</w:t>
      </w:r>
      <w:r w:rsidR="00CF67A4">
        <w:rPr>
          <w:rFonts w:hint="eastAsia"/>
        </w:rPr>
        <w:t>國庫署</w:t>
      </w:r>
      <w:r w:rsidR="00895C88">
        <w:rPr>
          <w:rFonts w:hint="eastAsia"/>
        </w:rPr>
        <w:t>提供資料</w:t>
      </w:r>
      <w:r w:rsidR="00CF67A4">
        <w:rPr>
          <w:rFonts w:hint="eastAsia"/>
        </w:rPr>
        <w:t>及</w:t>
      </w:r>
      <w:r w:rsidR="0067721B">
        <w:rPr>
          <w:rFonts w:hint="eastAsia"/>
        </w:rPr>
        <w:t>「</w:t>
      </w:r>
      <w:r w:rsidR="008F0CFF">
        <w:rPr>
          <w:rFonts w:hint="eastAsia"/>
        </w:rPr>
        <w:t>112</w:t>
      </w:r>
      <w:r w:rsidR="0067721B">
        <w:rPr>
          <w:rFonts w:hint="eastAsia"/>
        </w:rPr>
        <w:t>年度</w:t>
      </w:r>
      <w:r w:rsidR="0067721B" w:rsidRPr="0067721B">
        <w:rPr>
          <w:rFonts w:hint="eastAsia"/>
        </w:rPr>
        <w:t>中央政府債務基金之債務管理績效</w:t>
      </w:r>
      <w:r w:rsidR="0067721B">
        <w:rPr>
          <w:rFonts w:hint="eastAsia"/>
        </w:rPr>
        <w:t>」報告</w:t>
      </w:r>
      <w:r w:rsidR="00483BBC">
        <w:rPr>
          <w:rFonts w:hint="eastAsia"/>
        </w:rPr>
        <w:t>揭露</w:t>
      </w:r>
      <w:r w:rsidR="005E63D4">
        <w:rPr>
          <w:rFonts w:hint="eastAsia"/>
        </w:rPr>
        <w:t>債務基金財務操作情形</w:t>
      </w:r>
      <w:r w:rsidR="000C2D59">
        <w:rPr>
          <w:rFonts w:hint="eastAsia"/>
        </w:rPr>
        <w:t>(詳表3-</w:t>
      </w:r>
      <w:r w:rsidR="00AB3ED2">
        <w:rPr>
          <w:rFonts w:hint="eastAsia"/>
        </w:rPr>
        <w:t>3</w:t>
      </w:r>
      <w:r w:rsidR="000C2D59">
        <w:rPr>
          <w:rFonts w:hint="eastAsia"/>
        </w:rPr>
        <w:t>-1)</w:t>
      </w:r>
      <w:r>
        <w:rPr>
          <w:rFonts w:hint="eastAsia"/>
        </w:rPr>
        <w:t>，</w:t>
      </w:r>
      <w:r w:rsidRPr="000F2A76">
        <w:rPr>
          <w:rFonts w:hint="eastAsia"/>
        </w:rPr>
        <w:t>1</w:t>
      </w:r>
      <w:r>
        <w:rPr>
          <w:rFonts w:hint="eastAsia"/>
        </w:rPr>
        <w:t>1</w:t>
      </w:r>
      <w:r w:rsidR="008F0CFF">
        <w:rPr>
          <w:rFonts w:hint="eastAsia"/>
        </w:rPr>
        <w:t>2</w:t>
      </w:r>
      <w:r w:rsidRPr="000F2A76">
        <w:rPr>
          <w:rFonts w:hint="eastAsia"/>
        </w:rPr>
        <w:t xml:space="preserve"> 年度</w:t>
      </w:r>
      <w:r>
        <w:rPr>
          <w:rFonts w:hint="eastAsia"/>
        </w:rPr>
        <w:t>債務</w:t>
      </w:r>
      <w:r w:rsidRPr="000F2A76">
        <w:rPr>
          <w:rFonts w:hint="eastAsia"/>
        </w:rPr>
        <w:t>基金舉借新債償還舊債</w:t>
      </w:r>
      <w:r w:rsidR="008F0CFF">
        <w:rPr>
          <w:rFonts w:hint="eastAsia"/>
        </w:rPr>
        <w:t>5</w:t>
      </w:r>
      <w:r w:rsidRPr="000F2A76">
        <w:rPr>
          <w:rFonts w:hint="eastAsia"/>
        </w:rPr>
        <w:t>,</w:t>
      </w:r>
      <w:r w:rsidR="008F0CFF">
        <w:rPr>
          <w:rFonts w:hint="eastAsia"/>
        </w:rPr>
        <w:t>457</w:t>
      </w:r>
      <w:r w:rsidRPr="000F2A76">
        <w:rPr>
          <w:rFonts w:hint="eastAsia"/>
        </w:rPr>
        <w:t>億元，併同執行總預算撥入之債務還本</w:t>
      </w:r>
      <w:r>
        <w:rPr>
          <w:rFonts w:hint="eastAsia"/>
        </w:rPr>
        <w:t>1</w:t>
      </w:r>
      <w:r>
        <w:t>,</w:t>
      </w:r>
      <w:r>
        <w:rPr>
          <w:rFonts w:hint="eastAsia"/>
        </w:rPr>
        <w:t>2</w:t>
      </w:r>
      <w:r w:rsidR="008F0CFF">
        <w:rPr>
          <w:rFonts w:hint="eastAsia"/>
        </w:rPr>
        <w:t>6</w:t>
      </w:r>
      <w:r>
        <w:rPr>
          <w:rFonts w:hint="eastAsia"/>
        </w:rPr>
        <w:t>0</w:t>
      </w:r>
      <w:r w:rsidRPr="000F2A76">
        <w:rPr>
          <w:rFonts w:hint="eastAsia"/>
        </w:rPr>
        <w:t>億元，用以償還到期債務計</w:t>
      </w:r>
      <w:r>
        <w:rPr>
          <w:rFonts w:hint="eastAsia"/>
        </w:rPr>
        <w:t xml:space="preserve"> </w:t>
      </w:r>
      <w:r w:rsidR="008F0CFF">
        <w:rPr>
          <w:rFonts w:hint="eastAsia"/>
        </w:rPr>
        <w:t>6</w:t>
      </w:r>
      <w:r w:rsidRPr="000F2A76">
        <w:rPr>
          <w:rFonts w:hint="eastAsia"/>
        </w:rPr>
        <w:t>,</w:t>
      </w:r>
      <w:r w:rsidR="008F0CFF">
        <w:rPr>
          <w:rFonts w:hint="eastAsia"/>
        </w:rPr>
        <w:t>567</w:t>
      </w:r>
      <w:r w:rsidRPr="000F2A76">
        <w:rPr>
          <w:rFonts w:hint="eastAsia"/>
        </w:rPr>
        <w:t xml:space="preserve"> 億元</w:t>
      </w:r>
      <w:r>
        <w:rPr>
          <w:rFonts w:hint="eastAsia"/>
        </w:rPr>
        <w:t>及提前償還未到期債務</w:t>
      </w:r>
      <w:r w:rsidR="008F0CFF">
        <w:rPr>
          <w:rFonts w:hint="eastAsia"/>
        </w:rPr>
        <w:t>1</w:t>
      </w:r>
      <w:r>
        <w:rPr>
          <w:rFonts w:hint="eastAsia"/>
        </w:rPr>
        <w:t>50</w:t>
      </w:r>
      <w:r w:rsidR="00423A5C">
        <w:rPr>
          <w:rFonts w:hint="eastAsia"/>
        </w:rPr>
        <w:t>億元。</w:t>
      </w:r>
      <w:r w:rsidR="00423A5C" w:rsidRPr="000F2A76">
        <w:rPr>
          <w:rFonts w:hint="eastAsia"/>
        </w:rPr>
        <w:t>在不增加債務餘額前提下，</w:t>
      </w:r>
      <w:r>
        <w:rPr>
          <w:rFonts w:hint="eastAsia"/>
        </w:rPr>
        <w:t>債務</w:t>
      </w:r>
      <w:r w:rsidRPr="000F2A76">
        <w:rPr>
          <w:rFonts w:hint="eastAsia"/>
        </w:rPr>
        <w:t>基金於</w:t>
      </w:r>
      <w:r>
        <w:rPr>
          <w:rFonts w:hint="eastAsia"/>
        </w:rPr>
        <w:t>88</w:t>
      </w:r>
      <w:r w:rsidRPr="000F2A76">
        <w:rPr>
          <w:rFonts w:hint="eastAsia"/>
        </w:rPr>
        <w:t>年下半年及</w:t>
      </w:r>
      <w:r>
        <w:rPr>
          <w:rFonts w:hint="eastAsia"/>
        </w:rPr>
        <w:t>89</w:t>
      </w:r>
      <w:r w:rsidRPr="000F2A76">
        <w:rPr>
          <w:rFonts w:hint="eastAsia"/>
        </w:rPr>
        <w:t>年度成立</w:t>
      </w:r>
      <w:r w:rsidR="00935224">
        <w:rPr>
          <w:rFonts w:hint="eastAsia"/>
        </w:rPr>
        <w:t>至1</w:t>
      </w:r>
      <w:r w:rsidR="008F0CFF">
        <w:rPr>
          <w:rFonts w:hint="eastAsia"/>
        </w:rPr>
        <w:t>12</w:t>
      </w:r>
      <w:r w:rsidR="00935224">
        <w:rPr>
          <w:rFonts w:hint="eastAsia"/>
        </w:rPr>
        <w:t>年底，</w:t>
      </w:r>
      <w:r>
        <w:rPr>
          <w:rFonts w:hint="eastAsia"/>
        </w:rPr>
        <w:t>累計</w:t>
      </w:r>
      <w:r w:rsidR="00935224">
        <w:rPr>
          <w:rFonts w:hint="eastAsia"/>
        </w:rPr>
        <w:t>已償還到期債務1</w:t>
      </w:r>
      <w:r w:rsidR="006F2FE5">
        <w:rPr>
          <w:rFonts w:hint="eastAsia"/>
        </w:rPr>
        <w:t>3</w:t>
      </w:r>
      <w:r w:rsidR="00935224">
        <w:rPr>
          <w:rFonts w:hint="eastAsia"/>
        </w:rPr>
        <w:t>兆</w:t>
      </w:r>
      <w:r w:rsidR="006F2FE5">
        <w:rPr>
          <w:rFonts w:hint="eastAsia"/>
        </w:rPr>
        <w:t>6</w:t>
      </w:r>
      <w:r w:rsidR="00935224">
        <w:t>,</w:t>
      </w:r>
      <w:r w:rsidR="006F2FE5">
        <w:rPr>
          <w:rFonts w:hint="eastAsia"/>
        </w:rPr>
        <w:t>297</w:t>
      </w:r>
      <w:r w:rsidR="00935224">
        <w:rPr>
          <w:rFonts w:hint="eastAsia"/>
        </w:rPr>
        <w:t>億元</w:t>
      </w:r>
      <w:r w:rsidR="00423A5C">
        <w:rPr>
          <w:rFonts w:hint="eastAsia"/>
        </w:rPr>
        <w:t>，及</w:t>
      </w:r>
      <w:r>
        <w:rPr>
          <w:rFonts w:hint="eastAsia"/>
        </w:rPr>
        <w:t>提前償還未到期債務1兆</w:t>
      </w:r>
      <w:r w:rsidR="006F2FE5">
        <w:rPr>
          <w:rFonts w:hint="eastAsia"/>
        </w:rPr>
        <w:t>4</w:t>
      </w:r>
      <w:r>
        <w:rPr>
          <w:rFonts w:hint="eastAsia"/>
        </w:rPr>
        <w:t>,</w:t>
      </w:r>
      <w:r w:rsidR="006F2FE5">
        <w:rPr>
          <w:rFonts w:hint="eastAsia"/>
        </w:rPr>
        <w:t>522</w:t>
      </w:r>
      <w:r>
        <w:rPr>
          <w:rFonts w:hint="eastAsia"/>
        </w:rPr>
        <w:t>億元，合計</w:t>
      </w:r>
      <w:r w:rsidR="007179E4" w:rsidRPr="00796551">
        <w:rPr>
          <w:rFonts w:hint="eastAsia"/>
          <w:snapToGrid/>
        </w:rPr>
        <w:t>節省利息</w:t>
      </w:r>
      <w:r w:rsidR="007179E4">
        <w:rPr>
          <w:rFonts w:hint="eastAsia"/>
          <w:snapToGrid/>
        </w:rPr>
        <w:t>數</w:t>
      </w:r>
      <w:r>
        <w:rPr>
          <w:rFonts w:hint="eastAsia"/>
        </w:rPr>
        <w:t>約</w:t>
      </w:r>
      <w:r w:rsidR="006F2FE5">
        <w:rPr>
          <w:rFonts w:hint="eastAsia"/>
        </w:rPr>
        <w:t>201</w:t>
      </w:r>
      <w:r>
        <w:rPr>
          <w:rFonts w:hint="eastAsia"/>
        </w:rPr>
        <w:t>億元</w:t>
      </w:r>
      <w:r w:rsidR="006B0B6F">
        <w:rPr>
          <w:rFonts w:hint="eastAsia"/>
        </w:rPr>
        <w:t>。</w:t>
      </w:r>
    </w:p>
    <w:p w:rsidR="000F2A76" w:rsidRDefault="000F2A76" w:rsidP="000F2A76">
      <w:pPr>
        <w:pStyle w:val="123"/>
        <w:ind w:left="1133" w:hanging="283"/>
      </w:pPr>
      <w:r>
        <w:rPr>
          <w:rFonts w:hint="eastAsia"/>
        </w:rPr>
        <w:t>2.同期間，債務未償餘額從88下半及89年度僅2.45兆元上升到</w:t>
      </w:r>
      <w:r w:rsidR="006F2FE5">
        <w:rPr>
          <w:rFonts w:hint="eastAsia"/>
        </w:rPr>
        <w:t>112</w:t>
      </w:r>
      <w:r>
        <w:rPr>
          <w:rFonts w:hint="eastAsia"/>
        </w:rPr>
        <w:t>年</w:t>
      </w:r>
      <w:r w:rsidR="007179E4">
        <w:rPr>
          <w:rFonts w:hint="eastAsia"/>
        </w:rPr>
        <w:t>度</w:t>
      </w:r>
      <w:r>
        <w:rPr>
          <w:rFonts w:hint="eastAsia"/>
        </w:rPr>
        <w:t>之</w:t>
      </w:r>
      <w:r w:rsidR="006F2FE5">
        <w:rPr>
          <w:rFonts w:hint="eastAsia"/>
        </w:rPr>
        <w:t>6.05</w:t>
      </w:r>
      <w:r>
        <w:rPr>
          <w:rFonts w:hint="eastAsia"/>
        </w:rPr>
        <w:t>兆元，</w:t>
      </w:r>
      <w:r w:rsidR="000C2D59">
        <w:rPr>
          <w:rFonts w:hint="eastAsia"/>
        </w:rPr>
        <w:t>20餘年來</w:t>
      </w:r>
      <w:r>
        <w:rPr>
          <w:rFonts w:hint="eastAsia"/>
        </w:rPr>
        <w:t>呈現攀升趨勢</w:t>
      </w:r>
      <w:r w:rsidR="000C2D59">
        <w:rPr>
          <w:rFonts w:hint="eastAsia"/>
        </w:rPr>
        <w:t>；</w:t>
      </w:r>
      <w:r w:rsidR="00AC7BE6">
        <w:rPr>
          <w:rFonts w:hint="eastAsia"/>
        </w:rPr>
        <w:t>惟</w:t>
      </w:r>
      <w:r>
        <w:rPr>
          <w:rFonts w:hint="eastAsia"/>
        </w:rPr>
        <w:t>債務基金財務操作</w:t>
      </w:r>
      <w:r w:rsidR="007179E4" w:rsidRPr="00796551">
        <w:rPr>
          <w:rFonts w:hint="eastAsia"/>
          <w:snapToGrid/>
        </w:rPr>
        <w:t>節省利息</w:t>
      </w:r>
      <w:r w:rsidR="007179E4">
        <w:rPr>
          <w:rFonts w:hint="eastAsia"/>
          <w:snapToGrid/>
        </w:rPr>
        <w:t>數</w:t>
      </w:r>
      <w:r>
        <w:rPr>
          <w:rFonts w:hint="eastAsia"/>
        </w:rPr>
        <w:t>於91至93年度均</w:t>
      </w:r>
      <w:r w:rsidR="00AC7BE6">
        <w:rPr>
          <w:rFonts w:hint="eastAsia"/>
        </w:rPr>
        <w:t>逾40億元後，</w:t>
      </w:r>
      <w:r w:rsidR="00DE6B23">
        <w:rPr>
          <w:rFonts w:hint="eastAsia"/>
        </w:rPr>
        <w:t>概</w:t>
      </w:r>
      <w:r w:rsidR="00AC7BE6">
        <w:rPr>
          <w:rFonts w:hint="eastAsia"/>
        </w:rPr>
        <w:t>呈下降趨勢，94及95年度降至9.61億元及13.21億元</w:t>
      </w:r>
      <w:r>
        <w:rPr>
          <w:rFonts w:hint="eastAsia"/>
        </w:rPr>
        <w:t>，</w:t>
      </w:r>
      <w:r w:rsidR="00AC7BE6">
        <w:rPr>
          <w:rFonts w:hint="eastAsia"/>
        </w:rPr>
        <w:t>96至</w:t>
      </w:r>
      <w:r w:rsidR="006F2FE5">
        <w:rPr>
          <w:rFonts w:hint="eastAsia"/>
        </w:rPr>
        <w:t>112</w:t>
      </w:r>
      <w:r w:rsidR="00AC7BE6">
        <w:rPr>
          <w:rFonts w:hint="eastAsia"/>
        </w:rPr>
        <w:t>年度間僅101年度</w:t>
      </w:r>
      <w:r w:rsidR="007179E4" w:rsidRPr="00796551">
        <w:rPr>
          <w:rFonts w:hint="eastAsia"/>
          <w:snapToGrid/>
        </w:rPr>
        <w:t>節省利息</w:t>
      </w:r>
      <w:r w:rsidR="007179E4">
        <w:rPr>
          <w:rFonts w:hint="eastAsia"/>
          <w:snapToGrid/>
        </w:rPr>
        <w:t>數</w:t>
      </w:r>
      <w:r w:rsidR="00AC7BE6">
        <w:rPr>
          <w:rFonts w:hint="eastAsia"/>
        </w:rPr>
        <w:t>超過</w:t>
      </w:r>
      <w:r w:rsidR="00DE6B23">
        <w:rPr>
          <w:rFonts w:hint="eastAsia"/>
        </w:rPr>
        <w:t>6</w:t>
      </w:r>
      <w:r w:rsidR="00AC7BE6">
        <w:rPr>
          <w:rFonts w:hint="eastAsia"/>
        </w:rPr>
        <w:t>億元，其餘年度介於0.23億元至4.85</w:t>
      </w:r>
      <w:r w:rsidR="000F68E6">
        <w:rPr>
          <w:rFonts w:hint="eastAsia"/>
        </w:rPr>
        <w:t>億元間，</w:t>
      </w:r>
      <w:r w:rsidR="00AC7BE6">
        <w:rPr>
          <w:rFonts w:hint="eastAsia"/>
        </w:rPr>
        <w:t>近3年</w:t>
      </w:r>
      <w:r w:rsidR="00DE6B23">
        <w:rPr>
          <w:rFonts w:hint="eastAsia"/>
        </w:rPr>
        <w:t>(110至112年度)</w:t>
      </w:r>
      <w:r w:rsidR="000F68E6">
        <w:rPr>
          <w:rFonts w:hint="eastAsia"/>
        </w:rPr>
        <w:t>中央政府稅收實徵數</w:t>
      </w:r>
      <w:r w:rsidR="00AC7BE6">
        <w:rPr>
          <w:rFonts w:hint="eastAsia"/>
        </w:rPr>
        <w:t>雖</w:t>
      </w:r>
      <w:r w:rsidR="000F68E6">
        <w:rPr>
          <w:rFonts w:hint="eastAsia"/>
        </w:rPr>
        <w:t>均大於預算數</w:t>
      </w:r>
      <w:r w:rsidR="00AC7BE6">
        <w:rPr>
          <w:rFonts w:hint="eastAsia"/>
        </w:rPr>
        <w:t>，惟囿於公債買回不易及利率尚處低點等因素，</w:t>
      </w:r>
      <w:r w:rsidR="007179E4" w:rsidRPr="00796551">
        <w:rPr>
          <w:rFonts w:hint="eastAsia"/>
          <w:snapToGrid/>
        </w:rPr>
        <w:t>節省利息</w:t>
      </w:r>
      <w:r w:rsidR="007179E4">
        <w:rPr>
          <w:rFonts w:hint="eastAsia"/>
          <w:snapToGrid/>
        </w:rPr>
        <w:t>數</w:t>
      </w:r>
      <w:r w:rsidR="00423A5C">
        <w:rPr>
          <w:rFonts w:hint="eastAsia"/>
        </w:rPr>
        <w:t>合計</w:t>
      </w:r>
      <w:r w:rsidR="006F2FE5">
        <w:rPr>
          <w:rFonts w:hint="eastAsia"/>
        </w:rPr>
        <w:t>7.58</w:t>
      </w:r>
      <w:r w:rsidR="00AC7BE6">
        <w:rPr>
          <w:rFonts w:hint="eastAsia"/>
        </w:rPr>
        <w:t>億元，平均</w:t>
      </w:r>
      <w:r w:rsidR="00423A5C">
        <w:rPr>
          <w:rFonts w:hint="eastAsia"/>
        </w:rPr>
        <w:t>每年</w:t>
      </w:r>
      <w:r w:rsidR="00AC7BE6">
        <w:rPr>
          <w:rFonts w:hint="eastAsia"/>
        </w:rPr>
        <w:t>僅</w:t>
      </w:r>
      <w:r w:rsidR="006F2FE5">
        <w:rPr>
          <w:rFonts w:hint="eastAsia"/>
        </w:rPr>
        <w:t>2.53</w:t>
      </w:r>
      <w:r w:rsidR="00AC7BE6">
        <w:rPr>
          <w:rFonts w:hint="eastAsia"/>
        </w:rPr>
        <w:t>億元。</w:t>
      </w:r>
    </w:p>
    <w:p w:rsidR="00223F22" w:rsidRDefault="00223F22" w:rsidP="00223F22">
      <w:pPr>
        <w:widowControl/>
        <w:spacing w:line="400" w:lineRule="exact"/>
        <w:ind w:leftChars="176" w:left="1273" w:firstLineChars="0" w:hanging="774"/>
        <w:jc w:val="left"/>
        <w:rPr>
          <w:rFonts w:hAnsi="標楷體" w:hint="eastAsia"/>
          <w:b/>
          <w:snapToGrid/>
          <w:kern w:val="0"/>
          <w:szCs w:val="20"/>
        </w:rPr>
      </w:pPr>
      <w:r w:rsidRPr="003422A1">
        <w:rPr>
          <w:rFonts w:hAnsi="標楷體"/>
          <w:b/>
          <w:snapToGrid/>
          <w:kern w:val="0"/>
          <w:szCs w:val="20"/>
        </w:rPr>
        <w:t>表</w:t>
      </w:r>
      <w:r w:rsidR="00AB3ED2">
        <w:rPr>
          <w:rFonts w:hAnsi="標楷體" w:hint="eastAsia"/>
          <w:b/>
          <w:snapToGrid/>
          <w:kern w:val="0"/>
          <w:szCs w:val="20"/>
        </w:rPr>
        <w:t>3-3</w:t>
      </w:r>
      <w:r w:rsidR="00935224">
        <w:rPr>
          <w:rFonts w:hAnsi="標楷體" w:hint="eastAsia"/>
          <w:b/>
          <w:snapToGrid/>
          <w:kern w:val="0"/>
          <w:szCs w:val="20"/>
        </w:rPr>
        <w:t>-1</w:t>
      </w:r>
      <w:r>
        <w:rPr>
          <w:rFonts w:hAnsi="標楷體" w:hint="eastAsia"/>
          <w:b/>
          <w:snapToGrid/>
          <w:kern w:val="0"/>
          <w:szCs w:val="20"/>
        </w:rPr>
        <w:t xml:space="preserve"> </w:t>
      </w:r>
      <w:r w:rsidR="00CF67A4" w:rsidRPr="00CF67A4">
        <w:rPr>
          <w:rFonts w:hAnsi="標楷體" w:hint="eastAsia"/>
          <w:b/>
          <w:snapToGrid/>
          <w:kern w:val="0"/>
          <w:szCs w:val="20"/>
        </w:rPr>
        <w:t>中央政府債務基金</w:t>
      </w:r>
      <w:r w:rsidR="00423A5C">
        <w:rPr>
          <w:rFonts w:hAnsi="標楷體" w:hint="eastAsia"/>
          <w:b/>
          <w:snapToGrid/>
          <w:kern w:val="0"/>
          <w:szCs w:val="20"/>
        </w:rPr>
        <w:t>歷年</w:t>
      </w:r>
      <w:r w:rsidR="00CF67A4" w:rsidRPr="00CF67A4">
        <w:rPr>
          <w:rFonts w:hAnsi="標楷體" w:hint="eastAsia"/>
          <w:b/>
          <w:snapToGrid/>
          <w:kern w:val="0"/>
          <w:szCs w:val="20"/>
        </w:rPr>
        <w:t>財務操作情形</w:t>
      </w:r>
      <w:r w:rsidR="00CF67A4">
        <w:rPr>
          <w:rFonts w:hAnsi="標楷體" w:hint="eastAsia"/>
          <w:b/>
          <w:snapToGrid/>
          <w:kern w:val="0"/>
          <w:szCs w:val="20"/>
        </w:rPr>
        <w:t xml:space="preserve">   </w:t>
      </w:r>
      <w:r w:rsidR="00CF67A4" w:rsidRPr="00CF67A4">
        <w:rPr>
          <w:rFonts w:hAnsi="標楷體" w:hint="eastAsia"/>
          <w:snapToGrid/>
          <w:kern w:val="0"/>
          <w:sz w:val="24"/>
          <w:szCs w:val="24"/>
        </w:rPr>
        <w:t>單位：新臺幣億元</w:t>
      </w:r>
    </w:p>
    <w:tbl>
      <w:tblPr>
        <w:tblW w:w="7957" w:type="dxa"/>
        <w:tblInd w:w="5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45"/>
        <w:gridCol w:w="1133"/>
        <w:gridCol w:w="1030"/>
        <w:gridCol w:w="1133"/>
        <w:gridCol w:w="1390"/>
        <w:gridCol w:w="992"/>
        <w:gridCol w:w="1134"/>
      </w:tblGrid>
      <w:tr w:rsidR="00582389" w:rsidRPr="00D64634" w:rsidTr="000F68E6">
        <w:trPr>
          <w:trHeight w:val="20"/>
          <w:tblHeader/>
        </w:trPr>
        <w:tc>
          <w:tcPr>
            <w:tcW w:w="1145" w:type="dxa"/>
            <w:shd w:val="clear" w:color="auto" w:fill="auto"/>
            <w:vAlign w:val="center"/>
            <w:hideMark/>
          </w:tcPr>
          <w:p w:rsidR="005E63D4" w:rsidRPr="00483BBC" w:rsidRDefault="005E63D4" w:rsidP="000F68E6">
            <w:pPr>
              <w:pStyle w:val="144"/>
              <w:jc w:val="center"/>
              <w:rPr>
                <w:b/>
                <w:snapToGrid/>
              </w:rPr>
            </w:pPr>
            <w:r w:rsidRPr="00483BBC">
              <w:rPr>
                <w:rFonts w:hint="eastAsia"/>
                <w:b/>
                <w:snapToGrid/>
              </w:rPr>
              <w:t>年度</w:t>
            </w:r>
          </w:p>
        </w:tc>
        <w:tc>
          <w:tcPr>
            <w:tcW w:w="1133" w:type="dxa"/>
            <w:shd w:val="clear" w:color="auto" w:fill="auto"/>
            <w:vAlign w:val="center"/>
          </w:tcPr>
          <w:p w:rsidR="005E63D4" w:rsidRPr="00483BBC" w:rsidRDefault="005E63D4" w:rsidP="000F68E6">
            <w:pPr>
              <w:pStyle w:val="144"/>
              <w:jc w:val="center"/>
              <w:rPr>
                <w:b/>
                <w:snapToGrid/>
              </w:rPr>
            </w:pPr>
            <w:r w:rsidRPr="00483BBC">
              <w:rPr>
                <w:rFonts w:hint="eastAsia"/>
                <w:b/>
                <w:snapToGrid/>
              </w:rPr>
              <w:t>總預算撥入還本數</w:t>
            </w:r>
          </w:p>
        </w:tc>
        <w:tc>
          <w:tcPr>
            <w:tcW w:w="1030" w:type="dxa"/>
            <w:shd w:val="clear" w:color="auto" w:fill="auto"/>
            <w:vAlign w:val="center"/>
          </w:tcPr>
          <w:p w:rsidR="005E63D4" w:rsidRPr="00483BBC" w:rsidRDefault="005E63D4" w:rsidP="000F68E6">
            <w:pPr>
              <w:pStyle w:val="144"/>
              <w:jc w:val="center"/>
              <w:rPr>
                <w:b/>
                <w:snapToGrid/>
              </w:rPr>
            </w:pPr>
            <w:r w:rsidRPr="00483BBC">
              <w:rPr>
                <w:rFonts w:hint="eastAsia"/>
                <w:b/>
                <w:snapToGrid/>
              </w:rPr>
              <w:t>舉新還舊數</w:t>
            </w:r>
          </w:p>
        </w:tc>
        <w:tc>
          <w:tcPr>
            <w:tcW w:w="1133" w:type="dxa"/>
            <w:shd w:val="clear" w:color="auto" w:fill="auto"/>
            <w:vAlign w:val="center"/>
          </w:tcPr>
          <w:p w:rsidR="005E63D4" w:rsidRPr="00483BBC" w:rsidRDefault="005E63D4" w:rsidP="000F68E6">
            <w:pPr>
              <w:pStyle w:val="144"/>
              <w:jc w:val="center"/>
              <w:rPr>
                <w:b/>
                <w:snapToGrid/>
              </w:rPr>
            </w:pPr>
            <w:r w:rsidRPr="00483BBC">
              <w:rPr>
                <w:rFonts w:hint="eastAsia"/>
                <w:b/>
                <w:snapToGrid/>
              </w:rPr>
              <w:t>償還到期債務</w:t>
            </w:r>
            <w:r w:rsidR="007179E4" w:rsidRPr="00483BBC">
              <w:rPr>
                <w:rFonts w:hint="eastAsia"/>
                <w:b/>
                <w:snapToGrid/>
              </w:rPr>
              <w:t>數</w:t>
            </w:r>
          </w:p>
        </w:tc>
        <w:tc>
          <w:tcPr>
            <w:tcW w:w="1390" w:type="dxa"/>
            <w:shd w:val="clear" w:color="auto" w:fill="auto"/>
            <w:vAlign w:val="center"/>
          </w:tcPr>
          <w:p w:rsidR="005E63D4" w:rsidRPr="00483BBC" w:rsidRDefault="005E63D4" w:rsidP="000F68E6">
            <w:pPr>
              <w:pStyle w:val="144"/>
              <w:jc w:val="center"/>
              <w:rPr>
                <w:b/>
                <w:snapToGrid/>
              </w:rPr>
            </w:pPr>
            <w:r w:rsidRPr="00483BBC">
              <w:rPr>
                <w:rFonts w:hint="eastAsia"/>
                <w:b/>
                <w:snapToGrid/>
              </w:rPr>
              <w:t>提前償還未到期債務</w:t>
            </w:r>
            <w:r w:rsidR="007179E4" w:rsidRPr="00483BBC">
              <w:rPr>
                <w:rFonts w:hint="eastAsia"/>
                <w:b/>
                <w:snapToGrid/>
              </w:rPr>
              <w:t>數</w:t>
            </w:r>
          </w:p>
        </w:tc>
        <w:tc>
          <w:tcPr>
            <w:tcW w:w="992" w:type="dxa"/>
            <w:vAlign w:val="center"/>
          </w:tcPr>
          <w:p w:rsidR="005E63D4" w:rsidRPr="00483BBC" w:rsidRDefault="005E63D4" w:rsidP="000F68E6">
            <w:pPr>
              <w:pStyle w:val="144"/>
              <w:jc w:val="center"/>
              <w:rPr>
                <w:b/>
                <w:snapToGrid/>
              </w:rPr>
            </w:pPr>
            <w:r w:rsidRPr="00483BBC">
              <w:rPr>
                <w:rFonts w:hint="eastAsia"/>
                <w:b/>
                <w:snapToGrid/>
              </w:rPr>
              <w:t>節省利息</w:t>
            </w:r>
            <w:r w:rsidR="007179E4" w:rsidRPr="00483BBC">
              <w:rPr>
                <w:rFonts w:hint="eastAsia"/>
                <w:b/>
                <w:snapToGrid/>
              </w:rPr>
              <w:t>數</w:t>
            </w:r>
          </w:p>
        </w:tc>
        <w:tc>
          <w:tcPr>
            <w:tcW w:w="1134" w:type="dxa"/>
            <w:vAlign w:val="center"/>
          </w:tcPr>
          <w:p w:rsidR="005E63D4" w:rsidRPr="00483BBC" w:rsidRDefault="005E63D4" w:rsidP="000F68E6">
            <w:pPr>
              <w:pStyle w:val="144"/>
              <w:jc w:val="center"/>
              <w:rPr>
                <w:rFonts w:hint="eastAsia"/>
                <w:b/>
                <w:snapToGrid/>
              </w:rPr>
            </w:pPr>
            <w:r w:rsidRPr="00483BBC">
              <w:rPr>
                <w:rFonts w:hint="eastAsia"/>
                <w:b/>
                <w:snapToGrid/>
              </w:rPr>
              <w:t>債務未償餘額</w:t>
            </w:r>
          </w:p>
        </w:tc>
      </w:tr>
      <w:tr w:rsidR="00582389" w:rsidRPr="00D64634" w:rsidTr="000F0390">
        <w:trPr>
          <w:trHeight w:val="20"/>
        </w:trPr>
        <w:tc>
          <w:tcPr>
            <w:tcW w:w="1145" w:type="dxa"/>
            <w:shd w:val="clear" w:color="auto" w:fill="auto"/>
            <w:vAlign w:val="center"/>
          </w:tcPr>
          <w:p w:rsidR="005E63D4" w:rsidRPr="005E63D4" w:rsidRDefault="005E63D4" w:rsidP="005E63D4">
            <w:pPr>
              <w:pStyle w:val="144"/>
              <w:jc w:val="center"/>
              <w:rPr>
                <w:rFonts w:hint="eastAsia"/>
                <w:snapToGrid/>
              </w:rPr>
            </w:pPr>
            <w:r w:rsidRPr="005E63D4">
              <w:rPr>
                <w:rFonts w:hint="eastAsia"/>
                <w:snapToGrid/>
              </w:rPr>
              <w:t>88下半及89</w:t>
            </w:r>
          </w:p>
        </w:tc>
        <w:tc>
          <w:tcPr>
            <w:tcW w:w="1133" w:type="dxa"/>
            <w:shd w:val="clear" w:color="auto" w:fill="auto"/>
            <w:vAlign w:val="center"/>
          </w:tcPr>
          <w:p w:rsidR="005E63D4" w:rsidRPr="005E63D4" w:rsidRDefault="005E63D4" w:rsidP="009E7630">
            <w:pPr>
              <w:pStyle w:val="144"/>
              <w:jc w:val="right"/>
              <w:rPr>
                <w:rFonts w:hint="eastAsia"/>
                <w:snapToGrid/>
              </w:rPr>
            </w:pPr>
            <w:r w:rsidRPr="005E63D4">
              <w:rPr>
                <w:rFonts w:hint="eastAsia"/>
                <w:snapToGrid/>
              </w:rPr>
              <w:t>0</w:t>
            </w:r>
          </w:p>
        </w:tc>
        <w:tc>
          <w:tcPr>
            <w:tcW w:w="1030" w:type="dxa"/>
            <w:shd w:val="clear" w:color="auto" w:fill="auto"/>
            <w:vAlign w:val="center"/>
          </w:tcPr>
          <w:p w:rsidR="005E63D4" w:rsidRPr="005E63D4" w:rsidRDefault="005E63D4" w:rsidP="009E7630">
            <w:pPr>
              <w:pStyle w:val="144"/>
              <w:jc w:val="right"/>
              <w:rPr>
                <w:rFonts w:hint="eastAsia"/>
                <w:snapToGrid/>
              </w:rPr>
            </w:pPr>
            <w:r>
              <w:rPr>
                <w:rFonts w:hint="eastAsia"/>
                <w:snapToGrid/>
              </w:rPr>
              <w:t>3</w:t>
            </w:r>
            <w:r>
              <w:rPr>
                <w:snapToGrid/>
              </w:rPr>
              <w:t>00</w:t>
            </w:r>
          </w:p>
        </w:tc>
        <w:tc>
          <w:tcPr>
            <w:tcW w:w="1133" w:type="dxa"/>
            <w:shd w:val="clear" w:color="auto" w:fill="auto"/>
            <w:vAlign w:val="center"/>
          </w:tcPr>
          <w:p w:rsidR="005E63D4" w:rsidRPr="005E63D4" w:rsidRDefault="00582389" w:rsidP="009E7630">
            <w:pPr>
              <w:pStyle w:val="144"/>
              <w:jc w:val="right"/>
              <w:rPr>
                <w:rFonts w:hint="eastAsia"/>
                <w:snapToGrid/>
              </w:rPr>
            </w:pPr>
            <w:r>
              <w:rPr>
                <w:rFonts w:hint="eastAsia"/>
                <w:snapToGrid/>
              </w:rPr>
              <w:t>3</w:t>
            </w:r>
            <w:r>
              <w:rPr>
                <w:snapToGrid/>
              </w:rPr>
              <w:t>00.00</w:t>
            </w:r>
          </w:p>
        </w:tc>
        <w:tc>
          <w:tcPr>
            <w:tcW w:w="1390" w:type="dxa"/>
            <w:shd w:val="clear" w:color="auto" w:fill="auto"/>
            <w:vAlign w:val="center"/>
          </w:tcPr>
          <w:p w:rsidR="005E63D4" w:rsidRPr="005E63D4" w:rsidRDefault="00582389" w:rsidP="009E7630">
            <w:pPr>
              <w:pStyle w:val="144"/>
              <w:jc w:val="right"/>
              <w:rPr>
                <w:rFonts w:hint="eastAsia"/>
                <w:snapToGrid/>
              </w:rPr>
            </w:pPr>
            <w:r>
              <w:rPr>
                <w:rFonts w:hint="eastAsia"/>
                <w:snapToGrid/>
              </w:rPr>
              <w:t>0</w:t>
            </w:r>
          </w:p>
        </w:tc>
        <w:tc>
          <w:tcPr>
            <w:tcW w:w="992" w:type="dxa"/>
            <w:vAlign w:val="center"/>
          </w:tcPr>
          <w:p w:rsidR="005E63D4" w:rsidRPr="005E63D4" w:rsidRDefault="00331631" w:rsidP="009E7630">
            <w:pPr>
              <w:pStyle w:val="144"/>
              <w:jc w:val="right"/>
              <w:rPr>
                <w:rFonts w:hint="eastAsia"/>
                <w:snapToGrid/>
              </w:rPr>
            </w:pPr>
            <w:r>
              <w:rPr>
                <w:rFonts w:hint="eastAsia"/>
                <w:snapToGrid/>
              </w:rPr>
              <w:t>0</w:t>
            </w:r>
          </w:p>
        </w:tc>
        <w:tc>
          <w:tcPr>
            <w:tcW w:w="1134" w:type="dxa"/>
            <w:vAlign w:val="center"/>
          </w:tcPr>
          <w:p w:rsidR="005E63D4" w:rsidRPr="005E63D4" w:rsidRDefault="00F72D50" w:rsidP="009E7630">
            <w:pPr>
              <w:pStyle w:val="144"/>
              <w:jc w:val="right"/>
              <w:rPr>
                <w:rFonts w:hint="eastAsia"/>
                <w:snapToGrid/>
              </w:rPr>
            </w:pPr>
            <w:r>
              <w:rPr>
                <w:rFonts w:hint="eastAsia"/>
                <w:snapToGrid/>
              </w:rPr>
              <w:t>2</w:t>
            </w:r>
            <w:r>
              <w:rPr>
                <w:snapToGrid/>
              </w:rPr>
              <w:t>4,505</w:t>
            </w:r>
          </w:p>
        </w:tc>
      </w:tr>
      <w:tr w:rsidR="00582389" w:rsidRPr="00D64634" w:rsidTr="000F0390">
        <w:trPr>
          <w:trHeight w:val="312"/>
        </w:trPr>
        <w:tc>
          <w:tcPr>
            <w:tcW w:w="1145" w:type="dxa"/>
            <w:shd w:val="clear" w:color="auto" w:fill="auto"/>
            <w:vAlign w:val="center"/>
          </w:tcPr>
          <w:p w:rsidR="005E63D4" w:rsidRPr="005E63D4" w:rsidRDefault="005E63D4" w:rsidP="005E63D4">
            <w:pPr>
              <w:pStyle w:val="144"/>
              <w:jc w:val="center"/>
              <w:rPr>
                <w:rFonts w:hint="eastAsia"/>
                <w:snapToGrid/>
              </w:rPr>
            </w:pPr>
            <w:r w:rsidRPr="005E63D4">
              <w:rPr>
                <w:rFonts w:hint="eastAsia"/>
                <w:snapToGrid/>
              </w:rPr>
              <w:t>90</w:t>
            </w:r>
          </w:p>
        </w:tc>
        <w:tc>
          <w:tcPr>
            <w:tcW w:w="1133" w:type="dxa"/>
            <w:shd w:val="clear" w:color="auto" w:fill="auto"/>
            <w:vAlign w:val="center"/>
          </w:tcPr>
          <w:p w:rsidR="005E63D4" w:rsidRPr="005E63D4" w:rsidRDefault="005E63D4" w:rsidP="009E7630">
            <w:pPr>
              <w:pStyle w:val="144"/>
              <w:jc w:val="right"/>
              <w:rPr>
                <w:rFonts w:hint="eastAsia"/>
                <w:snapToGrid/>
              </w:rPr>
            </w:pPr>
            <w:r>
              <w:rPr>
                <w:rFonts w:hint="eastAsia"/>
                <w:snapToGrid/>
              </w:rPr>
              <w:t>1,</w:t>
            </w:r>
            <w:r>
              <w:rPr>
                <w:snapToGrid/>
              </w:rPr>
              <w:t>222</w:t>
            </w:r>
          </w:p>
        </w:tc>
        <w:tc>
          <w:tcPr>
            <w:tcW w:w="1030" w:type="dxa"/>
            <w:shd w:val="clear" w:color="auto" w:fill="auto"/>
            <w:vAlign w:val="center"/>
          </w:tcPr>
          <w:p w:rsidR="005E63D4" w:rsidRPr="005E63D4" w:rsidRDefault="005E63D4" w:rsidP="009E7630">
            <w:pPr>
              <w:pStyle w:val="144"/>
              <w:jc w:val="right"/>
              <w:rPr>
                <w:rFonts w:hint="eastAsia"/>
                <w:snapToGrid/>
              </w:rPr>
            </w:pPr>
            <w:r>
              <w:rPr>
                <w:rFonts w:hint="eastAsia"/>
                <w:snapToGrid/>
              </w:rPr>
              <w:t>1</w:t>
            </w:r>
            <w:r>
              <w:rPr>
                <w:snapToGrid/>
              </w:rPr>
              <w:t>,000</w:t>
            </w:r>
          </w:p>
        </w:tc>
        <w:tc>
          <w:tcPr>
            <w:tcW w:w="1133" w:type="dxa"/>
            <w:shd w:val="clear" w:color="auto" w:fill="auto"/>
            <w:vAlign w:val="center"/>
          </w:tcPr>
          <w:p w:rsidR="005E63D4" w:rsidRPr="005E63D4" w:rsidRDefault="00582389" w:rsidP="009E7630">
            <w:pPr>
              <w:pStyle w:val="144"/>
              <w:jc w:val="right"/>
              <w:rPr>
                <w:rFonts w:hint="eastAsia"/>
                <w:snapToGrid/>
              </w:rPr>
            </w:pPr>
            <w:r>
              <w:rPr>
                <w:rFonts w:hint="eastAsia"/>
                <w:snapToGrid/>
              </w:rPr>
              <w:t>2</w:t>
            </w:r>
            <w:r>
              <w:rPr>
                <w:snapToGrid/>
              </w:rPr>
              <w:t>,222</w:t>
            </w:r>
          </w:p>
        </w:tc>
        <w:tc>
          <w:tcPr>
            <w:tcW w:w="1390" w:type="dxa"/>
            <w:shd w:val="clear" w:color="auto" w:fill="auto"/>
            <w:vAlign w:val="center"/>
          </w:tcPr>
          <w:p w:rsidR="005E63D4" w:rsidRPr="005E63D4" w:rsidRDefault="00582389" w:rsidP="009E7630">
            <w:pPr>
              <w:pStyle w:val="144"/>
              <w:jc w:val="right"/>
              <w:rPr>
                <w:rFonts w:hint="eastAsia"/>
                <w:snapToGrid/>
              </w:rPr>
            </w:pPr>
            <w:r>
              <w:rPr>
                <w:rFonts w:hint="eastAsia"/>
                <w:snapToGrid/>
              </w:rPr>
              <w:t>0</w:t>
            </w:r>
          </w:p>
        </w:tc>
        <w:tc>
          <w:tcPr>
            <w:tcW w:w="992" w:type="dxa"/>
            <w:vAlign w:val="center"/>
          </w:tcPr>
          <w:p w:rsidR="005E63D4" w:rsidRPr="005E63D4" w:rsidRDefault="00331631" w:rsidP="009E7630">
            <w:pPr>
              <w:pStyle w:val="144"/>
              <w:jc w:val="right"/>
              <w:rPr>
                <w:rFonts w:hint="eastAsia"/>
                <w:snapToGrid/>
              </w:rPr>
            </w:pPr>
            <w:r>
              <w:rPr>
                <w:rFonts w:hint="eastAsia"/>
                <w:snapToGrid/>
              </w:rPr>
              <w:t>0</w:t>
            </w:r>
          </w:p>
        </w:tc>
        <w:tc>
          <w:tcPr>
            <w:tcW w:w="1134" w:type="dxa"/>
            <w:vAlign w:val="center"/>
          </w:tcPr>
          <w:p w:rsidR="005E63D4" w:rsidRPr="005E63D4" w:rsidRDefault="00F72D50" w:rsidP="009E7630">
            <w:pPr>
              <w:pStyle w:val="144"/>
              <w:jc w:val="right"/>
              <w:rPr>
                <w:rFonts w:hint="eastAsia"/>
                <w:snapToGrid/>
              </w:rPr>
            </w:pPr>
            <w:r>
              <w:rPr>
                <w:rFonts w:hint="eastAsia"/>
                <w:snapToGrid/>
              </w:rPr>
              <w:t>2</w:t>
            </w:r>
            <w:r>
              <w:rPr>
                <w:snapToGrid/>
              </w:rPr>
              <w:t>7,593</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4"/>
              <w:jc w:val="center"/>
              <w:rPr>
                <w:rFonts w:hint="eastAsia"/>
                <w:snapToGrid/>
              </w:rPr>
            </w:pPr>
            <w:r w:rsidRPr="005E63D4">
              <w:rPr>
                <w:rFonts w:hint="eastAsia"/>
                <w:snapToGrid/>
              </w:rPr>
              <w:t>91</w:t>
            </w:r>
          </w:p>
        </w:tc>
        <w:tc>
          <w:tcPr>
            <w:tcW w:w="1133" w:type="dxa"/>
            <w:shd w:val="clear" w:color="auto" w:fill="auto"/>
            <w:vAlign w:val="center"/>
          </w:tcPr>
          <w:p w:rsidR="00582389" w:rsidRPr="005E63D4" w:rsidRDefault="00582389" w:rsidP="009E7630">
            <w:pPr>
              <w:pStyle w:val="144"/>
              <w:jc w:val="right"/>
              <w:rPr>
                <w:rFonts w:hint="eastAsia"/>
                <w:snapToGrid/>
              </w:rPr>
            </w:pPr>
            <w:r>
              <w:rPr>
                <w:rFonts w:hint="eastAsia"/>
                <w:snapToGrid/>
              </w:rPr>
              <w:t>5</w:t>
            </w:r>
            <w:r>
              <w:rPr>
                <w:snapToGrid/>
              </w:rPr>
              <w:t>5</w:t>
            </w:r>
            <w:r w:rsidR="00331631">
              <w:rPr>
                <w:snapToGrid/>
              </w:rPr>
              <w:t>4</w:t>
            </w:r>
          </w:p>
        </w:tc>
        <w:tc>
          <w:tcPr>
            <w:tcW w:w="1030" w:type="dxa"/>
            <w:shd w:val="clear" w:color="auto" w:fill="auto"/>
            <w:vAlign w:val="center"/>
          </w:tcPr>
          <w:p w:rsidR="00582389" w:rsidRPr="005E63D4" w:rsidRDefault="00582389" w:rsidP="009E7630">
            <w:pPr>
              <w:pStyle w:val="144"/>
              <w:jc w:val="right"/>
              <w:rPr>
                <w:rFonts w:hint="eastAsia"/>
                <w:snapToGrid/>
              </w:rPr>
            </w:pPr>
            <w:r>
              <w:rPr>
                <w:rFonts w:hint="eastAsia"/>
                <w:snapToGrid/>
              </w:rPr>
              <w:t>3</w:t>
            </w:r>
            <w:r>
              <w:rPr>
                <w:snapToGrid/>
              </w:rPr>
              <w:t>,750</w:t>
            </w:r>
          </w:p>
        </w:tc>
        <w:tc>
          <w:tcPr>
            <w:tcW w:w="1133" w:type="dxa"/>
            <w:shd w:val="clear" w:color="auto" w:fill="auto"/>
            <w:vAlign w:val="center"/>
          </w:tcPr>
          <w:p w:rsidR="00582389" w:rsidRPr="005E63D4" w:rsidRDefault="00582389" w:rsidP="009E7630">
            <w:pPr>
              <w:pStyle w:val="144"/>
              <w:jc w:val="right"/>
              <w:rPr>
                <w:rFonts w:hint="eastAsia"/>
                <w:snapToGrid/>
              </w:rPr>
            </w:pPr>
            <w:r>
              <w:rPr>
                <w:rFonts w:hint="eastAsia"/>
                <w:snapToGrid/>
              </w:rPr>
              <w:t>2</w:t>
            </w:r>
            <w:r>
              <w:rPr>
                <w:snapToGrid/>
              </w:rPr>
              <w:t>,513</w:t>
            </w:r>
          </w:p>
        </w:tc>
        <w:tc>
          <w:tcPr>
            <w:tcW w:w="1390" w:type="dxa"/>
            <w:shd w:val="clear" w:color="auto" w:fill="auto"/>
            <w:vAlign w:val="center"/>
          </w:tcPr>
          <w:p w:rsidR="00582389" w:rsidRDefault="00582389" w:rsidP="009E7630">
            <w:pPr>
              <w:pStyle w:val="144"/>
              <w:jc w:val="right"/>
            </w:pPr>
            <w:r>
              <w:t>1,79</w:t>
            </w:r>
            <w:r w:rsidR="00331631">
              <w:t>1</w:t>
            </w:r>
          </w:p>
        </w:tc>
        <w:tc>
          <w:tcPr>
            <w:tcW w:w="992" w:type="dxa"/>
            <w:vAlign w:val="center"/>
          </w:tcPr>
          <w:p w:rsidR="00582389" w:rsidRPr="005E63D4" w:rsidRDefault="00331631" w:rsidP="009E7630">
            <w:pPr>
              <w:pStyle w:val="144"/>
              <w:jc w:val="right"/>
              <w:rPr>
                <w:rFonts w:hint="eastAsia"/>
                <w:snapToGrid/>
              </w:rPr>
            </w:pPr>
            <w:r>
              <w:rPr>
                <w:snapToGrid/>
              </w:rPr>
              <w:t>48.53</w:t>
            </w:r>
          </w:p>
        </w:tc>
        <w:tc>
          <w:tcPr>
            <w:tcW w:w="1134" w:type="dxa"/>
            <w:vAlign w:val="center"/>
          </w:tcPr>
          <w:p w:rsidR="00582389" w:rsidRPr="005E63D4" w:rsidRDefault="00F72D50" w:rsidP="009E7630">
            <w:pPr>
              <w:pStyle w:val="144"/>
              <w:jc w:val="right"/>
              <w:rPr>
                <w:rFonts w:hint="eastAsia"/>
                <w:snapToGrid/>
              </w:rPr>
            </w:pPr>
            <w:r>
              <w:rPr>
                <w:rFonts w:hint="eastAsia"/>
                <w:snapToGrid/>
              </w:rPr>
              <w:t>2</w:t>
            </w:r>
            <w:r>
              <w:rPr>
                <w:snapToGrid/>
              </w:rPr>
              <w:t>8,494</w:t>
            </w:r>
          </w:p>
        </w:tc>
      </w:tr>
      <w:tr w:rsidR="00582389" w:rsidRPr="00D64634" w:rsidTr="000F0390">
        <w:trPr>
          <w:trHeight w:val="312"/>
        </w:trPr>
        <w:tc>
          <w:tcPr>
            <w:tcW w:w="1145" w:type="dxa"/>
            <w:shd w:val="clear" w:color="auto" w:fill="auto"/>
            <w:vAlign w:val="center"/>
            <w:hideMark/>
          </w:tcPr>
          <w:p w:rsidR="00582389" w:rsidRPr="005E63D4" w:rsidRDefault="00582389" w:rsidP="00582389">
            <w:pPr>
              <w:pStyle w:val="144"/>
              <w:jc w:val="center"/>
              <w:rPr>
                <w:snapToGrid/>
              </w:rPr>
            </w:pPr>
            <w:r w:rsidRPr="005E63D4">
              <w:rPr>
                <w:rFonts w:hint="eastAsia"/>
                <w:snapToGrid/>
              </w:rPr>
              <w:t>92</w:t>
            </w:r>
          </w:p>
        </w:tc>
        <w:tc>
          <w:tcPr>
            <w:tcW w:w="1133" w:type="dxa"/>
            <w:shd w:val="clear" w:color="auto" w:fill="auto"/>
            <w:vAlign w:val="center"/>
          </w:tcPr>
          <w:p w:rsidR="00582389" w:rsidRPr="005E63D4" w:rsidRDefault="00582389" w:rsidP="00A94EA8">
            <w:pPr>
              <w:pStyle w:val="144"/>
              <w:jc w:val="right"/>
              <w:rPr>
                <w:snapToGrid/>
              </w:rPr>
            </w:pPr>
            <w:r>
              <w:rPr>
                <w:rFonts w:hint="eastAsia"/>
                <w:snapToGrid/>
              </w:rPr>
              <w:t>4</w:t>
            </w:r>
            <w:r>
              <w:rPr>
                <w:snapToGrid/>
              </w:rPr>
              <w:t>65</w:t>
            </w:r>
          </w:p>
        </w:tc>
        <w:tc>
          <w:tcPr>
            <w:tcW w:w="1030" w:type="dxa"/>
            <w:shd w:val="clear" w:color="auto" w:fill="auto"/>
            <w:vAlign w:val="center"/>
          </w:tcPr>
          <w:p w:rsidR="00582389" w:rsidRPr="005E63D4" w:rsidRDefault="00582389" w:rsidP="00A94EA8">
            <w:pPr>
              <w:pStyle w:val="144"/>
              <w:jc w:val="right"/>
              <w:rPr>
                <w:snapToGrid/>
              </w:rPr>
            </w:pPr>
            <w:r>
              <w:rPr>
                <w:rFonts w:hint="eastAsia"/>
                <w:snapToGrid/>
              </w:rPr>
              <w:t>3</w:t>
            </w:r>
            <w:r>
              <w:rPr>
                <w:snapToGrid/>
              </w:rPr>
              <w:t>,375</w:t>
            </w:r>
          </w:p>
        </w:tc>
        <w:tc>
          <w:tcPr>
            <w:tcW w:w="1133" w:type="dxa"/>
            <w:shd w:val="clear" w:color="auto" w:fill="auto"/>
            <w:vAlign w:val="center"/>
          </w:tcPr>
          <w:p w:rsidR="00582389" w:rsidRPr="005E63D4" w:rsidRDefault="00582389" w:rsidP="00A94EA8">
            <w:pPr>
              <w:pStyle w:val="144"/>
              <w:jc w:val="right"/>
              <w:rPr>
                <w:snapToGrid/>
              </w:rPr>
            </w:pPr>
            <w:r>
              <w:rPr>
                <w:rFonts w:hint="eastAsia"/>
                <w:snapToGrid/>
              </w:rPr>
              <w:t>2</w:t>
            </w:r>
            <w:r>
              <w:rPr>
                <w:snapToGrid/>
              </w:rPr>
              <w:t>,14</w:t>
            </w:r>
            <w:r w:rsidR="00331631">
              <w:rPr>
                <w:snapToGrid/>
              </w:rPr>
              <w:t>7</w:t>
            </w:r>
          </w:p>
        </w:tc>
        <w:tc>
          <w:tcPr>
            <w:tcW w:w="1390" w:type="dxa"/>
            <w:shd w:val="clear" w:color="auto" w:fill="auto"/>
            <w:vAlign w:val="center"/>
          </w:tcPr>
          <w:p w:rsidR="00582389" w:rsidRDefault="00582389" w:rsidP="00A94EA8">
            <w:pPr>
              <w:pStyle w:val="144"/>
              <w:jc w:val="right"/>
            </w:pPr>
            <w:r>
              <w:t>1,693</w:t>
            </w:r>
          </w:p>
        </w:tc>
        <w:tc>
          <w:tcPr>
            <w:tcW w:w="992" w:type="dxa"/>
            <w:vAlign w:val="center"/>
          </w:tcPr>
          <w:p w:rsidR="00582389" w:rsidRPr="005E63D4" w:rsidRDefault="00331631" w:rsidP="00A94EA8">
            <w:pPr>
              <w:pStyle w:val="144"/>
              <w:jc w:val="right"/>
              <w:rPr>
                <w:rFonts w:hint="eastAsia"/>
                <w:snapToGrid/>
              </w:rPr>
            </w:pPr>
            <w:r>
              <w:rPr>
                <w:rFonts w:hint="eastAsia"/>
                <w:snapToGrid/>
              </w:rPr>
              <w:t>4</w:t>
            </w:r>
            <w:r>
              <w:rPr>
                <w:snapToGrid/>
              </w:rPr>
              <w:t>5.77</w:t>
            </w:r>
          </w:p>
        </w:tc>
        <w:tc>
          <w:tcPr>
            <w:tcW w:w="1134" w:type="dxa"/>
            <w:vAlign w:val="center"/>
          </w:tcPr>
          <w:p w:rsidR="00582389" w:rsidRPr="005E63D4" w:rsidRDefault="00F72D50" w:rsidP="00A94EA8">
            <w:pPr>
              <w:pStyle w:val="144"/>
              <w:jc w:val="right"/>
              <w:rPr>
                <w:snapToGrid/>
              </w:rPr>
            </w:pPr>
            <w:r>
              <w:rPr>
                <w:rFonts w:hint="eastAsia"/>
                <w:snapToGrid/>
              </w:rPr>
              <w:t>3</w:t>
            </w:r>
            <w:r>
              <w:rPr>
                <w:snapToGrid/>
              </w:rPr>
              <w:t>1,247</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4"/>
              <w:jc w:val="center"/>
              <w:rPr>
                <w:rFonts w:hint="eastAsia"/>
                <w:snapToGrid/>
              </w:rPr>
            </w:pPr>
            <w:r w:rsidRPr="005E63D4">
              <w:rPr>
                <w:rFonts w:hint="eastAsia"/>
                <w:snapToGrid/>
              </w:rPr>
              <w:t>93</w:t>
            </w:r>
          </w:p>
        </w:tc>
        <w:tc>
          <w:tcPr>
            <w:tcW w:w="1133" w:type="dxa"/>
            <w:shd w:val="clear" w:color="auto" w:fill="auto"/>
            <w:vAlign w:val="center"/>
          </w:tcPr>
          <w:p w:rsidR="00582389" w:rsidRPr="005E63D4" w:rsidRDefault="00582389" w:rsidP="00A94EA8">
            <w:pPr>
              <w:pStyle w:val="144"/>
              <w:jc w:val="right"/>
              <w:rPr>
                <w:snapToGrid/>
              </w:rPr>
            </w:pPr>
            <w:r>
              <w:rPr>
                <w:rFonts w:hint="eastAsia"/>
                <w:snapToGrid/>
              </w:rPr>
              <w:t>5</w:t>
            </w:r>
            <w:r>
              <w:rPr>
                <w:snapToGrid/>
              </w:rPr>
              <w:t>61</w:t>
            </w:r>
          </w:p>
        </w:tc>
        <w:tc>
          <w:tcPr>
            <w:tcW w:w="1030" w:type="dxa"/>
            <w:shd w:val="clear" w:color="auto" w:fill="auto"/>
            <w:vAlign w:val="center"/>
          </w:tcPr>
          <w:p w:rsidR="00582389" w:rsidRPr="005E63D4" w:rsidRDefault="00582389" w:rsidP="00A94EA8">
            <w:pPr>
              <w:pStyle w:val="144"/>
              <w:jc w:val="right"/>
              <w:rPr>
                <w:snapToGrid/>
              </w:rPr>
            </w:pPr>
            <w:r>
              <w:rPr>
                <w:rFonts w:hint="eastAsia"/>
                <w:snapToGrid/>
              </w:rPr>
              <w:t>5</w:t>
            </w:r>
            <w:r>
              <w:rPr>
                <w:snapToGrid/>
              </w:rPr>
              <w:t>,720</w:t>
            </w:r>
          </w:p>
        </w:tc>
        <w:tc>
          <w:tcPr>
            <w:tcW w:w="1133" w:type="dxa"/>
            <w:shd w:val="clear" w:color="auto" w:fill="auto"/>
            <w:vAlign w:val="center"/>
          </w:tcPr>
          <w:p w:rsidR="00582389" w:rsidRPr="005E63D4" w:rsidRDefault="00582389" w:rsidP="00A94EA8">
            <w:pPr>
              <w:pStyle w:val="144"/>
              <w:jc w:val="right"/>
              <w:rPr>
                <w:snapToGrid/>
              </w:rPr>
            </w:pPr>
            <w:r>
              <w:rPr>
                <w:rFonts w:hint="eastAsia"/>
                <w:snapToGrid/>
              </w:rPr>
              <w:t>4</w:t>
            </w:r>
            <w:r>
              <w:rPr>
                <w:snapToGrid/>
              </w:rPr>
              <w:t>,08</w:t>
            </w:r>
            <w:r w:rsidR="00331631">
              <w:rPr>
                <w:snapToGrid/>
              </w:rPr>
              <w:t>4</w:t>
            </w:r>
          </w:p>
        </w:tc>
        <w:tc>
          <w:tcPr>
            <w:tcW w:w="1390" w:type="dxa"/>
            <w:shd w:val="clear" w:color="auto" w:fill="auto"/>
            <w:vAlign w:val="center"/>
          </w:tcPr>
          <w:p w:rsidR="00582389" w:rsidRDefault="00331631" w:rsidP="00A94EA8">
            <w:pPr>
              <w:pStyle w:val="144"/>
              <w:jc w:val="right"/>
            </w:pPr>
            <w:r>
              <w:t>2,197</w:t>
            </w:r>
          </w:p>
        </w:tc>
        <w:tc>
          <w:tcPr>
            <w:tcW w:w="992" w:type="dxa"/>
            <w:vAlign w:val="center"/>
          </w:tcPr>
          <w:p w:rsidR="00582389" w:rsidRPr="005E63D4" w:rsidRDefault="00331631" w:rsidP="00A94EA8">
            <w:pPr>
              <w:pStyle w:val="144"/>
              <w:jc w:val="right"/>
              <w:rPr>
                <w:snapToGrid/>
              </w:rPr>
            </w:pPr>
            <w:r>
              <w:rPr>
                <w:rFonts w:hint="eastAsia"/>
                <w:snapToGrid/>
              </w:rPr>
              <w:t>4</w:t>
            </w:r>
            <w:r>
              <w:rPr>
                <w:snapToGrid/>
              </w:rPr>
              <w:t>0.17</w:t>
            </w:r>
          </w:p>
        </w:tc>
        <w:tc>
          <w:tcPr>
            <w:tcW w:w="1134" w:type="dxa"/>
            <w:vAlign w:val="center"/>
          </w:tcPr>
          <w:p w:rsidR="00582389" w:rsidRPr="005E63D4" w:rsidRDefault="00F72D50" w:rsidP="00A94EA8">
            <w:pPr>
              <w:pStyle w:val="144"/>
              <w:jc w:val="right"/>
              <w:rPr>
                <w:snapToGrid/>
              </w:rPr>
            </w:pPr>
            <w:r>
              <w:rPr>
                <w:rFonts w:hint="eastAsia"/>
                <w:snapToGrid/>
              </w:rPr>
              <w:t>3</w:t>
            </w:r>
            <w:r>
              <w:rPr>
                <w:snapToGrid/>
              </w:rPr>
              <w:t>3,621</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4"/>
              <w:jc w:val="center"/>
              <w:rPr>
                <w:rFonts w:hint="eastAsia"/>
                <w:snapToGrid/>
              </w:rPr>
            </w:pPr>
            <w:r w:rsidRPr="005E63D4">
              <w:rPr>
                <w:rFonts w:hint="eastAsia"/>
                <w:snapToGrid/>
              </w:rPr>
              <w:t>94</w:t>
            </w:r>
          </w:p>
        </w:tc>
        <w:tc>
          <w:tcPr>
            <w:tcW w:w="1133" w:type="dxa"/>
            <w:shd w:val="clear" w:color="auto" w:fill="auto"/>
            <w:vAlign w:val="center"/>
          </w:tcPr>
          <w:p w:rsidR="00582389" w:rsidRPr="005E63D4" w:rsidRDefault="00582389" w:rsidP="00A94EA8">
            <w:pPr>
              <w:pStyle w:val="144"/>
              <w:jc w:val="right"/>
              <w:rPr>
                <w:snapToGrid/>
              </w:rPr>
            </w:pPr>
            <w:r>
              <w:rPr>
                <w:rFonts w:hint="eastAsia"/>
                <w:snapToGrid/>
              </w:rPr>
              <w:t>6</w:t>
            </w:r>
            <w:r>
              <w:rPr>
                <w:snapToGrid/>
              </w:rPr>
              <w:t>41</w:t>
            </w:r>
          </w:p>
        </w:tc>
        <w:tc>
          <w:tcPr>
            <w:tcW w:w="1030" w:type="dxa"/>
            <w:shd w:val="clear" w:color="auto" w:fill="auto"/>
            <w:vAlign w:val="center"/>
          </w:tcPr>
          <w:p w:rsidR="00582389" w:rsidRPr="005E63D4" w:rsidRDefault="00582389" w:rsidP="00A94EA8">
            <w:pPr>
              <w:pStyle w:val="144"/>
              <w:jc w:val="right"/>
              <w:rPr>
                <w:snapToGrid/>
              </w:rPr>
            </w:pPr>
            <w:r>
              <w:rPr>
                <w:rFonts w:hint="eastAsia"/>
                <w:snapToGrid/>
              </w:rPr>
              <w:t>3</w:t>
            </w:r>
            <w:r>
              <w:rPr>
                <w:snapToGrid/>
              </w:rPr>
              <w:t>,420</w:t>
            </w:r>
          </w:p>
        </w:tc>
        <w:tc>
          <w:tcPr>
            <w:tcW w:w="1133" w:type="dxa"/>
            <w:shd w:val="clear" w:color="auto" w:fill="auto"/>
            <w:vAlign w:val="center"/>
          </w:tcPr>
          <w:p w:rsidR="00582389" w:rsidRPr="005E63D4" w:rsidRDefault="00582389" w:rsidP="00A94EA8">
            <w:pPr>
              <w:pStyle w:val="144"/>
              <w:jc w:val="right"/>
              <w:rPr>
                <w:snapToGrid/>
              </w:rPr>
            </w:pPr>
            <w:r>
              <w:rPr>
                <w:rFonts w:hint="eastAsia"/>
                <w:snapToGrid/>
              </w:rPr>
              <w:t>3</w:t>
            </w:r>
            <w:r>
              <w:rPr>
                <w:snapToGrid/>
              </w:rPr>
              <w:t>,459</w:t>
            </w:r>
          </w:p>
        </w:tc>
        <w:tc>
          <w:tcPr>
            <w:tcW w:w="1390" w:type="dxa"/>
            <w:shd w:val="clear" w:color="auto" w:fill="auto"/>
            <w:vAlign w:val="center"/>
          </w:tcPr>
          <w:p w:rsidR="00582389" w:rsidRDefault="00331631" w:rsidP="00A94EA8">
            <w:pPr>
              <w:pStyle w:val="144"/>
              <w:jc w:val="right"/>
            </w:pPr>
            <w:r>
              <w:t>601</w:t>
            </w:r>
          </w:p>
        </w:tc>
        <w:tc>
          <w:tcPr>
            <w:tcW w:w="992" w:type="dxa"/>
            <w:vAlign w:val="center"/>
          </w:tcPr>
          <w:p w:rsidR="00582389" w:rsidRPr="005E63D4" w:rsidRDefault="00331631" w:rsidP="00A94EA8">
            <w:pPr>
              <w:pStyle w:val="144"/>
              <w:jc w:val="right"/>
              <w:rPr>
                <w:snapToGrid/>
              </w:rPr>
            </w:pPr>
            <w:r>
              <w:rPr>
                <w:rFonts w:hint="eastAsia"/>
                <w:snapToGrid/>
              </w:rPr>
              <w:t>9</w:t>
            </w:r>
            <w:r>
              <w:rPr>
                <w:snapToGrid/>
              </w:rPr>
              <w:t>.61</w:t>
            </w:r>
          </w:p>
        </w:tc>
        <w:tc>
          <w:tcPr>
            <w:tcW w:w="1134" w:type="dxa"/>
            <w:vAlign w:val="center"/>
          </w:tcPr>
          <w:p w:rsidR="00582389" w:rsidRPr="005E63D4" w:rsidRDefault="00F72D50" w:rsidP="00A94EA8">
            <w:pPr>
              <w:pStyle w:val="144"/>
              <w:jc w:val="right"/>
              <w:rPr>
                <w:snapToGrid/>
              </w:rPr>
            </w:pPr>
            <w:r>
              <w:rPr>
                <w:rFonts w:hint="eastAsia"/>
                <w:snapToGrid/>
              </w:rPr>
              <w:t>3</w:t>
            </w:r>
            <w:r>
              <w:rPr>
                <w:snapToGrid/>
              </w:rPr>
              <w:t>5,496</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4"/>
              <w:jc w:val="center"/>
              <w:rPr>
                <w:rFonts w:hint="eastAsia"/>
                <w:snapToGrid/>
              </w:rPr>
            </w:pPr>
            <w:r w:rsidRPr="005E63D4">
              <w:rPr>
                <w:rFonts w:hint="eastAsia"/>
                <w:snapToGrid/>
              </w:rPr>
              <w:t>95</w:t>
            </w:r>
          </w:p>
        </w:tc>
        <w:tc>
          <w:tcPr>
            <w:tcW w:w="1133" w:type="dxa"/>
            <w:shd w:val="clear" w:color="auto" w:fill="auto"/>
            <w:vAlign w:val="center"/>
          </w:tcPr>
          <w:p w:rsidR="00582389" w:rsidRPr="005E63D4" w:rsidRDefault="00582389" w:rsidP="00A94EA8">
            <w:pPr>
              <w:pStyle w:val="144"/>
              <w:jc w:val="right"/>
              <w:rPr>
                <w:snapToGrid/>
              </w:rPr>
            </w:pPr>
            <w:r>
              <w:rPr>
                <w:rFonts w:hint="eastAsia"/>
                <w:snapToGrid/>
              </w:rPr>
              <w:t>6</w:t>
            </w:r>
            <w:r>
              <w:rPr>
                <w:snapToGrid/>
              </w:rPr>
              <w:t>50</w:t>
            </w:r>
          </w:p>
        </w:tc>
        <w:tc>
          <w:tcPr>
            <w:tcW w:w="1030" w:type="dxa"/>
            <w:shd w:val="clear" w:color="auto" w:fill="auto"/>
            <w:vAlign w:val="center"/>
          </w:tcPr>
          <w:p w:rsidR="00582389" w:rsidRPr="005E63D4" w:rsidRDefault="00582389" w:rsidP="00A94EA8">
            <w:pPr>
              <w:pStyle w:val="144"/>
              <w:jc w:val="right"/>
              <w:rPr>
                <w:snapToGrid/>
              </w:rPr>
            </w:pPr>
            <w:r>
              <w:rPr>
                <w:rFonts w:hint="eastAsia"/>
                <w:snapToGrid/>
              </w:rPr>
              <w:t>4</w:t>
            </w:r>
            <w:r>
              <w:rPr>
                <w:snapToGrid/>
              </w:rPr>
              <w:t>,600</w:t>
            </w:r>
          </w:p>
        </w:tc>
        <w:tc>
          <w:tcPr>
            <w:tcW w:w="1133" w:type="dxa"/>
            <w:shd w:val="clear" w:color="auto" w:fill="auto"/>
            <w:vAlign w:val="center"/>
          </w:tcPr>
          <w:p w:rsidR="00582389" w:rsidRPr="005E63D4" w:rsidRDefault="00582389" w:rsidP="00A94EA8">
            <w:pPr>
              <w:pStyle w:val="144"/>
              <w:jc w:val="right"/>
              <w:rPr>
                <w:snapToGrid/>
              </w:rPr>
            </w:pPr>
            <w:r>
              <w:rPr>
                <w:rFonts w:hint="eastAsia"/>
                <w:snapToGrid/>
              </w:rPr>
              <w:t>3</w:t>
            </w:r>
            <w:r>
              <w:rPr>
                <w:snapToGrid/>
              </w:rPr>
              <w:t>,98</w:t>
            </w:r>
            <w:r w:rsidR="00331631">
              <w:rPr>
                <w:snapToGrid/>
              </w:rPr>
              <w:t>3</w:t>
            </w:r>
          </w:p>
        </w:tc>
        <w:tc>
          <w:tcPr>
            <w:tcW w:w="1390" w:type="dxa"/>
            <w:shd w:val="clear" w:color="auto" w:fill="auto"/>
            <w:vAlign w:val="center"/>
          </w:tcPr>
          <w:p w:rsidR="00582389" w:rsidRDefault="00582389" w:rsidP="00A94EA8">
            <w:pPr>
              <w:pStyle w:val="144"/>
              <w:jc w:val="right"/>
            </w:pPr>
            <w:r>
              <w:t>1,267</w:t>
            </w:r>
          </w:p>
        </w:tc>
        <w:tc>
          <w:tcPr>
            <w:tcW w:w="992" w:type="dxa"/>
            <w:vAlign w:val="center"/>
          </w:tcPr>
          <w:p w:rsidR="00582389" w:rsidRPr="005E63D4" w:rsidRDefault="00331631" w:rsidP="00A94EA8">
            <w:pPr>
              <w:pStyle w:val="144"/>
              <w:jc w:val="right"/>
              <w:rPr>
                <w:snapToGrid/>
              </w:rPr>
            </w:pPr>
            <w:r>
              <w:rPr>
                <w:rFonts w:hint="eastAsia"/>
                <w:snapToGrid/>
              </w:rPr>
              <w:t>1</w:t>
            </w:r>
            <w:r>
              <w:rPr>
                <w:snapToGrid/>
              </w:rPr>
              <w:t>3.21</w:t>
            </w:r>
          </w:p>
        </w:tc>
        <w:tc>
          <w:tcPr>
            <w:tcW w:w="1134" w:type="dxa"/>
            <w:vAlign w:val="center"/>
          </w:tcPr>
          <w:p w:rsidR="00582389" w:rsidRPr="005E63D4" w:rsidRDefault="00F72D50" w:rsidP="00A94EA8">
            <w:pPr>
              <w:pStyle w:val="144"/>
              <w:jc w:val="right"/>
              <w:rPr>
                <w:snapToGrid/>
              </w:rPr>
            </w:pPr>
            <w:r>
              <w:rPr>
                <w:rFonts w:hint="eastAsia"/>
                <w:snapToGrid/>
              </w:rPr>
              <w:t>3</w:t>
            </w:r>
            <w:r>
              <w:rPr>
                <w:snapToGrid/>
              </w:rPr>
              <w:t>6,226</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4"/>
              <w:jc w:val="center"/>
              <w:rPr>
                <w:rFonts w:hint="eastAsia"/>
                <w:snapToGrid/>
              </w:rPr>
            </w:pPr>
            <w:r w:rsidRPr="005E63D4">
              <w:rPr>
                <w:rFonts w:hint="eastAsia"/>
                <w:snapToGrid/>
              </w:rPr>
              <w:t>96</w:t>
            </w:r>
          </w:p>
        </w:tc>
        <w:tc>
          <w:tcPr>
            <w:tcW w:w="1133" w:type="dxa"/>
            <w:shd w:val="clear" w:color="auto" w:fill="auto"/>
            <w:vAlign w:val="center"/>
          </w:tcPr>
          <w:p w:rsidR="00582389" w:rsidRPr="005E63D4" w:rsidRDefault="00582389" w:rsidP="00A94EA8">
            <w:pPr>
              <w:pStyle w:val="144"/>
              <w:jc w:val="right"/>
              <w:rPr>
                <w:snapToGrid/>
              </w:rPr>
            </w:pPr>
            <w:r>
              <w:rPr>
                <w:rFonts w:hint="eastAsia"/>
                <w:snapToGrid/>
              </w:rPr>
              <w:t>6</w:t>
            </w:r>
            <w:r>
              <w:rPr>
                <w:snapToGrid/>
              </w:rPr>
              <w:t>0</w:t>
            </w:r>
          </w:p>
        </w:tc>
        <w:tc>
          <w:tcPr>
            <w:tcW w:w="1030" w:type="dxa"/>
            <w:shd w:val="clear" w:color="auto" w:fill="auto"/>
            <w:vAlign w:val="center"/>
          </w:tcPr>
          <w:p w:rsidR="00582389" w:rsidRPr="005E63D4" w:rsidRDefault="00582389" w:rsidP="00A94EA8">
            <w:pPr>
              <w:pStyle w:val="144"/>
              <w:jc w:val="right"/>
              <w:rPr>
                <w:snapToGrid/>
              </w:rPr>
            </w:pPr>
            <w:r>
              <w:rPr>
                <w:rFonts w:hint="eastAsia"/>
                <w:snapToGrid/>
              </w:rPr>
              <w:t>4</w:t>
            </w:r>
            <w:r>
              <w:rPr>
                <w:snapToGrid/>
              </w:rPr>
              <w:t>,563</w:t>
            </w:r>
          </w:p>
        </w:tc>
        <w:tc>
          <w:tcPr>
            <w:tcW w:w="1133" w:type="dxa"/>
            <w:shd w:val="clear" w:color="auto" w:fill="auto"/>
            <w:vAlign w:val="center"/>
          </w:tcPr>
          <w:p w:rsidR="00582389" w:rsidRPr="005E63D4" w:rsidRDefault="00582389" w:rsidP="00A94EA8">
            <w:pPr>
              <w:pStyle w:val="144"/>
              <w:jc w:val="right"/>
              <w:rPr>
                <w:snapToGrid/>
              </w:rPr>
            </w:pPr>
            <w:r>
              <w:rPr>
                <w:rFonts w:hint="eastAsia"/>
                <w:snapToGrid/>
              </w:rPr>
              <w:t>3</w:t>
            </w:r>
            <w:r>
              <w:rPr>
                <w:snapToGrid/>
              </w:rPr>
              <w:t>,673</w:t>
            </w:r>
          </w:p>
        </w:tc>
        <w:tc>
          <w:tcPr>
            <w:tcW w:w="1390" w:type="dxa"/>
            <w:shd w:val="clear" w:color="auto" w:fill="auto"/>
            <w:vAlign w:val="center"/>
          </w:tcPr>
          <w:p w:rsidR="00582389" w:rsidRDefault="00331631" w:rsidP="00A94EA8">
            <w:pPr>
              <w:pStyle w:val="144"/>
              <w:jc w:val="right"/>
            </w:pPr>
            <w:r>
              <w:t>950</w:t>
            </w:r>
          </w:p>
        </w:tc>
        <w:tc>
          <w:tcPr>
            <w:tcW w:w="992" w:type="dxa"/>
            <w:vAlign w:val="center"/>
          </w:tcPr>
          <w:p w:rsidR="00582389" w:rsidRPr="005E63D4" w:rsidRDefault="00331631" w:rsidP="00A94EA8">
            <w:pPr>
              <w:pStyle w:val="144"/>
              <w:jc w:val="right"/>
              <w:rPr>
                <w:snapToGrid/>
              </w:rPr>
            </w:pPr>
            <w:r>
              <w:rPr>
                <w:rFonts w:hint="eastAsia"/>
                <w:snapToGrid/>
              </w:rPr>
              <w:t>4</w:t>
            </w:r>
            <w:r>
              <w:rPr>
                <w:snapToGrid/>
              </w:rPr>
              <w:t>.85</w:t>
            </w:r>
          </w:p>
        </w:tc>
        <w:tc>
          <w:tcPr>
            <w:tcW w:w="1134" w:type="dxa"/>
            <w:vAlign w:val="center"/>
          </w:tcPr>
          <w:p w:rsidR="00582389" w:rsidRPr="005E63D4" w:rsidRDefault="00F72D50" w:rsidP="00A94EA8">
            <w:pPr>
              <w:pStyle w:val="144"/>
              <w:jc w:val="right"/>
              <w:rPr>
                <w:snapToGrid/>
              </w:rPr>
            </w:pPr>
            <w:r>
              <w:rPr>
                <w:rFonts w:hint="eastAsia"/>
                <w:snapToGrid/>
              </w:rPr>
              <w:t>3</w:t>
            </w:r>
            <w:r>
              <w:rPr>
                <w:snapToGrid/>
              </w:rPr>
              <w:t>7,182</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4"/>
              <w:jc w:val="center"/>
              <w:rPr>
                <w:rFonts w:hint="eastAsia"/>
                <w:snapToGrid/>
              </w:rPr>
            </w:pPr>
            <w:r w:rsidRPr="005E63D4">
              <w:rPr>
                <w:rFonts w:hint="eastAsia"/>
                <w:snapToGrid/>
              </w:rPr>
              <w:t>97</w:t>
            </w:r>
          </w:p>
        </w:tc>
        <w:tc>
          <w:tcPr>
            <w:tcW w:w="1133" w:type="dxa"/>
            <w:shd w:val="clear" w:color="auto" w:fill="auto"/>
            <w:vAlign w:val="center"/>
          </w:tcPr>
          <w:p w:rsidR="00582389" w:rsidRPr="005E63D4" w:rsidRDefault="00582389" w:rsidP="00A94EA8">
            <w:pPr>
              <w:pStyle w:val="144"/>
              <w:jc w:val="right"/>
              <w:rPr>
                <w:snapToGrid/>
              </w:rPr>
            </w:pPr>
            <w:r>
              <w:rPr>
                <w:rFonts w:hint="eastAsia"/>
                <w:snapToGrid/>
              </w:rPr>
              <w:t>6</w:t>
            </w:r>
            <w:r>
              <w:rPr>
                <w:snapToGrid/>
              </w:rPr>
              <w:t>50</w:t>
            </w:r>
          </w:p>
        </w:tc>
        <w:tc>
          <w:tcPr>
            <w:tcW w:w="1030" w:type="dxa"/>
            <w:shd w:val="clear" w:color="auto" w:fill="auto"/>
            <w:vAlign w:val="center"/>
          </w:tcPr>
          <w:p w:rsidR="00582389" w:rsidRPr="005E63D4" w:rsidRDefault="00582389" w:rsidP="00A94EA8">
            <w:pPr>
              <w:pStyle w:val="144"/>
              <w:jc w:val="right"/>
              <w:rPr>
                <w:snapToGrid/>
              </w:rPr>
            </w:pPr>
            <w:r>
              <w:rPr>
                <w:rFonts w:hint="eastAsia"/>
                <w:snapToGrid/>
              </w:rPr>
              <w:t>4</w:t>
            </w:r>
            <w:r>
              <w:rPr>
                <w:snapToGrid/>
              </w:rPr>
              <w:t>,782</w:t>
            </w:r>
          </w:p>
        </w:tc>
        <w:tc>
          <w:tcPr>
            <w:tcW w:w="1133" w:type="dxa"/>
            <w:shd w:val="clear" w:color="auto" w:fill="auto"/>
            <w:vAlign w:val="center"/>
          </w:tcPr>
          <w:p w:rsidR="00582389" w:rsidRDefault="00331631" w:rsidP="00A94EA8">
            <w:pPr>
              <w:pStyle w:val="144"/>
              <w:jc w:val="right"/>
            </w:pPr>
            <w:r>
              <w:t>4,932</w:t>
            </w:r>
          </w:p>
        </w:tc>
        <w:tc>
          <w:tcPr>
            <w:tcW w:w="1390" w:type="dxa"/>
            <w:shd w:val="clear" w:color="auto" w:fill="auto"/>
            <w:vAlign w:val="center"/>
          </w:tcPr>
          <w:p w:rsidR="00582389" w:rsidRDefault="00331631" w:rsidP="00A94EA8">
            <w:pPr>
              <w:pStyle w:val="144"/>
              <w:jc w:val="right"/>
            </w:pPr>
            <w:r>
              <w:t>500</w:t>
            </w:r>
          </w:p>
        </w:tc>
        <w:tc>
          <w:tcPr>
            <w:tcW w:w="992" w:type="dxa"/>
            <w:vAlign w:val="center"/>
          </w:tcPr>
          <w:p w:rsidR="00582389" w:rsidRPr="005E63D4" w:rsidRDefault="00331631" w:rsidP="00A94EA8">
            <w:pPr>
              <w:pStyle w:val="144"/>
              <w:jc w:val="right"/>
              <w:rPr>
                <w:snapToGrid/>
              </w:rPr>
            </w:pPr>
            <w:r>
              <w:rPr>
                <w:rFonts w:hint="eastAsia"/>
                <w:snapToGrid/>
              </w:rPr>
              <w:t>2</w:t>
            </w:r>
            <w:r>
              <w:rPr>
                <w:snapToGrid/>
              </w:rPr>
              <w:t>.56</w:t>
            </w:r>
          </w:p>
        </w:tc>
        <w:tc>
          <w:tcPr>
            <w:tcW w:w="1134" w:type="dxa"/>
            <w:vAlign w:val="center"/>
          </w:tcPr>
          <w:p w:rsidR="00582389" w:rsidRPr="005E63D4" w:rsidRDefault="00F72D50" w:rsidP="00A94EA8">
            <w:pPr>
              <w:pStyle w:val="144"/>
              <w:jc w:val="right"/>
              <w:rPr>
                <w:snapToGrid/>
              </w:rPr>
            </w:pPr>
            <w:r>
              <w:rPr>
                <w:rFonts w:hint="eastAsia"/>
                <w:snapToGrid/>
              </w:rPr>
              <w:t>3</w:t>
            </w:r>
            <w:r>
              <w:rPr>
                <w:snapToGrid/>
              </w:rPr>
              <w:t>7,781</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4"/>
              <w:jc w:val="center"/>
              <w:rPr>
                <w:rFonts w:hint="eastAsia"/>
                <w:snapToGrid/>
              </w:rPr>
            </w:pPr>
            <w:r w:rsidRPr="005E63D4">
              <w:rPr>
                <w:rFonts w:hint="eastAsia"/>
                <w:snapToGrid/>
              </w:rPr>
              <w:t>98</w:t>
            </w:r>
          </w:p>
        </w:tc>
        <w:tc>
          <w:tcPr>
            <w:tcW w:w="1133" w:type="dxa"/>
            <w:shd w:val="clear" w:color="auto" w:fill="auto"/>
            <w:vAlign w:val="center"/>
          </w:tcPr>
          <w:p w:rsidR="00582389" w:rsidRPr="005E63D4" w:rsidRDefault="00582389" w:rsidP="00A94EA8">
            <w:pPr>
              <w:pStyle w:val="144"/>
              <w:jc w:val="right"/>
              <w:rPr>
                <w:snapToGrid/>
              </w:rPr>
            </w:pPr>
            <w:r>
              <w:rPr>
                <w:rFonts w:hint="eastAsia"/>
                <w:snapToGrid/>
              </w:rPr>
              <w:t>6</w:t>
            </w:r>
            <w:r>
              <w:rPr>
                <w:snapToGrid/>
              </w:rPr>
              <w:t>50</w:t>
            </w:r>
          </w:p>
        </w:tc>
        <w:tc>
          <w:tcPr>
            <w:tcW w:w="1030" w:type="dxa"/>
            <w:shd w:val="clear" w:color="auto" w:fill="auto"/>
            <w:vAlign w:val="center"/>
          </w:tcPr>
          <w:p w:rsidR="00582389" w:rsidRPr="005E63D4" w:rsidRDefault="00582389" w:rsidP="00A94EA8">
            <w:pPr>
              <w:pStyle w:val="144"/>
              <w:jc w:val="right"/>
              <w:rPr>
                <w:snapToGrid/>
              </w:rPr>
            </w:pPr>
            <w:r>
              <w:rPr>
                <w:rFonts w:hint="eastAsia"/>
                <w:snapToGrid/>
              </w:rPr>
              <w:t>4</w:t>
            </w:r>
            <w:r>
              <w:rPr>
                <w:snapToGrid/>
              </w:rPr>
              <w:t>,500</w:t>
            </w:r>
          </w:p>
        </w:tc>
        <w:tc>
          <w:tcPr>
            <w:tcW w:w="1133" w:type="dxa"/>
            <w:shd w:val="clear" w:color="auto" w:fill="auto"/>
            <w:vAlign w:val="center"/>
          </w:tcPr>
          <w:p w:rsidR="00582389" w:rsidRDefault="00331631" w:rsidP="00A94EA8">
            <w:pPr>
              <w:pStyle w:val="144"/>
              <w:jc w:val="right"/>
            </w:pPr>
            <w:r>
              <w:t>5,130</w:t>
            </w:r>
          </w:p>
        </w:tc>
        <w:tc>
          <w:tcPr>
            <w:tcW w:w="1390" w:type="dxa"/>
            <w:shd w:val="clear" w:color="auto" w:fill="auto"/>
            <w:vAlign w:val="center"/>
          </w:tcPr>
          <w:p w:rsidR="00582389" w:rsidRDefault="00331631" w:rsidP="00A94EA8">
            <w:pPr>
              <w:pStyle w:val="144"/>
              <w:jc w:val="right"/>
            </w:pPr>
            <w:r>
              <w:t>20</w:t>
            </w:r>
          </w:p>
        </w:tc>
        <w:tc>
          <w:tcPr>
            <w:tcW w:w="992" w:type="dxa"/>
            <w:vAlign w:val="center"/>
          </w:tcPr>
          <w:p w:rsidR="00582389" w:rsidRPr="005E63D4" w:rsidRDefault="00331631" w:rsidP="00A94EA8">
            <w:pPr>
              <w:pStyle w:val="144"/>
              <w:jc w:val="right"/>
              <w:rPr>
                <w:snapToGrid/>
              </w:rPr>
            </w:pPr>
            <w:r>
              <w:rPr>
                <w:rFonts w:hint="eastAsia"/>
                <w:snapToGrid/>
              </w:rPr>
              <w:t>1</w:t>
            </w:r>
            <w:r>
              <w:rPr>
                <w:snapToGrid/>
              </w:rPr>
              <w:t>.35</w:t>
            </w:r>
          </w:p>
        </w:tc>
        <w:tc>
          <w:tcPr>
            <w:tcW w:w="1134" w:type="dxa"/>
            <w:vAlign w:val="center"/>
          </w:tcPr>
          <w:p w:rsidR="00582389" w:rsidRPr="005E63D4" w:rsidRDefault="00F72D50" w:rsidP="00A94EA8">
            <w:pPr>
              <w:pStyle w:val="144"/>
              <w:jc w:val="right"/>
              <w:rPr>
                <w:snapToGrid/>
              </w:rPr>
            </w:pPr>
            <w:r>
              <w:rPr>
                <w:rFonts w:hint="eastAsia"/>
                <w:snapToGrid/>
              </w:rPr>
              <w:t>4</w:t>
            </w:r>
            <w:r w:rsidR="00C2029E">
              <w:rPr>
                <w:snapToGrid/>
              </w:rPr>
              <w:t>1,263</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4"/>
              <w:jc w:val="center"/>
              <w:rPr>
                <w:rFonts w:hint="eastAsia"/>
                <w:snapToGrid/>
              </w:rPr>
            </w:pPr>
            <w:r w:rsidRPr="005E63D4">
              <w:rPr>
                <w:rFonts w:hint="eastAsia"/>
                <w:snapToGrid/>
              </w:rPr>
              <w:t>99</w:t>
            </w:r>
          </w:p>
        </w:tc>
        <w:tc>
          <w:tcPr>
            <w:tcW w:w="1133"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6</w:t>
            </w:r>
            <w:r w:rsidRPr="00770438">
              <w:rPr>
                <w:snapToGrid/>
                <w:color w:val="000000"/>
              </w:rPr>
              <w:t>60</w:t>
            </w:r>
          </w:p>
        </w:tc>
        <w:tc>
          <w:tcPr>
            <w:tcW w:w="1030" w:type="dxa"/>
            <w:shd w:val="clear" w:color="auto" w:fill="auto"/>
            <w:vAlign w:val="center"/>
          </w:tcPr>
          <w:p w:rsidR="00582389" w:rsidRPr="005E63D4" w:rsidRDefault="00582389" w:rsidP="00A94EA8">
            <w:pPr>
              <w:pStyle w:val="144"/>
              <w:jc w:val="right"/>
              <w:rPr>
                <w:snapToGrid/>
              </w:rPr>
            </w:pPr>
            <w:r>
              <w:rPr>
                <w:snapToGrid/>
              </w:rPr>
              <w:t>5,804</w:t>
            </w:r>
          </w:p>
        </w:tc>
        <w:tc>
          <w:tcPr>
            <w:tcW w:w="1133" w:type="dxa"/>
            <w:shd w:val="clear" w:color="auto" w:fill="auto"/>
            <w:vAlign w:val="center"/>
          </w:tcPr>
          <w:p w:rsidR="00582389" w:rsidRDefault="00331631" w:rsidP="00A94EA8">
            <w:pPr>
              <w:pStyle w:val="144"/>
              <w:jc w:val="right"/>
            </w:pPr>
            <w:r>
              <w:t>5,744</w:t>
            </w:r>
          </w:p>
        </w:tc>
        <w:tc>
          <w:tcPr>
            <w:tcW w:w="1390" w:type="dxa"/>
            <w:shd w:val="clear" w:color="auto" w:fill="auto"/>
            <w:vAlign w:val="center"/>
          </w:tcPr>
          <w:p w:rsidR="00582389" w:rsidRDefault="00331631" w:rsidP="00A94EA8">
            <w:pPr>
              <w:pStyle w:val="144"/>
              <w:jc w:val="right"/>
            </w:pPr>
            <w:r>
              <w:t>720</w:t>
            </w:r>
          </w:p>
        </w:tc>
        <w:tc>
          <w:tcPr>
            <w:tcW w:w="992" w:type="dxa"/>
            <w:vAlign w:val="center"/>
          </w:tcPr>
          <w:p w:rsidR="00582389" w:rsidRPr="005E63D4" w:rsidRDefault="00331631" w:rsidP="00A94EA8">
            <w:pPr>
              <w:pStyle w:val="144"/>
              <w:jc w:val="right"/>
              <w:rPr>
                <w:snapToGrid/>
              </w:rPr>
            </w:pPr>
            <w:r>
              <w:rPr>
                <w:rFonts w:hint="eastAsia"/>
                <w:snapToGrid/>
              </w:rPr>
              <w:t>1</w:t>
            </w:r>
            <w:r>
              <w:rPr>
                <w:snapToGrid/>
              </w:rPr>
              <w:t>.80</w:t>
            </w:r>
          </w:p>
        </w:tc>
        <w:tc>
          <w:tcPr>
            <w:tcW w:w="1134" w:type="dxa"/>
            <w:vAlign w:val="center"/>
          </w:tcPr>
          <w:p w:rsidR="00582389" w:rsidRPr="005E63D4" w:rsidRDefault="00331631" w:rsidP="00C2029E">
            <w:pPr>
              <w:pStyle w:val="144"/>
              <w:jc w:val="right"/>
              <w:rPr>
                <w:snapToGrid/>
              </w:rPr>
            </w:pPr>
            <w:r>
              <w:rPr>
                <w:rFonts w:hint="eastAsia"/>
                <w:snapToGrid/>
              </w:rPr>
              <w:t>4</w:t>
            </w:r>
            <w:r w:rsidR="00C2029E">
              <w:rPr>
                <w:snapToGrid/>
              </w:rPr>
              <w:t>5,364</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4"/>
              <w:jc w:val="center"/>
              <w:rPr>
                <w:rFonts w:hint="eastAsia"/>
                <w:snapToGrid/>
              </w:rPr>
            </w:pPr>
            <w:r w:rsidRPr="005E63D4">
              <w:rPr>
                <w:rFonts w:hint="eastAsia"/>
                <w:snapToGrid/>
              </w:rPr>
              <w:t>100</w:t>
            </w:r>
          </w:p>
        </w:tc>
        <w:tc>
          <w:tcPr>
            <w:tcW w:w="1133"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6</w:t>
            </w:r>
            <w:r w:rsidRPr="00770438">
              <w:rPr>
                <w:snapToGrid/>
                <w:color w:val="000000"/>
              </w:rPr>
              <w:t>60</w:t>
            </w:r>
          </w:p>
        </w:tc>
        <w:tc>
          <w:tcPr>
            <w:tcW w:w="1030" w:type="dxa"/>
            <w:shd w:val="clear" w:color="auto" w:fill="auto"/>
            <w:vAlign w:val="center"/>
          </w:tcPr>
          <w:p w:rsidR="00582389" w:rsidRPr="005E63D4" w:rsidRDefault="00582389" w:rsidP="00A94EA8">
            <w:pPr>
              <w:pStyle w:val="144"/>
              <w:jc w:val="right"/>
              <w:rPr>
                <w:snapToGrid/>
              </w:rPr>
            </w:pPr>
            <w:r>
              <w:rPr>
                <w:rFonts w:hint="eastAsia"/>
                <w:snapToGrid/>
              </w:rPr>
              <w:t>6</w:t>
            </w:r>
            <w:r>
              <w:rPr>
                <w:snapToGrid/>
              </w:rPr>
              <w:t>,730</w:t>
            </w:r>
          </w:p>
        </w:tc>
        <w:tc>
          <w:tcPr>
            <w:tcW w:w="1133" w:type="dxa"/>
            <w:shd w:val="clear" w:color="auto" w:fill="auto"/>
            <w:vAlign w:val="center"/>
          </w:tcPr>
          <w:p w:rsidR="00582389" w:rsidRDefault="00331631" w:rsidP="00A94EA8">
            <w:pPr>
              <w:pStyle w:val="144"/>
              <w:jc w:val="right"/>
            </w:pPr>
            <w:r>
              <w:t>6,790</w:t>
            </w:r>
          </w:p>
        </w:tc>
        <w:tc>
          <w:tcPr>
            <w:tcW w:w="1390" w:type="dxa"/>
            <w:shd w:val="clear" w:color="auto" w:fill="auto"/>
            <w:vAlign w:val="center"/>
          </w:tcPr>
          <w:p w:rsidR="00582389" w:rsidRDefault="00331631" w:rsidP="00A94EA8">
            <w:pPr>
              <w:pStyle w:val="144"/>
              <w:jc w:val="right"/>
            </w:pPr>
            <w:r>
              <w:t>600</w:t>
            </w:r>
          </w:p>
        </w:tc>
        <w:tc>
          <w:tcPr>
            <w:tcW w:w="992" w:type="dxa"/>
            <w:vAlign w:val="center"/>
          </w:tcPr>
          <w:p w:rsidR="00582389" w:rsidRPr="005E63D4" w:rsidRDefault="00331631" w:rsidP="00A94EA8">
            <w:pPr>
              <w:pStyle w:val="144"/>
              <w:jc w:val="right"/>
              <w:rPr>
                <w:snapToGrid/>
              </w:rPr>
            </w:pPr>
            <w:r>
              <w:rPr>
                <w:rFonts w:hint="eastAsia"/>
                <w:snapToGrid/>
              </w:rPr>
              <w:t>1</w:t>
            </w:r>
            <w:r>
              <w:rPr>
                <w:snapToGrid/>
              </w:rPr>
              <w:t>.99</w:t>
            </w:r>
          </w:p>
        </w:tc>
        <w:tc>
          <w:tcPr>
            <w:tcW w:w="1134" w:type="dxa"/>
            <w:vAlign w:val="center"/>
          </w:tcPr>
          <w:p w:rsidR="00582389" w:rsidRPr="00DD6B34" w:rsidRDefault="00331631" w:rsidP="00C2029E">
            <w:pPr>
              <w:pStyle w:val="144"/>
              <w:jc w:val="right"/>
              <w:rPr>
                <w:snapToGrid/>
                <w:color w:val="000000"/>
              </w:rPr>
            </w:pPr>
            <w:r w:rsidRPr="00DD6B34">
              <w:rPr>
                <w:rFonts w:hint="eastAsia"/>
                <w:snapToGrid/>
                <w:color w:val="000000"/>
              </w:rPr>
              <w:t>4</w:t>
            </w:r>
            <w:r w:rsidR="00C2029E" w:rsidRPr="00DD6B34">
              <w:rPr>
                <w:snapToGrid/>
                <w:color w:val="000000"/>
              </w:rPr>
              <w:t>7</w:t>
            </w:r>
            <w:r w:rsidRPr="00DD6B34">
              <w:rPr>
                <w:snapToGrid/>
                <w:color w:val="000000"/>
              </w:rPr>
              <w:t>,</w:t>
            </w:r>
            <w:r w:rsidR="00C2029E" w:rsidRPr="00DD6B34">
              <w:rPr>
                <w:snapToGrid/>
                <w:color w:val="000000"/>
              </w:rPr>
              <w:t>506</w:t>
            </w:r>
          </w:p>
        </w:tc>
      </w:tr>
      <w:tr w:rsidR="00582389" w:rsidRPr="00D64634" w:rsidTr="000F0390">
        <w:trPr>
          <w:trHeight w:val="312"/>
        </w:trPr>
        <w:tc>
          <w:tcPr>
            <w:tcW w:w="1145" w:type="dxa"/>
            <w:shd w:val="clear" w:color="auto" w:fill="auto"/>
            <w:vAlign w:val="center"/>
          </w:tcPr>
          <w:p w:rsidR="00582389" w:rsidRPr="005E63D4" w:rsidRDefault="00582389" w:rsidP="00582389">
            <w:pPr>
              <w:pStyle w:val="144"/>
              <w:jc w:val="center"/>
              <w:rPr>
                <w:rFonts w:hint="eastAsia"/>
                <w:snapToGrid/>
              </w:rPr>
            </w:pPr>
            <w:r w:rsidRPr="005E63D4">
              <w:rPr>
                <w:rFonts w:hint="eastAsia"/>
                <w:snapToGrid/>
              </w:rPr>
              <w:t>101</w:t>
            </w:r>
          </w:p>
        </w:tc>
        <w:tc>
          <w:tcPr>
            <w:tcW w:w="1133"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9</w:t>
            </w:r>
            <w:r w:rsidRPr="00770438">
              <w:rPr>
                <w:snapToGrid/>
                <w:color w:val="000000"/>
              </w:rPr>
              <w:t>40</w:t>
            </w:r>
          </w:p>
        </w:tc>
        <w:tc>
          <w:tcPr>
            <w:tcW w:w="1030" w:type="dxa"/>
            <w:shd w:val="clear" w:color="auto" w:fill="auto"/>
            <w:vAlign w:val="center"/>
          </w:tcPr>
          <w:p w:rsidR="00582389" w:rsidRPr="005E63D4" w:rsidRDefault="00582389" w:rsidP="00A94EA8">
            <w:pPr>
              <w:pStyle w:val="144"/>
              <w:jc w:val="right"/>
              <w:rPr>
                <w:snapToGrid/>
              </w:rPr>
            </w:pPr>
            <w:r>
              <w:rPr>
                <w:rFonts w:hint="eastAsia"/>
                <w:snapToGrid/>
              </w:rPr>
              <w:t>7</w:t>
            </w:r>
            <w:r>
              <w:rPr>
                <w:snapToGrid/>
              </w:rPr>
              <w:t>,167</w:t>
            </w:r>
          </w:p>
        </w:tc>
        <w:tc>
          <w:tcPr>
            <w:tcW w:w="1133" w:type="dxa"/>
            <w:shd w:val="clear" w:color="auto" w:fill="auto"/>
            <w:vAlign w:val="center"/>
          </w:tcPr>
          <w:p w:rsidR="00582389" w:rsidRDefault="00331631" w:rsidP="00A94EA8">
            <w:pPr>
              <w:pStyle w:val="144"/>
              <w:jc w:val="right"/>
            </w:pPr>
            <w:r>
              <w:t>7,567</w:t>
            </w:r>
          </w:p>
        </w:tc>
        <w:tc>
          <w:tcPr>
            <w:tcW w:w="1390" w:type="dxa"/>
            <w:shd w:val="clear" w:color="auto" w:fill="auto"/>
            <w:vAlign w:val="center"/>
          </w:tcPr>
          <w:p w:rsidR="00582389" w:rsidRDefault="00331631" w:rsidP="00A94EA8">
            <w:pPr>
              <w:pStyle w:val="144"/>
              <w:jc w:val="right"/>
            </w:pPr>
            <w:r>
              <w:t>540</w:t>
            </w:r>
          </w:p>
        </w:tc>
        <w:tc>
          <w:tcPr>
            <w:tcW w:w="992" w:type="dxa"/>
            <w:vAlign w:val="center"/>
          </w:tcPr>
          <w:p w:rsidR="00582389" w:rsidRPr="005E63D4" w:rsidRDefault="00331631" w:rsidP="00A94EA8">
            <w:pPr>
              <w:pStyle w:val="144"/>
              <w:jc w:val="right"/>
              <w:rPr>
                <w:snapToGrid/>
              </w:rPr>
            </w:pPr>
            <w:r>
              <w:rPr>
                <w:rFonts w:hint="eastAsia"/>
                <w:snapToGrid/>
              </w:rPr>
              <w:t>6</w:t>
            </w:r>
            <w:r>
              <w:rPr>
                <w:snapToGrid/>
              </w:rPr>
              <w:t>.23</w:t>
            </w:r>
          </w:p>
        </w:tc>
        <w:tc>
          <w:tcPr>
            <w:tcW w:w="1134" w:type="dxa"/>
            <w:vAlign w:val="center"/>
          </w:tcPr>
          <w:p w:rsidR="00582389" w:rsidRPr="00DD6B34" w:rsidRDefault="00331631" w:rsidP="00A94EA8">
            <w:pPr>
              <w:pStyle w:val="144"/>
              <w:jc w:val="right"/>
              <w:rPr>
                <w:snapToGrid/>
                <w:color w:val="000000"/>
              </w:rPr>
            </w:pPr>
            <w:r w:rsidRPr="00DD6B34">
              <w:rPr>
                <w:rFonts w:hint="eastAsia"/>
                <w:snapToGrid/>
                <w:color w:val="000000"/>
              </w:rPr>
              <w:t>4</w:t>
            </w:r>
            <w:r w:rsidR="00C2029E" w:rsidRPr="00DD6B34">
              <w:rPr>
                <w:snapToGrid/>
                <w:color w:val="000000"/>
              </w:rPr>
              <w:t>9,963</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4"/>
              <w:jc w:val="center"/>
              <w:rPr>
                <w:snapToGrid/>
              </w:rPr>
            </w:pPr>
            <w:r w:rsidRPr="00223F22">
              <w:rPr>
                <w:rFonts w:hint="eastAsia"/>
                <w:snapToGrid/>
              </w:rPr>
              <w:t>102</w:t>
            </w:r>
          </w:p>
        </w:tc>
        <w:tc>
          <w:tcPr>
            <w:tcW w:w="1133"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7</w:t>
            </w:r>
            <w:r w:rsidRPr="00770438">
              <w:rPr>
                <w:snapToGrid/>
                <w:color w:val="000000"/>
              </w:rPr>
              <w:t>70</w:t>
            </w:r>
          </w:p>
        </w:tc>
        <w:tc>
          <w:tcPr>
            <w:tcW w:w="1030"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7</w:t>
            </w:r>
            <w:r w:rsidRPr="00770438">
              <w:rPr>
                <w:snapToGrid/>
                <w:color w:val="000000"/>
              </w:rPr>
              <w:t>,148</w:t>
            </w:r>
          </w:p>
        </w:tc>
        <w:tc>
          <w:tcPr>
            <w:tcW w:w="1133" w:type="dxa"/>
            <w:shd w:val="clear" w:color="auto" w:fill="auto"/>
            <w:vAlign w:val="center"/>
          </w:tcPr>
          <w:p w:rsidR="00582389" w:rsidRDefault="00331631" w:rsidP="00A94EA8">
            <w:pPr>
              <w:pStyle w:val="144"/>
              <w:jc w:val="right"/>
            </w:pPr>
            <w:r>
              <w:t>7,880</w:t>
            </w:r>
          </w:p>
        </w:tc>
        <w:tc>
          <w:tcPr>
            <w:tcW w:w="1390" w:type="dxa"/>
            <w:shd w:val="clear" w:color="auto" w:fill="auto"/>
            <w:vAlign w:val="center"/>
          </w:tcPr>
          <w:p w:rsidR="00582389" w:rsidRDefault="00582389" w:rsidP="00A94EA8">
            <w:pPr>
              <w:pStyle w:val="144"/>
              <w:jc w:val="right"/>
            </w:pPr>
            <w:r>
              <w:t>40</w:t>
            </w:r>
          </w:p>
        </w:tc>
        <w:tc>
          <w:tcPr>
            <w:tcW w:w="992" w:type="dxa"/>
            <w:vAlign w:val="center"/>
          </w:tcPr>
          <w:p w:rsidR="00582389" w:rsidRPr="00223F22" w:rsidRDefault="00331631" w:rsidP="00A94EA8">
            <w:pPr>
              <w:pStyle w:val="144"/>
              <w:jc w:val="right"/>
              <w:rPr>
                <w:rFonts w:hint="eastAsia"/>
                <w:snapToGrid/>
              </w:rPr>
            </w:pPr>
            <w:r>
              <w:rPr>
                <w:rFonts w:hint="eastAsia"/>
                <w:snapToGrid/>
              </w:rPr>
              <w:t>2</w:t>
            </w:r>
            <w:r>
              <w:rPr>
                <w:snapToGrid/>
              </w:rPr>
              <w:t>.72</w:t>
            </w:r>
          </w:p>
        </w:tc>
        <w:tc>
          <w:tcPr>
            <w:tcW w:w="1134" w:type="dxa"/>
            <w:vAlign w:val="center"/>
          </w:tcPr>
          <w:p w:rsidR="00582389" w:rsidRPr="00223F22" w:rsidRDefault="00331631" w:rsidP="00A94EA8">
            <w:pPr>
              <w:pStyle w:val="144"/>
              <w:jc w:val="right"/>
              <w:rPr>
                <w:rFonts w:hint="eastAsia"/>
                <w:snapToGrid/>
              </w:rPr>
            </w:pPr>
            <w:r>
              <w:rPr>
                <w:rFonts w:hint="eastAsia"/>
                <w:snapToGrid/>
              </w:rPr>
              <w:t>5</w:t>
            </w:r>
            <w:r w:rsidR="00C2029E">
              <w:rPr>
                <w:snapToGrid/>
              </w:rPr>
              <w:t>1,463</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4"/>
              <w:jc w:val="center"/>
              <w:rPr>
                <w:snapToGrid/>
              </w:rPr>
            </w:pPr>
            <w:r w:rsidRPr="00223F22">
              <w:rPr>
                <w:rFonts w:hint="eastAsia"/>
                <w:snapToGrid/>
              </w:rPr>
              <w:t>103</w:t>
            </w:r>
          </w:p>
        </w:tc>
        <w:tc>
          <w:tcPr>
            <w:tcW w:w="1133"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6</w:t>
            </w:r>
            <w:r w:rsidRPr="00770438">
              <w:rPr>
                <w:snapToGrid/>
                <w:color w:val="000000"/>
              </w:rPr>
              <w:t>40</w:t>
            </w:r>
          </w:p>
        </w:tc>
        <w:tc>
          <w:tcPr>
            <w:tcW w:w="1030"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8</w:t>
            </w:r>
            <w:r w:rsidRPr="00770438">
              <w:rPr>
                <w:snapToGrid/>
                <w:color w:val="000000"/>
              </w:rPr>
              <w:t>,750</w:t>
            </w:r>
          </w:p>
        </w:tc>
        <w:tc>
          <w:tcPr>
            <w:tcW w:w="1133" w:type="dxa"/>
            <w:shd w:val="clear" w:color="auto" w:fill="auto"/>
            <w:vAlign w:val="center"/>
          </w:tcPr>
          <w:p w:rsidR="00582389" w:rsidRDefault="00331631" w:rsidP="00A94EA8">
            <w:pPr>
              <w:pStyle w:val="144"/>
              <w:jc w:val="right"/>
            </w:pPr>
            <w:r>
              <w:t>9,046</w:t>
            </w:r>
          </w:p>
        </w:tc>
        <w:tc>
          <w:tcPr>
            <w:tcW w:w="1390" w:type="dxa"/>
            <w:shd w:val="clear" w:color="auto" w:fill="auto"/>
            <w:vAlign w:val="center"/>
          </w:tcPr>
          <w:p w:rsidR="00582389" w:rsidRDefault="00331631" w:rsidP="00A94EA8">
            <w:pPr>
              <w:pStyle w:val="144"/>
              <w:jc w:val="right"/>
            </w:pPr>
            <w:r>
              <w:t>344</w:t>
            </w:r>
          </w:p>
        </w:tc>
        <w:tc>
          <w:tcPr>
            <w:tcW w:w="992" w:type="dxa"/>
            <w:vAlign w:val="center"/>
          </w:tcPr>
          <w:p w:rsidR="00582389" w:rsidRPr="00223F22" w:rsidRDefault="00331631" w:rsidP="00A94EA8">
            <w:pPr>
              <w:pStyle w:val="144"/>
              <w:jc w:val="right"/>
              <w:rPr>
                <w:rFonts w:hint="eastAsia"/>
                <w:snapToGrid/>
              </w:rPr>
            </w:pPr>
            <w:r>
              <w:rPr>
                <w:rFonts w:hint="eastAsia"/>
                <w:snapToGrid/>
              </w:rPr>
              <w:t>2</w:t>
            </w:r>
            <w:r>
              <w:rPr>
                <w:snapToGrid/>
              </w:rPr>
              <w:t>.45</w:t>
            </w:r>
          </w:p>
        </w:tc>
        <w:tc>
          <w:tcPr>
            <w:tcW w:w="1134" w:type="dxa"/>
            <w:vAlign w:val="center"/>
          </w:tcPr>
          <w:p w:rsidR="00582389" w:rsidRPr="00223F22" w:rsidRDefault="00331631" w:rsidP="00A94EA8">
            <w:pPr>
              <w:pStyle w:val="144"/>
              <w:jc w:val="right"/>
              <w:rPr>
                <w:rFonts w:hint="eastAsia"/>
                <w:snapToGrid/>
              </w:rPr>
            </w:pPr>
            <w:r>
              <w:rPr>
                <w:rFonts w:hint="eastAsia"/>
                <w:snapToGrid/>
              </w:rPr>
              <w:t>5</w:t>
            </w:r>
            <w:r w:rsidR="00C2029E">
              <w:rPr>
                <w:snapToGrid/>
              </w:rPr>
              <w:t>2,756</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4"/>
              <w:jc w:val="center"/>
              <w:rPr>
                <w:snapToGrid/>
              </w:rPr>
            </w:pPr>
            <w:r w:rsidRPr="00223F22">
              <w:rPr>
                <w:rFonts w:hint="eastAsia"/>
                <w:snapToGrid/>
              </w:rPr>
              <w:t>104</w:t>
            </w:r>
          </w:p>
        </w:tc>
        <w:tc>
          <w:tcPr>
            <w:tcW w:w="1133"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6</w:t>
            </w:r>
            <w:r w:rsidRPr="00770438">
              <w:rPr>
                <w:snapToGrid/>
                <w:color w:val="000000"/>
              </w:rPr>
              <w:t>60</w:t>
            </w:r>
          </w:p>
        </w:tc>
        <w:tc>
          <w:tcPr>
            <w:tcW w:w="1030"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9</w:t>
            </w:r>
            <w:r w:rsidRPr="00770438">
              <w:rPr>
                <w:snapToGrid/>
                <w:color w:val="000000"/>
              </w:rPr>
              <w:t>,619</w:t>
            </w:r>
          </w:p>
        </w:tc>
        <w:tc>
          <w:tcPr>
            <w:tcW w:w="1133" w:type="dxa"/>
            <w:shd w:val="clear" w:color="auto" w:fill="auto"/>
            <w:vAlign w:val="center"/>
          </w:tcPr>
          <w:p w:rsidR="00582389" w:rsidRDefault="00331631" w:rsidP="00A94EA8">
            <w:pPr>
              <w:pStyle w:val="144"/>
              <w:jc w:val="right"/>
            </w:pPr>
            <w:r>
              <w:t>9,569</w:t>
            </w:r>
          </w:p>
        </w:tc>
        <w:tc>
          <w:tcPr>
            <w:tcW w:w="1390" w:type="dxa"/>
            <w:shd w:val="clear" w:color="auto" w:fill="auto"/>
            <w:vAlign w:val="center"/>
          </w:tcPr>
          <w:p w:rsidR="00582389" w:rsidRDefault="00331631" w:rsidP="00A94EA8">
            <w:pPr>
              <w:pStyle w:val="144"/>
              <w:jc w:val="right"/>
            </w:pPr>
            <w:r>
              <w:t>710</w:t>
            </w:r>
          </w:p>
        </w:tc>
        <w:tc>
          <w:tcPr>
            <w:tcW w:w="992" w:type="dxa"/>
            <w:vAlign w:val="center"/>
          </w:tcPr>
          <w:p w:rsidR="00582389" w:rsidRPr="00223F22" w:rsidRDefault="00331631" w:rsidP="00A94EA8">
            <w:pPr>
              <w:pStyle w:val="144"/>
              <w:jc w:val="right"/>
              <w:rPr>
                <w:rFonts w:hint="eastAsia"/>
                <w:snapToGrid/>
              </w:rPr>
            </w:pPr>
            <w:r>
              <w:rPr>
                <w:rFonts w:hint="eastAsia"/>
                <w:snapToGrid/>
              </w:rPr>
              <w:t>3</w:t>
            </w:r>
            <w:r>
              <w:rPr>
                <w:snapToGrid/>
              </w:rPr>
              <w:t>.73</w:t>
            </w:r>
          </w:p>
        </w:tc>
        <w:tc>
          <w:tcPr>
            <w:tcW w:w="1134" w:type="dxa"/>
            <w:vAlign w:val="center"/>
          </w:tcPr>
          <w:p w:rsidR="00582389" w:rsidRPr="00223F22" w:rsidRDefault="00331631" w:rsidP="00A94EA8">
            <w:pPr>
              <w:pStyle w:val="144"/>
              <w:jc w:val="right"/>
              <w:rPr>
                <w:rFonts w:hint="eastAsia"/>
                <w:snapToGrid/>
              </w:rPr>
            </w:pPr>
            <w:r>
              <w:rPr>
                <w:rFonts w:hint="eastAsia"/>
                <w:snapToGrid/>
              </w:rPr>
              <w:t>5</w:t>
            </w:r>
            <w:r w:rsidR="00C2029E">
              <w:rPr>
                <w:snapToGrid/>
              </w:rPr>
              <w:t>2,964</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4"/>
              <w:jc w:val="center"/>
              <w:rPr>
                <w:snapToGrid/>
              </w:rPr>
            </w:pPr>
            <w:r w:rsidRPr="00223F22">
              <w:rPr>
                <w:rFonts w:hint="eastAsia"/>
                <w:snapToGrid/>
              </w:rPr>
              <w:t>105</w:t>
            </w:r>
          </w:p>
        </w:tc>
        <w:tc>
          <w:tcPr>
            <w:tcW w:w="1133"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7</w:t>
            </w:r>
            <w:r w:rsidRPr="00770438">
              <w:rPr>
                <w:snapToGrid/>
                <w:color w:val="000000"/>
              </w:rPr>
              <w:t>30</w:t>
            </w:r>
          </w:p>
        </w:tc>
        <w:tc>
          <w:tcPr>
            <w:tcW w:w="1030"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8</w:t>
            </w:r>
            <w:r w:rsidRPr="00770438">
              <w:rPr>
                <w:snapToGrid/>
                <w:color w:val="000000"/>
              </w:rPr>
              <w:t>,540</w:t>
            </w:r>
          </w:p>
        </w:tc>
        <w:tc>
          <w:tcPr>
            <w:tcW w:w="1133" w:type="dxa"/>
            <w:shd w:val="clear" w:color="auto" w:fill="auto"/>
            <w:vAlign w:val="center"/>
          </w:tcPr>
          <w:p w:rsidR="00582389" w:rsidRDefault="00331631" w:rsidP="00A94EA8">
            <w:pPr>
              <w:pStyle w:val="144"/>
              <w:jc w:val="right"/>
            </w:pPr>
            <w:r>
              <w:t>8,496</w:t>
            </w:r>
          </w:p>
        </w:tc>
        <w:tc>
          <w:tcPr>
            <w:tcW w:w="1390" w:type="dxa"/>
            <w:shd w:val="clear" w:color="auto" w:fill="auto"/>
            <w:vAlign w:val="center"/>
          </w:tcPr>
          <w:p w:rsidR="00582389" w:rsidRDefault="00331631" w:rsidP="00A94EA8">
            <w:pPr>
              <w:pStyle w:val="144"/>
              <w:jc w:val="right"/>
            </w:pPr>
            <w:r>
              <w:t>774</w:t>
            </w:r>
          </w:p>
        </w:tc>
        <w:tc>
          <w:tcPr>
            <w:tcW w:w="992" w:type="dxa"/>
            <w:vAlign w:val="center"/>
          </w:tcPr>
          <w:p w:rsidR="00582389" w:rsidRPr="00223F22" w:rsidRDefault="00331631" w:rsidP="00A94EA8">
            <w:pPr>
              <w:pStyle w:val="144"/>
              <w:jc w:val="right"/>
              <w:rPr>
                <w:rFonts w:hint="eastAsia"/>
                <w:snapToGrid/>
              </w:rPr>
            </w:pPr>
            <w:r>
              <w:rPr>
                <w:rFonts w:hint="eastAsia"/>
                <w:snapToGrid/>
              </w:rPr>
              <w:t>3</w:t>
            </w:r>
            <w:r>
              <w:rPr>
                <w:snapToGrid/>
              </w:rPr>
              <w:t>.17</w:t>
            </w:r>
          </w:p>
        </w:tc>
        <w:tc>
          <w:tcPr>
            <w:tcW w:w="1134" w:type="dxa"/>
            <w:vAlign w:val="center"/>
          </w:tcPr>
          <w:p w:rsidR="00582389" w:rsidRPr="00223F22" w:rsidRDefault="00331631" w:rsidP="00C2029E">
            <w:pPr>
              <w:pStyle w:val="144"/>
              <w:jc w:val="right"/>
              <w:rPr>
                <w:rFonts w:hint="eastAsia"/>
                <w:snapToGrid/>
              </w:rPr>
            </w:pPr>
            <w:r>
              <w:rPr>
                <w:rFonts w:hint="eastAsia"/>
                <w:snapToGrid/>
              </w:rPr>
              <w:t>5</w:t>
            </w:r>
            <w:r>
              <w:rPr>
                <w:snapToGrid/>
              </w:rPr>
              <w:t>3,</w:t>
            </w:r>
            <w:r w:rsidR="00C2029E">
              <w:rPr>
                <w:snapToGrid/>
              </w:rPr>
              <w:t>393</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4"/>
              <w:jc w:val="center"/>
              <w:rPr>
                <w:snapToGrid/>
              </w:rPr>
            </w:pPr>
            <w:r w:rsidRPr="00223F22">
              <w:rPr>
                <w:rFonts w:hint="eastAsia"/>
                <w:snapToGrid/>
              </w:rPr>
              <w:t>106</w:t>
            </w:r>
          </w:p>
        </w:tc>
        <w:tc>
          <w:tcPr>
            <w:tcW w:w="1133"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7</w:t>
            </w:r>
            <w:r w:rsidRPr="00770438">
              <w:rPr>
                <w:snapToGrid/>
                <w:color w:val="000000"/>
              </w:rPr>
              <w:t>43</w:t>
            </w:r>
          </w:p>
        </w:tc>
        <w:tc>
          <w:tcPr>
            <w:tcW w:w="1030"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6</w:t>
            </w:r>
            <w:r w:rsidRPr="00770438">
              <w:rPr>
                <w:snapToGrid/>
                <w:color w:val="000000"/>
              </w:rPr>
              <w:t>,287</w:t>
            </w:r>
          </w:p>
        </w:tc>
        <w:tc>
          <w:tcPr>
            <w:tcW w:w="1133" w:type="dxa"/>
            <w:shd w:val="clear" w:color="auto" w:fill="auto"/>
            <w:vAlign w:val="center"/>
          </w:tcPr>
          <w:p w:rsidR="00582389" w:rsidRDefault="00331631" w:rsidP="00A94EA8">
            <w:pPr>
              <w:pStyle w:val="144"/>
              <w:jc w:val="right"/>
            </w:pPr>
            <w:r>
              <w:t>6,745</w:t>
            </w:r>
          </w:p>
        </w:tc>
        <w:tc>
          <w:tcPr>
            <w:tcW w:w="1390" w:type="dxa"/>
            <w:shd w:val="clear" w:color="auto" w:fill="auto"/>
            <w:vAlign w:val="center"/>
          </w:tcPr>
          <w:p w:rsidR="00582389" w:rsidRDefault="00331631" w:rsidP="00A94EA8">
            <w:pPr>
              <w:pStyle w:val="144"/>
              <w:jc w:val="right"/>
            </w:pPr>
            <w:r>
              <w:t>284</w:t>
            </w:r>
          </w:p>
        </w:tc>
        <w:tc>
          <w:tcPr>
            <w:tcW w:w="992" w:type="dxa"/>
            <w:vAlign w:val="center"/>
          </w:tcPr>
          <w:p w:rsidR="00582389" w:rsidRPr="00223F22" w:rsidRDefault="00331631" w:rsidP="00A94EA8">
            <w:pPr>
              <w:pStyle w:val="144"/>
              <w:jc w:val="right"/>
              <w:rPr>
                <w:rFonts w:hint="eastAsia"/>
                <w:snapToGrid/>
              </w:rPr>
            </w:pPr>
            <w:r>
              <w:rPr>
                <w:rFonts w:hint="eastAsia"/>
                <w:snapToGrid/>
              </w:rPr>
              <w:t>1</w:t>
            </w:r>
            <w:r>
              <w:rPr>
                <w:snapToGrid/>
              </w:rPr>
              <w:t>.99</w:t>
            </w:r>
          </w:p>
        </w:tc>
        <w:tc>
          <w:tcPr>
            <w:tcW w:w="1134" w:type="dxa"/>
            <w:vAlign w:val="center"/>
          </w:tcPr>
          <w:p w:rsidR="00582389" w:rsidRPr="00223F22" w:rsidRDefault="00331631" w:rsidP="00A94EA8">
            <w:pPr>
              <w:pStyle w:val="144"/>
              <w:jc w:val="right"/>
              <w:rPr>
                <w:rFonts w:hint="eastAsia"/>
                <w:snapToGrid/>
              </w:rPr>
            </w:pPr>
            <w:r>
              <w:rPr>
                <w:rFonts w:hint="eastAsia"/>
                <w:snapToGrid/>
              </w:rPr>
              <w:t>5</w:t>
            </w:r>
            <w:r w:rsidR="00C2029E">
              <w:rPr>
                <w:snapToGrid/>
              </w:rPr>
              <w:t>3,530</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4"/>
              <w:jc w:val="center"/>
              <w:rPr>
                <w:snapToGrid/>
              </w:rPr>
            </w:pPr>
            <w:r w:rsidRPr="00223F22">
              <w:rPr>
                <w:rFonts w:hint="eastAsia"/>
                <w:snapToGrid/>
              </w:rPr>
              <w:t>107</w:t>
            </w:r>
          </w:p>
        </w:tc>
        <w:tc>
          <w:tcPr>
            <w:tcW w:w="1133"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7</w:t>
            </w:r>
            <w:r w:rsidRPr="00770438">
              <w:rPr>
                <w:snapToGrid/>
                <w:color w:val="000000"/>
              </w:rPr>
              <w:t>92</w:t>
            </w:r>
          </w:p>
        </w:tc>
        <w:tc>
          <w:tcPr>
            <w:tcW w:w="1030"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5</w:t>
            </w:r>
            <w:r w:rsidRPr="00770438">
              <w:rPr>
                <w:snapToGrid/>
                <w:color w:val="000000"/>
              </w:rPr>
              <w:t>,996</w:t>
            </w:r>
          </w:p>
        </w:tc>
        <w:tc>
          <w:tcPr>
            <w:tcW w:w="1133" w:type="dxa"/>
            <w:shd w:val="clear" w:color="auto" w:fill="auto"/>
            <w:vAlign w:val="center"/>
          </w:tcPr>
          <w:p w:rsidR="00582389" w:rsidRDefault="00331631" w:rsidP="00A94EA8">
            <w:pPr>
              <w:pStyle w:val="144"/>
              <w:jc w:val="right"/>
            </w:pPr>
            <w:r>
              <w:t>6,378</w:t>
            </w:r>
          </w:p>
        </w:tc>
        <w:tc>
          <w:tcPr>
            <w:tcW w:w="1390" w:type="dxa"/>
            <w:shd w:val="clear" w:color="auto" w:fill="auto"/>
            <w:vAlign w:val="center"/>
          </w:tcPr>
          <w:p w:rsidR="00582389" w:rsidRDefault="00331631" w:rsidP="00A94EA8">
            <w:pPr>
              <w:pStyle w:val="144"/>
              <w:jc w:val="right"/>
            </w:pPr>
            <w:r>
              <w:t>410</w:t>
            </w:r>
          </w:p>
        </w:tc>
        <w:tc>
          <w:tcPr>
            <w:tcW w:w="992" w:type="dxa"/>
            <w:vAlign w:val="center"/>
          </w:tcPr>
          <w:p w:rsidR="00582389" w:rsidRPr="00223F22" w:rsidRDefault="00331631" w:rsidP="00A94EA8">
            <w:pPr>
              <w:pStyle w:val="144"/>
              <w:jc w:val="right"/>
              <w:rPr>
                <w:rFonts w:hint="eastAsia"/>
                <w:snapToGrid/>
              </w:rPr>
            </w:pPr>
            <w:r>
              <w:rPr>
                <w:rFonts w:hint="eastAsia"/>
                <w:snapToGrid/>
              </w:rPr>
              <w:t>2</w:t>
            </w:r>
            <w:r>
              <w:rPr>
                <w:snapToGrid/>
              </w:rPr>
              <w:t>.45</w:t>
            </w:r>
          </w:p>
        </w:tc>
        <w:tc>
          <w:tcPr>
            <w:tcW w:w="1134" w:type="dxa"/>
            <w:vAlign w:val="center"/>
          </w:tcPr>
          <w:p w:rsidR="00582389" w:rsidRPr="00223F22" w:rsidRDefault="00331631" w:rsidP="00A94EA8">
            <w:pPr>
              <w:pStyle w:val="144"/>
              <w:jc w:val="right"/>
              <w:rPr>
                <w:rFonts w:hint="eastAsia"/>
                <w:snapToGrid/>
              </w:rPr>
            </w:pPr>
            <w:r>
              <w:rPr>
                <w:rFonts w:hint="eastAsia"/>
                <w:snapToGrid/>
              </w:rPr>
              <w:t>5</w:t>
            </w:r>
            <w:r w:rsidR="006F2FE5">
              <w:rPr>
                <w:snapToGrid/>
              </w:rPr>
              <w:t>3,736</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4"/>
              <w:jc w:val="center"/>
              <w:rPr>
                <w:snapToGrid/>
              </w:rPr>
            </w:pPr>
            <w:r w:rsidRPr="00223F22">
              <w:rPr>
                <w:rFonts w:hint="eastAsia"/>
                <w:snapToGrid/>
              </w:rPr>
              <w:t>108</w:t>
            </w:r>
          </w:p>
        </w:tc>
        <w:tc>
          <w:tcPr>
            <w:tcW w:w="1133"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8</w:t>
            </w:r>
            <w:r w:rsidRPr="00770438">
              <w:rPr>
                <w:snapToGrid/>
                <w:color w:val="000000"/>
              </w:rPr>
              <w:t>85</w:t>
            </w:r>
          </w:p>
        </w:tc>
        <w:tc>
          <w:tcPr>
            <w:tcW w:w="1030"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6</w:t>
            </w:r>
            <w:r w:rsidRPr="00770438">
              <w:rPr>
                <w:snapToGrid/>
                <w:color w:val="000000"/>
              </w:rPr>
              <w:t>,200</w:t>
            </w:r>
          </w:p>
        </w:tc>
        <w:tc>
          <w:tcPr>
            <w:tcW w:w="1133" w:type="dxa"/>
            <w:shd w:val="clear" w:color="auto" w:fill="auto"/>
            <w:vAlign w:val="center"/>
          </w:tcPr>
          <w:p w:rsidR="00582389" w:rsidRDefault="00331631" w:rsidP="00A94EA8">
            <w:pPr>
              <w:pStyle w:val="144"/>
              <w:jc w:val="right"/>
            </w:pPr>
            <w:r>
              <w:t>7,035</w:t>
            </w:r>
          </w:p>
        </w:tc>
        <w:tc>
          <w:tcPr>
            <w:tcW w:w="1390" w:type="dxa"/>
            <w:shd w:val="clear" w:color="auto" w:fill="auto"/>
            <w:vAlign w:val="center"/>
          </w:tcPr>
          <w:p w:rsidR="00582389" w:rsidRDefault="00331631" w:rsidP="00A94EA8">
            <w:pPr>
              <w:pStyle w:val="144"/>
              <w:jc w:val="right"/>
            </w:pPr>
            <w:r>
              <w:t>50</w:t>
            </w:r>
          </w:p>
        </w:tc>
        <w:tc>
          <w:tcPr>
            <w:tcW w:w="992" w:type="dxa"/>
            <w:vAlign w:val="center"/>
          </w:tcPr>
          <w:p w:rsidR="00582389" w:rsidRPr="00223F22" w:rsidRDefault="00331631" w:rsidP="00A94EA8">
            <w:pPr>
              <w:pStyle w:val="144"/>
              <w:jc w:val="right"/>
              <w:rPr>
                <w:rFonts w:hint="eastAsia"/>
                <w:snapToGrid/>
              </w:rPr>
            </w:pPr>
            <w:r>
              <w:rPr>
                <w:rFonts w:hint="eastAsia"/>
                <w:snapToGrid/>
              </w:rPr>
              <w:t>0</w:t>
            </w:r>
            <w:r>
              <w:rPr>
                <w:snapToGrid/>
              </w:rPr>
              <w:t>.23</w:t>
            </w:r>
          </w:p>
        </w:tc>
        <w:tc>
          <w:tcPr>
            <w:tcW w:w="1134" w:type="dxa"/>
            <w:vAlign w:val="center"/>
          </w:tcPr>
          <w:p w:rsidR="00582389" w:rsidRPr="00223F22" w:rsidRDefault="00331631" w:rsidP="00C2029E">
            <w:pPr>
              <w:pStyle w:val="144"/>
              <w:jc w:val="right"/>
              <w:rPr>
                <w:rFonts w:hint="eastAsia"/>
                <w:snapToGrid/>
              </w:rPr>
            </w:pPr>
            <w:r>
              <w:rPr>
                <w:rFonts w:hint="eastAsia"/>
                <w:snapToGrid/>
              </w:rPr>
              <w:t>5</w:t>
            </w:r>
            <w:r>
              <w:rPr>
                <w:snapToGrid/>
              </w:rPr>
              <w:t>3,</w:t>
            </w:r>
            <w:r w:rsidR="006F2FE5">
              <w:rPr>
                <w:snapToGrid/>
              </w:rPr>
              <w:t>274</w:t>
            </w:r>
          </w:p>
        </w:tc>
      </w:tr>
      <w:tr w:rsidR="00582389" w:rsidRPr="00223F22" w:rsidTr="000F0390">
        <w:trPr>
          <w:trHeight w:val="312"/>
        </w:trPr>
        <w:tc>
          <w:tcPr>
            <w:tcW w:w="1145" w:type="dxa"/>
            <w:shd w:val="clear" w:color="auto" w:fill="auto"/>
            <w:vAlign w:val="center"/>
            <w:hideMark/>
          </w:tcPr>
          <w:p w:rsidR="00582389" w:rsidRPr="00223F22" w:rsidRDefault="00582389" w:rsidP="00582389">
            <w:pPr>
              <w:pStyle w:val="144"/>
              <w:jc w:val="center"/>
              <w:rPr>
                <w:snapToGrid/>
              </w:rPr>
            </w:pPr>
            <w:r w:rsidRPr="00223F22">
              <w:rPr>
                <w:rFonts w:hint="eastAsia"/>
                <w:snapToGrid/>
              </w:rPr>
              <w:t>109</w:t>
            </w:r>
          </w:p>
        </w:tc>
        <w:tc>
          <w:tcPr>
            <w:tcW w:w="1133"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8</w:t>
            </w:r>
            <w:r w:rsidRPr="00770438">
              <w:rPr>
                <w:snapToGrid/>
                <w:color w:val="000000"/>
              </w:rPr>
              <w:t>50</w:t>
            </w:r>
          </w:p>
        </w:tc>
        <w:tc>
          <w:tcPr>
            <w:tcW w:w="1030" w:type="dxa"/>
            <w:shd w:val="clear" w:color="auto" w:fill="auto"/>
            <w:vAlign w:val="center"/>
          </w:tcPr>
          <w:p w:rsidR="00582389" w:rsidRPr="00770438" w:rsidRDefault="00582389" w:rsidP="00A94EA8">
            <w:pPr>
              <w:pStyle w:val="144"/>
              <w:jc w:val="right"/>
              <w:rPr>
                <w:snapToGrid/>
                <w:color w:val="000000"/>
              </w:rPr>
            </w:pPr>
            <w:r w:rsidRPr="00770438">
              <w:rPr>
                <w:rFonts w:hint="eastAsia"/>
                <w:snapToGrid/>
                <w:color w:val="000000"/>
              </w:rPr>
              <w:t>5</w:t>
            </w:r>
            <w:r w:rsidRPr="00770438">
              <w:rPr>
                <w:snapToGrid/>
                <w:color w:val="000000"/>
              </w:rPr>
              <w:t>,563</w:t>
            </w:r>
          </w:p>
        </w:tc>
        <w:tc>
          <w:tcPr>
            <w:tcW w:w="1133" w:type="dxa"/>
            <w:shd w:val="clear" w:color="auto" w:fill="auto"/>
            <w:vAlign w:val="center"/>
          </w:tcPr>
          <w:p w:rsidR="00582389" w:rsidRDefault="00331631" w:rsidP="00A94EA8">
            <w:pPr>
              <w:pStyle w:val="144"/>
              <w:jc w:val="right"/>
            </w:pPr>
            <w:r>
              <w:t>6,413</w:t>
            </w:r>
          </w:p>
        </w:tc>
        <w:tc>
          <w:tcPr>
            <w:tcW w:w="1390" w:type="dxa"/>
            <w:shd w:val="clear" w:color="auto" w:fill="auto"/>
            <w:vAlign w:val="center"/>
          </w:tcPr>
          <w:p w:rsidR="00582389" w:rsidRPr="00223F22" w:rsidRDefault="00582389" w:rsidP="00A94EA8">
            <w:pPr>
              <w:pStyle w:val="144"/>
              <w:jc w:val="right"/>
              <w:rPr>
                <w:snapToGrid/>
              </w:rPr>
            </w:pPr>
            <w:r>
              <w:rPr>
                <w:rFonts w:hint="eastAsia"/>
                <w:snapToGrid/>
              </w:rPr>
              <w:t>0</w:t>
            </w:r>
          </w:p>
        </w:tc>
        <w:tc>
          <w:tcPr>
            <w:tcW w:w="992" w:type="dxa"/>
            <w:vAlign w:val="center"/>
          </w:tcPr>
          <w:p w:rsidR="007E011B" w:rsidRDefault="00331631" w:rsidP="00A94EA8">
            <w:pPr>
              <w:pStyle w:val="144"/>
              <w:jc w:val="right"/>
              <w:rPr>
                <w:snapToGrid/>
              </w:rPr>
            </w:pPr>
            <w:r>
              <w:rPr>
                <w:rFonts w:hint="eastAsia"/>
                <w:snapToGrid/>
              </w:rPr>
              <w:t>0</w:t>
            </w:r>
            <w:r>
              <w:rPr>
                <w:snapToGrid/>
              </w:rPr>
              <w:t>.67</w:t>
            </w:r>
          </w:p>
          <w:p w:rsidR="00582389" w:rsidRPr="007E011B" w:rsidRDefault="007E011B" w:rsidP="00A94EA8">
            <w:pPr>
              <w:pStyle w:val="144"/>
              <w:jc w:val="right"/>
              <w:rPr>
                <w:rFonts w:hint="eastAsia"/>
                <w:snapToGrid/>
                <w:sz w:val="20"/>
                <w:szCs w:val="20"/>
              </w:rPr>
            </w:pPr>
            <w:r w:rsidRPr="007E011B">
              <w:rPr>
                <w:rFonts w:hint="eastAsia"/>
                <w:snapToGrid/>
                <w:sz w:val="20"/>
                <w:szCs w:val="20"/>
              </w:rPr>
              <w:t>(說明1)</w:t>
            </w:r>
          </w:p>
        </w:tc>
        <w:tc>
          <w:tcPr>
            <w:tcW w:w="1134" w:type="dxa"/>
            <w:vAlign w:val="center"/>
          </w:tcPr>
          <w:p w:rsidR="00582389" w:rsidRPr="00223F22" w:rsidRDefault="00F72D50" w:rsidP="00A94EA8">
            <w:pPr>
              <w:pStyle w:val="144"/>
              <w:jc w:val="right"/>
              <w:rPr>
                <w:rFonts w:hint="eastAsia"/>
                <w:snapToGrid/>
              </w:rPr>
            </w:pPr>
            <w:r>
              <w:rPr>
                <w:rFonts w:hint="eastAsia"/>
                <w:snapToGrid/>
              </w:rPr>
              <w:t>5</w:t>
            </w:r>
            <w:r w:rsidR="006F2FE5">
              <w:rPr>
                <w:snapToGrid/>
              </w:rPr>
              <w:t>5,361</w:t>
            </w:r>
          </w:p>
        </w:tc>
      </w:tr>
      <w:tr w:rsidR="00582389" w:rsidRPr="00223F22" w:rsidTr="000F0390">
        <w:trPr>
          <w:trHeight w:val="312"/>
        </w:trPr>
        <w:tc>
          <w:tcPr>
            <w:tcW w:w="1145" w:type="dxa"/>
            <w:shd w:val="clear" w:color="auto" w:fill="auto"/>
            <w:vAlign w:val="center"/>
            <w:hideMark/>
          </w:tcPr>
          <w:p w:rsidR="005E63D4" w:rsidRPr="00223F22" w:rsidRDefault="005E63D4" w:rsidP="005E63D4">
            <w:pPr>
              <w:pStyle w:val="144"/>
              <w:jc w:val="center"/>
              <w:rPr>
                <w:snapToGrid/>
              </w:rPr>
            </w:pPr>
            <w:r>
              <w:rPr>
                <w:rFonts w:hint="eastAsia"/>
                <w:snapToGrid/>
              </w:rPr>
              <w:t>110</w:t>
            </w:r>
          </w:p>
        </w:tc>
        <w:tc>
          <w:tcPr>
            <w:tcW w:w="1133" w:type="dxa"/>
            <w:shd w:val="clear" w:color="auto" w:fill="auto"/>
            <w:vAlign w:val="center"/>
          </w:tcPr>
          <w:p w:rsidR="005E63D4" w:rsidRPr="00770438" w:rsidRDefault="005E63D4" w:rsidP="00A94EA8">
            <w:pPr>
              <w:pStyle w:val="144"/>
              <w:jc w:val="right"/>
              <w:rPr>
                <w:snapToGrid/>
                <w:color w:val="000000"/>
              </w:rPr>
            </w:pPr>
            <w:r w:rsidRPr="00770438">
              <w:rPr>
                <w:rFonts w:hint="eastAsia"/>
                <w:snapToGrid/>
                <w:color w:val="000000"/>
              </w:rPr>
              <w:t>1</w:t>
            </w:r>
            <w:r w:rsidRPr="00770438">
              <w:rPr>
                <w:snapToGrid/>
                <w:color w:val="000000"/>
              </w:rPr>
              <w:t>,200</w:t>
            </w:r>
          </w:p>
        </w:tc>
        <w:tc>
          <w:tcPr>
            <w:tcW w:w="1030" w:type="dxa"/>
            <w:shd w:val="clear" w:color="auto" w:fill="auto"/>
            <w:vAlign w:val="center"/>
          </w:tcPr>
          <w:p w:rsidR="005E63D4" w:rsidRPr="00770438" w:rsidRDefault="00582389" w:rsidP="00A94EA8">
            <w:pPr>
              <w:pStyle w:val="144"/>
              <w:jc w:val="right"/>
              <w:rPr>
                <w:snapToGrid/>
                <w:color w:val="000000"/>
              </w:rPr>
            </w:pPr>
            <w:r w:rsidRPr="00770438">
              <w:rPr>
                <w:snapToGrid/>
                <w:color w:val="000000"/>
              </w:rPr>
              <w:t>6,953</w:t>
            </w:r>
          </w:p>
        </w:tc>
        <w:tc>
          <w:tcPr>
            <w:tcW w:w="1133" w:type="dxa"/>
            <w:shd w:val="clear" w:color="auto" w:fill="auto"/>
            <w:vAlign w:val="center"/>
          </w:tcPr>
          <w:p w:rsidR="005E63D4" w:rsidRPr="00223F22" w:rsidRDefault="00582389" w:rsidP="00A94EA8">
            <w:pPr>
              <w:pStyle w:val="144"/>
              <w:jc w:val="right"/>
              <w:rPr>
                <w:snapToGrid/>
              </w:rPr>
            </w:pPr>
            <w:r>
              <w:rPr>
                <w:snapToGrid/>
              </w:rPr>
              <w:t>7,803</w:t>
            </w:r>
          </w:p>
        </w:tc>
        <w:tc>
          <w:tcPr>
            <w:tcW w:w="1390" w:type="dxa"/>
            <w:shd w:val="clear" w:color="auto" w:fill="auto"/>
            <w:vAlign w:val="center"/>
          </w:tcPr>
          <w:p w:rsidR="005E63D4" w:rsidRPr="00223F22" w:rsidRDefault="00582389" w:rsidP="00A94EA8">
            <w:pPr>
              <w:pStyle w:val="144"/>
              <w:jc w:val="right"/>
              <w:rPr>
                <w:snapToGrid/>
              </w:rPr>
            </w:pPr>
            <w:r>
              <w:rPr>
                <w:rFonts w:hint="eastAsia"/>
                <w:snapToGrid/>
              </w:rPr>
              <w:t>3</w:t>
            </w:r>
            <w:r>
              <w:rPr>
                <w:snapToGrid/>
              </w:rPr>
              <w:t>50</w:t>
            </w:r>
          </w:p>
        </w:tc>
        <w:tc>
          <w:tcPr>
            <w:tcW w:w="992" w:type="dxa"/>
            <w:vAlign w:val="center"/>
          </w:tcPr>
          <w:p w:rsidR="005E63D4" w:rsidRPr="00223F22" w:rsidRDefault="00331631" w:rsidP="00A94EA8">
            <w:pPr>
              <w:pStyle w:val="144"/>
              <w:jc w:val="right"/>
              <w:rPr>
                <w:rFonts w:hint="eastAsia"/>
                <w:snapToGrid/>
              </w:rPr>
            </w:pPr>
            <w:r>
              <w:rPr>
                <w:rFonts w:hint="eastAsia"/>
                <w:snapToGrid/>
              </w:rPr>
              <w:t>1</w:t>
            </w:r>
            <w:r>
              <w:rPr>
                <w:snapToGrid/>
              </w:rPr>
              <w:t>.19</w:t>
            </w:r>
          </w:p>
        </w:tc>
        <w:tc>
          <w:tcPr>
            <w:tcW w:w="1134" w:type="dxa"/>
            <w:vAlign w:val="center"/>
          </w:tcPr>
          <w:p w:rsidR="005E63D4" w:rsidRPr="00223F22" w:rsidRDefault="00F72D50" w:rsidP="00C2029E">
            <w:pPr>
              <w:pStyle w:val="144"/>
              <w:jc w:val="right"/>
              <w:rPr>
                <w:rFonts w:hint="eastAsia"/>
                <w:snapToGrid/>
              </w:rPr>
            </w:pPr>
            <w:r>
              <w:rPr>
                <w:rFonts w:hint="eastAsia"/>
                <w:snapToGrid/>
              </w:rPr>
              <w:t>5</w:t>
            </w:r>
            <w:r w:rsidR="00C2029E">
              <w:rPr>
                <w:rFonts w:hint="eastAsia"/>
                <w:snapToGrid/>
              </w:rPr>
              <w:t>7</w:t>
            </w:r>
            <w:r w:rsidR="006F2FE5">
              <w:rPr>
                <w:snapToGrid/>
              </w:rPr>
              <w:t>,091</w:t>
            </w:r>
          </w:p>
        </w:tc>
      </w:tr>
      <w:tr w:rsidR="006F2FE5" w:rsidRPr="00223F22" w:rsidTr="000F0390">
        <w:trPr>
          <w:trHeight w:val="312"/>
        </w:trPr>
        <w:tc>
          <w:tcPr>
            <w:tcW w:w="1145" w:type="dxa"/>
            <w:shd w:val="clear" w:color="auto" w:fill="auto"/>
            <w:vAlign w:val="center"/>
          </w:tcPr>
          <w:p w:rsidR="006F2FE5" w:rsidRDefault="006F2FE5" w:rsidP="005E63D4">
            <w:pPr>
              <w:pStyle w:val="144"/>
              <w:jc w:val="center"/>
              <w:rPr>
                <w:rFonts w:hint="eastAsia"/>
                <w:snapToGrid/>
              </w:rPr>
            </w:pPr>
            <w:r>
              <w:rPr>
                <w:rFonts w:hint="eastAsia"/>
                <w:snapToGrid/>
              </w:rPr>
              <w:t>111</w:t>
            </w:r>
          </w:p>
        </w:tc>
        <w:tc>
          <w:tcPr>
            <w:tcW w:w="1133" w:type="dxa"/>
            <w:shd w:val="clear" w:color="auto" w:fill="auto"/>
            <w:vAlign w:val="center"/>
          </w:tcPr>
          <w:p w:rsidR="006F2FE5" w:rsidRPr="00770438" w:rsidRDefault="006F2FE5" w:rsidP="00A94EA8">
            <w:pPr>
              <w:pStyle w:val="144"/>
              <w:jc w:val="right"/>
              <w:rPr>
                <w:rFonts w:hint="eastAsia"/>
                <w:snapToGrid/>
                <w:color w:val="000000"/>
              </w:rPr>
            </w:pPr>
            <w:r w:rsidRPr="00770438">
              <w:rPr>
                <w:rFonts w:hint="eastAsia"/>
                <w:snapToGrid/>
                <w:color w:val="000000"/>
              </w:rPr>
              <w:t>1,</w:t>
            </w:r>
            <w:r w:rsidRPr="00770438">
              <w:rPr>
                <w:snapToGrid/>
                <w:color w:val="000000"/>
              </w:rPr>
              <w:t>500</w:t>
            </w:r>
          </w:p>
        </w:tc>
        <w:tc>
          <w:tcPr>
            <w:tcW w:w="1030" w:type="dxa"/>
            <w:shd w:val="clear" w:color="auto" w:fill="auto"/>
            <w:vAlign w:val="center"/>
          </w:tcPr>
          <w:p w:rsidR="006F2FE5" w:rsidRPr="00770438" w:rsidRDefault="006F2FE5" w:rsidP="00A94EA8">
            <w:pPr>
              <w:pStyle w:val="144"/>
              <w:jc w:val="right"/>
              <w:rPr>
                <w:snapToGrid/>
                <w:color w:val="000000"/>
              </w:rPr>
            </w:pPr>
            <w:r w:rsidRPr="00770438">
              <w:rPr>
                <w:rFonts w:hint="eastAsia"/>
                <w:snapToGrid/>
                <w:color w:val="000000"/>
              </w:rPr>
              <w:t>6</w:t>
            </w:r>
            <w:r w:rsidRPr="00770438">
              <w:rPr>
                <w:snapToGrid/>
                <w:color w:val="000000"/>
              </w:rPr>
              <w:t>,850</w:t>
            </w:r>
          </w:p>
        </w:tc>
        <w:tc>
          <w:tcPr>
            <w:tcW w:w="1133" w:type="dxa"/>
            <w:shd w:val="clear" w:color="auto" w:fill="auto"/>
            <w:vAlign w:val="center"/>
          </w:tcPr>
          <w:p w:rsidR="006F2FE5" w:rsidRDefault="006F2FE5" w:rsidP="00A94EA8">
            <w:pPr>
              <w:pStyle w:val="144"/>
              <w:jc w:val="right"/>
              <w:rPr>
                <w:snapToGrid/>
              </w:rPr>
            </w:pPr>
            <w:r>
              <w:rPr>
                <w:rFonts w:hint="eastAsia"/>
                <w:snapToGrid/>
              </w:rPr>
              <w:t>7</w:t>
            </w:r>
            <w:r>
              <w:rPr>
                <w:snapToGrid/>
              </w:rPr>
              <w:t>,820</w:t>
            </w:r>
          </w:p>
        </w:tc>
        <w:tc>
          <w:tcPr>
            <w:tcW w:w="1390" w:type="dxa"/>
            <w:shd w:val="clear" w:color="auto" w:fill="auto"/>
            <w:vAlign w:val="center"/>
          </w:tcPr>
          <w:p w:rsidR="006F2FE5" w:rsidRDefault="006F2FE5" w:rsidP="00A94EA8">
            <w:pPr>
              <w:pStyle w:val="144"/>
              <w:jc w:val="right"/>
              <w:rPr>
                <w:rFonts w:hint="eastAsia"/>
                <w:snapToGrid/>
              </w:rPr>
            </w:pPr>
            <w:r>
              <w:rPr>
                <w:rFonts w:hint="eastAsia"/>
                <w:snapToGrid/>
              </w:rPr>
              <w:t>5</w:t>
            </w:r>
            <w:r>
              <w:rPr>
                <w:snapToGrid/>
              </w:rPr>
              <w:t>30</w:t>
            </w:r>
          </w:p>
        </w:tc>
        <w:tc>
          <w:tcPr>
            <w:tcW w:w="992" w:type="dxa"/>
            <w:vAlign w:val="center"/>
          </w:tcPr>
          <w:p w:rsidR="006F2FE5" w:rsidRDefault="006F2FE5" w:rsidP="00A94EA8">
            <w:pPr>
              <w:pStyle w:val="144"/>
              <w:jc w:val="right"/>
              <w:rPr>
                <w:rFonts w:hint="eastAsia"/>
                <w:snapToGrid/>
              </w:rPr>
            </w:pPr>
            <w:r>
              <w:rPr>
                <w:rFonts w:hint="eastAsia"/>
                <w:snapToGrid/>
              </w:rPr>
              <w:t>3</w:t>
            </w:r>
            <w:r>
              <w:rPr>
                <w:snapToGrid/>
              </w:rPr>
              <w:t>.32</w:t>
            </w:r>
          </w:p>
        </w:tc>
        <w:tc>
          <w:tcPr>
            <w:tcW w:w="1134" w:type="dxa"/>
            <w:vAlign w:val="center"/>
          </w:tcPr>
          <w:p w:rsidR="006F2FE5" w:rsidRDefault="006F2FE5" w:rsidP="00C2029E">
            <w:pPr>
              <w:pStyle w:val="144"/>
              <w:jc w:val="right"/>
              <w:rPr>
                <w:rFonts w:hint="eastAsia"/>
                <w:snapToGrid/>
              </w:rPr>
            </w:pPr>
            <w:r>
              <w:rPr>
                <w:rFonts w:hint="eastAsia"/>
                <w:snapToGrid/>
              </w:rPr>
              <w:t>5</w:t>
            </w:r>
            <w:r>
              <w:rPr>
                <w:snapToGrid/>
              </w:rPr>
              <w:t>9,211</w:t>
            </w:r>
          </w:p>
        </w:tc>
      </w:tr>
      <w:tr w:rsidR="006F2FE5" w:rsidRPr="00223F22" w:rsidTr="000F0390">
        <w:trPr>
          <w:trHeight w:val="312"/>
        </w:trPr>
        <w:tc>
          <w:tcPr>
            <w:tcW w:w="1145" w:type="dxa"/>
            <w:shd w:val="clear" w:color="auto" w:fill="auto"/>
            <w:vAlign w:val="center"/>
          </w:tcPr>
          <w:p w:rsidR="006F2FE5" w:rsidRDefault="006F2FE5" w:rsidP="005E63D4">
            <w:pPr>
              <w:pStyle w:val="144"/>
              <w:jc w:val="center"/>
              <w:rPr>
                <w:rFonts w:hint="eastAsia"/>
                <w:snapToGrid/>
              </w:rPr>
            </w:pPr>
            <w:r>
              <w:rPr>
                <w:rFonts w:hint="eastAsia"/>
                <w:snapToGrid/>
              </w:rPr>
              <w:t>112</w:t>
            </w:r>
          </w:p>
        </w:tc>
        <w:tc>
          <w:tcPr>
            <w:tcW w:w="1133" w:type="dxa"/>
            <w:shd w:val="clear" w:color="auto" w:fill="auto"/>
            <w:vAlign w:val="center"/>
          </w:tcPr>
          <w:p w:rsidR="006F2FE5" w:rsidRPr="00770438" w:rsidRDefault="006F2FE5" w:rsidP="00A94EA8">
            <w:pPr>
              <w:pStyle w:val="144"/>
              <w:jc w:val="right"/>
              <w:rPr>
                <w:rFonts w:hint="eastAsia"/>
                <w:snapToGrid/>
                <w:color w:val="000000"/>
              </w:rPr>
            </w:pPr>
            <w:r w:rsidRPr="00770438">
              <w:rPr>
                <w:rFonts w:hint="eastAsia"/>
                <w:snapToGrid/>
                <w:color w:val="000000"/>
              </w:rPr>
              <w:t>1</w:t>
            </w:r>
            <w:r w:rsidRPr="00770438">
              <w:rPr>
                <w:snapToGrid/>
                <w:color w:val="000000"/>
              </w:rPr>
              <w:t>,260</w:t>
            </w:r>
          </w:p>
        </w:tc>
        <w:tc>
          <w:tcPr>
            <w:tcW w:w="1030" w:type="dxa"/>
            <w:shd w:val="clear" w:color="auto" w:fill="auto"/>
            <w:vAlign w:val="center"/>
          </w:tcPr>
          <w:p w:rsidR="006F2FE5" w:rsidRPr="00770438" w:rsidRDefault="006F2FE5" w:rsidP="00A94EA8">
            <w:pPr>
              <w:pStyle w:val="144"/>
              <w:jc w:val="right"/>
              <w:rPr>
                <w:snapToGrid/>
                <w:color w:val="000000"/>
              </w:rPr>
            </w:pPr>
            <w:r w:rsidRPr="00770438">
              <w:rPr>
                <w:rFonts w:hint="eastAsia"/>
                <w:snapToGrid/>
                <w:color w:val="000000"/>
              </w:rPr>
              <w:t>5</w:t>
            </w:r>
            <w:r w:rsidRPr="00770438">
              <w:rPr>
                <w:snapToGrid/>
                <w:color w:val="000000"/>
              </w:rPr>
              <w:t>,457</w:t>
            </w:r>
          </w:p>
        </w:tc>
        <w:tc>
          <w:tcPr>
            <w:tcW w:w="1133" w:type="dxa"/>
            <w:shd w:val="clear" w:color="auto" w:fill="auto"/>
            <w:vAlign w:val="center"/>
          </w:tcPr>
          <w:p w:rsidR="006F2FE5" w:rsidRDefault="006F2FE5" w:rsidP="00A94EA8">
            <w:pPr>
              <w:pStyle w:val="144"/>
              <w:jc w:val="right"/>
              <w:rPr>
                <w:snapToGrid/>
              </w:rPr>
            </w:pPr>
            <w:r>
              <w:rPr>
                <w:rFonts w:hint="eastAsia"/>
                <w:snapToGrid/>
              </w:rPr>
              <w:t>6</w:t>
            </w:r>
            <w:r>
              <w:rPr>
                <w:snapToGrid/>
              </w:rPr>
              <w:t>,567</w:t>
            </w:r>
          </w:p>
        </w:tc>
        <w:tc>
          <w:tcPr>
            <w:tcW w:w="1390" w:type="dxa"/>
            <w:shd w:val="clear" w:color="auto" w:fill="auto"/>
            <w:vAlign w:val="center"/>
          </w:tcPr>
          <w:p w:rsidR="006F2FE5" w:rsidRDefault="006F2FE5" w:rsidP="00A94EA8">
            <w:pPr>
              <w:pStyle w:val="144"/>
              <w:jc w:val="right"/>
              <w:rPr>
                <w:rFonts w:hint="eastAsia"/>
                <w:snapToGrid/>
              </w:rPr>
            </w:pPr>
            <w:r>
              <w:rPr>
                <w:rFonts w:hint="eastAsia"/>
                <w:snapToGrid/>
              </w:rPr>
              <w:t>1</w:t>
            </w:r>
            <w:r>
              <w:rPr>
                <w:snapToGrid/>
              </w:rPr>
              <w:t>50</w:t>
            </w:r>
          </w:p>
        </w:tc>
        <w:tc>
          <w:tcPr>
            <w:tcW w:w="992" w:type="dxa"/>
            <w:vAlign w:val="center"/>
          </w:tcPr>
          <w:p w:rsidR="006F2FE5" w:rsidRDefault="006F2FE5" w:rsidP="00A94EA8">
            <w:pPr>
              <w:pStyle w:val="144"/>
              <w:jc w:val="right"/>
              <w:rPr>
                <w:rFonts w:hint="eastAsia"/>
                <w:snapToGrid/>
              </w:rPr>
            </w:pPr>
            <w:r>
              <w:rPr>
                <w:rFonts w:hint="eastAsia"/>
                <w:snapToGrid/>
              </w:rPr>
              <w:t>3</w:t>
            </w:r>
            <w:r>
              <w:rPr>
                <w:snapToGrid/>
              </w:rPr>
              <w:t>.07</w:t>
            </w:r>
          </w:p>
        </w:tc>
        <w:tc>
          <w:tcPr>
            <w:tcW w:w="1134" w:type="dxa"/>
            <w:vAlign w:val="center"/>
          </w:tcPr>
          <w:p w:rsidR="006F2FE5" w:rsidRDefault="006F2FE5" w:rsidP="00C2029E">
            <w:pPr>
              <w:pStyle w:val="144"/>
              <w:jc w:val="right"/>
              <w:rPr>
                <w:rFonts w:hint="eastAsia"/>
                <w:snapToGrid/>
              </w:rPr>
            </w:pPr>
            <w:r>
              <w:rPr>
                <w:rFonts w:hint="eastAsia"/>
                <w:snapToGrid/>
              </w:rPr>
              <w:t>6</w:t>
            </w:r>
            <w:r>
              <w:rPr>
                <w:snapToGrid/>
              </w:rPr>
              <w:t>0,585</w:t>
            </w:r>
          </w:p>
        </w:tc>
      </w:tr>
      <w:tr w:rsidR="00935224" w:rsidRPr="00223F22" w:rsidTr="000F0390">
        <w:trPr>
          <w:trHeight w:val="312"/>
        </w:trPr>
        <w:tc>
          <w:tcPr>
            <w:tcW w:w="1145" w:type="dxa"/>
            <w:shd w:val="clear" w:color="auto" w:fill="auto"/>
            <w:vAlign w:val="center"/>
          </w:tcPr>
          <w:p w:rsidR="00935224" w:rsidRDefault="00935224" w:rsidP="005E63D4">
            <w:pPr>
              <w:pStyle w:val="144"/>
              <w:jc w:val="center"/>
              <w:rPr>
                <w:rFonts w:hint="eastAsia"/>
                <w:snapToGrid/>
              </w:rPr>
            </w:pPr>
            <w:r>
              <w:rPr>
                <w:rFonts w:hint="eastAsia"/>
                <w:snapToGrid/>
              </w:rPr>
              <w:t>合計</w:t>
            </w:r>
          </w:p>
        </w:tc>
        <w:tc>
          <w:tcPr>
            <w:tcW w:w="1133" w:type="dxa"/>
            <w:shd w:val="clear" w:color="auto" w:fill="auto"/>
            <w:vAlign w:val="center"/>
          </w:tcPr>
          <w:p w:rsidR="00935224" w:rsidRDefault="006F2FE5" w:rsidP="006F2FE5">
            <w:pPr>
              <w:pStyle w:val="144"/>
              <w:jc w:val="right"/>
              <w:rPr>
                <w:rFonts w:hint="eastAsia"/>
                <w:snapToGrid/>
              </w:rPr>
            </w:pPr>
            <w:r>
              <w:rPr>
                <w:rFonts w:hint="eastAsia"/>
                <w:snapToGrid/>
              </w:rPr>
              <w:t>1</w:t>
            </w:r>
            <w:r>
              <w:rPr>
                <w:snapToGrid/>
              </w:rPr>
              <w:t>7</w:t>
            </w:r>
            <w:r w:rsidR="00935224">
              <w:rPr>
                <w:rFonts w:hint="eastAsia"/>
                <w:snapToGrid/>
              </w:rPr>
              <w:t>,</w:t>
            </w:r>
            <w:r>
              <w:rPr>
                <w:snapToGrid/>
              </w:rPr>
              <w:t>744</w:t>
            </w:r>
          </w:p>
        </w:tc>
        <w:tc>
          <w:tcPr>
            <w:tcW w:w="1030" w:type="dxa"/>
            <w:shd w:val="clear" w:color="auto" w:fill="auto"/>
            <w:vAlign w:val="center"/>
          </w:tcPr>
          <w:p w:rsidR="00935224" w:rsidRDefault="00935224" w:rsidP="006F2FE5">
            <w:pPr>
              <w:pStyle w:val="144"/>
              <w:jc w:val="right"/>
              <w:rPr>
                <w:snapToGrid/>
              </w:rPr>
            </w:pPr>
            <w:r>
              <w:rPr>
                <w:rFonts w:hint="eastAsia"/>
                <w:snapToGrid/>
              </w:rPr>
              <w:t>1</w:t>
            </w:r>
            <w:r w:rsidR="006F2FE5">
              <w:rPr>
                <w:snapToGrid/>
              </w:rPr>
              <w:t>33</w:t>
            </w:r>
            <w:r>
              <w:rPr>
                <w:snapToGrid/>
              </w:rPr>
              <w:t>,</w:t>
            </w:r>
            <w:r w:rsidR="006F2FE5">
              <w:rPr>
                <w:snapToGrid/>
              </w:rPr>
              <w:t>073</w:t>
            </w:r>
          </w:p>
        </w:tc>
        <w:tc>
          <w:tcPr>
            <w:tcW w:w="1133" w:type="dxa"/>
            <w:shd w:val="clear" w:color="auto" w:fill="auto"/>
            <w:vAlign w:val="center"/>
          </w:tcPr>
          <w:p w:rsidR="00935224" w:rsidRDefault="00935224" w:rsidP="006F2FE5">
            <w:pPr>
              <w:pStyle w:val="144"/>
              <w:jc w:val="right"/>
              <w:rPr>
                <w:snapToGrid/>
              </w:rPr>
            </w:pPr>
            <w:r>
              <w:rPr>
                <w:rFonts w:hint="eastAsia"/>
                <w:snapToGrid/>
              </w:rPr>
              <w:t>1</w:t>
            </w:r>
            <w:r w:rsidR="006F2FE5">
              <w:rPr>
                <w:snapToGrid/>
              </w:rPr>
              <w:t>36</w:t>
            </w:r>
            <w:r>
              <w:rPr>
                <w:snapToGrid/>
              </w:rPr>
              <w:t>,</w:t>
            </w:r>
            <w:r w:rsidR="006F2FE5">
              <w:rPr>
                <w:snapToGrid/>
              </w:rPr>
              <w:t>297</w:t>
            </w:r>
          </w:p>
        </w:tc>
        <w:tc>
          <w:tcPr>
            <w:tcW w:w="1390" w:type="dxa"/>
            <w:shd w:val="clear" w:color="auto" w:fill="auto"/>
            <w:vAlign w:val="center"/>
          </w:tcPr>
          <w:p w:rsidR="00935224" w:rsidRDefault="00935224" w:rsidP="006F2FE5">
            <w:pPr>
              <w:pStyle w:val="144"/>
              <w:jc w:val="right"/>
              <w:rPr>
                <w:rFonts w:hint="eastAsia"/>
                <w:snapToGrid/>
              </w:rPr>
            </w:pPr>
            <w:r>
              <w:rPr>
                <w:rFonts w:hint="eastAsia"/>
                <w:snapToGrid/>
              </w:rPr>
              <w:t>1</w:t>
            </w:r>
            <w:r w:rsidR="006F2FE5">
              <w:rPr>
                <w:snapToGrid/>
              </w:rPr>
              <w:t>4</w:t>
            </w:r>
            <w:r>
              <w:rPr>
                <w:snapToGrid/>
              </w:rPr>
              <w:t>,</w:t>
            </w:r>
            <w:r w:rsidR="006F2FE5">
              <w:rPr>
                <w:snapToGrid/>
              </w:rPr>
              <w:t>522</w:t>
            </w:r>
          </w:p>
        </w:tc>
        <w:tc>
          <w:tcPr>
            <w:tcW w:w="992" w:type="dxa"/>
            <w:vAlign w:val="center"/>
          </w:tcPr>
          <w:p w:rsidR="00935224" w:rsidRDefault="006F2FE5" w:rsidP="006F2FE5">
            <w:pPr>
              <w:pStyle w:val="144"/>
              <w:jc w:val="right"/>
              <w:rPr>
                <w:rFonts w:hint="eastAsia"/>
                <w:snapToGrid/>
              </w:rPr>
            </w:pPr>
            <w:r>
              <w:rPr>
                <w:snapToGrid/>
              </w:rPr>
              <w:t>201</w:t>
            </w:r>
            <w:r w:rsidR="00935224">
              <w:rPr>
                <w:snapToGrid/>
              </w:rPr>
              <w:t>.</w:t>
            </w:r>
            <w:r>
              <w:rPr>
                <w:snapToGrid/>
              </w:rPr>
              <w:t>06</w:t>
            </w:r>
          </w:p>
        </w:tc>
        <w:tc>
          <w:tcPr>
            <w:tcW w:w="1134" w:type="dxa"/>
            <w:vAlign w:val="center"/>
          </w:tcPr>
          <w:p w:rsidR="00935224" w:rsidRDefault="00935224" w:rsidP="00A94EA8">
            <w:pPr>
              <w:pStyle w:val="144"/>
              <w:jc w:val="right"/>
              <w:rPr>
                <w:rFonts w:hint="eastAsia"/>
                <w:snapToGrid/>
              </w:rPr>
            </w:pPr>
            <w:r>
              <w:rPr>
                <w:rFonts w:hint="eastAsia"/>
                <w:snapToGrid/>
              </w:rPr>
              <w:t>-</w:t>
            </w:r>
          </w:p>
        </w:tc>
      </w:tr>
    </w:tbl>
    <w:p w:rsidR="000D26F6" w:rsidRDefault="000D26F6" w:rsidP="009D41C1">
      <w:pPr>
        <w:pStyle w:val="144"/>
        <w:ind w:leftChars="200" w:left="2028" w:hangingChars="600" w:hanging="1461"/>
        <w:jc w:val="both"/>
        <w:rPr>
          <w:rFonts w:hint="eastAsia"/>
          <w:snapToGrid/>
        </w:rPr>
      </w:pPr>
      <w:r>
        <w:rPr>
          <w:rFonts w:hint="eastAsia"/>
          <w:snapToGrid/>
        </w:rPr>
        <w:t>說    明：1.</w:t>
      </w:r>
      <w:r w:rsidR="007E011B" w:rsidRPr="007E011B">
        <w:rPr>
          <w:rFonts w:hint="eastAsia"/>
          <w:snapToGrid/>
        </w:rPr>
        <w:t>109年度節省利息0.67億元，係提前償還當年度債務430億元產生。</w:t>
      </w:r>
    </w:p>
    <w:p w:rsidR="00935224" w:rsidRDefault="007E011B" w:rsidP="00CF67A4">
      <w:pPr>
        <w:pStyle w:val="144"/>
        <w:ind w:leftChars="200" w:left="2028" w:hangingChars="600" w:hanging="1461"/>
        <w:jc w:val="both"/>
        <w:rPr>
          <w:rFonts w:hint="eastAsia"/>
          <w:snapToGrid/>
        </w:rPr>
      </w:pPr>
      <w:r>
        <w:rPr>
          <w:rFonts w:hint="eastAsia"/>
          <w:snapToGrid/>
        </w:rPr>
        <w:t xml:space="preserve"> </w:t>
      </w:r>
      <w:r w:rsidR="00A72AC4">
        <w:rPr>
          <w:snapToGrid/>
        </w:rPr>
        <w:t xml:space="preserve">         </w:t>
      </w:r>
      <w:r w:rsidR="000D26F6">
        <w:rPr>
          <w:rFonts w:hint="eastAsia"/>
          <w:snapToGrid/>
        </w:rPr>
        <w:t>2.</w:t>
      </w:r>
      <w:r w:rsidR="006F2FE5">
        <w:rPr>
          <w:rFonts w:hint="eastAsia"/>
          <w:snapToGrid/>
        </w:rPr>
        <w:t>1</w:t>
      </w:r>
      <w:r w:rsidR="006F2FE5">
        <w:rPr>
          <w:snapToGrid/>
        </w:rPr>
        <w:t>11</w:t>
      </w:r>
      <w:r w:rsidR="00935224">
        <w:rPr>
          <w:rFonts w:hint="eastAsia"/>
          <w:snapToGrid/>
        </w:rPr>
        <w:t>年度之前為決算</w:t>
      </w:r>
      <w:r w:rsidR="009B07E9">
        <w:rPr>
          <w:rFonts w:hint="eastAsia"/>
          <w:snapToGrid/>
        </w:rPr>
        <w:t>審定</w:t>
      </w:r>
      <w:r w:rsidR="00935224">
        <w:rPr>
          <w:rFonts w:hint="eastAsia"/>
          <w:snapToGrid/>
        </w:rPr>
        <w:t>數，11</w:t>
      </w:r>
      <w:r w:rsidR="006F2FE5">
        <w:rPr>
          <w:snapToGrid/>
        </w:rPr>
        <w:t>2</w:t>
      </w:r>
      <w:r w:rsidR="00935224">
        <w:rPr>
          <w:rFonts w:hint="eastAsia"/>
          <w:snapToGrid/>
        </w:rPr>
        <w:t>年度為院編決算數。</w:t>
      </w:r>
    </w:p>
    <w:p w:rsidR="009D4AF8" w:rsidRDefault="009D4AF8" w:rsidP="00A72AC4">
      <w:pPr>
        <w:pStyle w:val="144"/>
        <w:ind w:leftChars="200" w:left="2028" w:hangingChars="600" w:hanging="1461"/>
        <w:rPr>
          <w:rFonts w:hint="eastAsia"/>
          <w:snapToGrid/>
        </w:rPr>
      </w:pPr>
      <w:r>
        <w:rPr>
          <w:rFonts w:hint="eastAsia"/>
          <w:snapToGrid/>
        </w:rPr>
        <w:t>資料來源：</w:t>
      </w:r>
      <w:r w:rsidR="009569A9">
        <w:rPr>
          <w:rFonts w:hint="eastAsia"/>
          <w:snapToGrid/>
        </w:rPr>
        <w:t>財政部</w:t>
      </w:r>
      <w:r w:rsidR="009E7630">
        <w:rPr>
          <w:rFonts w:hint="eastAsia"/>
          <w:snapToGrid/>
        </w:rPr>
        <w:t>國庫署</w:t>
      </w:r>
      <w:r>
        <w:rPr>
          <w:rFonts w:hint="eastAsia"/>
          <w:snapToGrid/>
        </w:rPr>
        <w:t>。</w:t>
      </w:r>
    </w:p>
    <w:p w:rsidR="00D4303F" w:rsidRPr="00E019B6" w:rsidRDefault="00E019B6" w:rsidP="00E019B6">
      <w:pPr>
        <w:pStyle w:val="a4"/>
        <w:ind w:left="851" w:hanging="284"/>
        <w:rPr>
          <w:rFonts w:hAnsi="標楷體" w:hint="eastAsia"/>
          <w:b/>
        </w:rPr>
      </w:pPr>
      <w:r>
        <w:rPr>
          <w:rFonts w:hAnsi="標楷體" w:hint="eastAsia"/>
          <w:b/>
        </w:rPr>
        <w:t>(三)</w:t>
      </w:r>
      <w:r w:rsidR="00A83FE0">
        <w:rPr>
          <w:rFonts w:hAnsi="標楷體" w:hint="eastAsia"/>
          <w:b/>
        </w:rPr>
        <w:t>截至113年</w:t>
      </w:r>
      <w:r w:rsidR="00B77A6B">
        <w:rPr>
          <w:rFonts w:hAnsi="標楷體" w:hint="eastAsia"/>
          <w:b/>
        </w:rPr>
        <w:t>6</w:t>
      </w:r>
      <w:r w:rsidR="00A83FE0">
        <w:rPr>
          <w:rFonts w:hAnsi="標楷體" w:hint="eastAsia"/>
          <w:b/>
        </w:rPr>
        <w:t>月底止，中央政府1年以上債務未償餘額加權平均利率低於</w:t>
      </w:r>
      <w:r w:rsidR="00BB144A" w:rsidRPr="00BB144A">
        <w:rPr>
          <w:rFonts w:hAnsi="標楷體" w:hint="eastAsia"/>
          <w:b/>
        </w:rPr>
        <w:t>本國</w:t>
      </w:r>
      <w:r w:rsidR="005A23BF" w:rsidRPr="005A23BF">
        <w:rPr>
          <w:rFonts w:hAnsi="標楷體" w:hint="eastAsia"/>
          <w:b/>
        </w:rPr>
        <w:t>五大銀行新承做放款平均利率</w:t>
      </w:r>
      <w:r>
        <w:rPr>
          <w:rFonts w:hAnsi="標楷體" w:hint="eastAsia"/>
          <w:b/>
        </w:rPr>
        <w:t>，</w:t>
      </w:r>
      <w:r w:rsidR="00BB144A">
        <w:rPr>
          <w:rFonts w:hAnsi="標楷體" w:hint="eastAsia"/>
          <w:b/>
        </w:rPr>
        <w:t>加以</w:t>
      </w:r>
      <w:r w:rsidR="00AB3ED2">
        <w:rPr>
          <w:rFonts w:hAnsi="標楷體" w:hint="eastAsia"/>
          <w:b/>
        </w:rPr>
        <w:t>中央銀</w:t>
      </w:r>
      <w:r>
        <w:rPr>
          <w:rFonts w:hAnsi="標楷體" w:hint="eastAsia"/>
          <w:b/>
        </w:rPr>
        <w:t>行</w:t>
      </w:r>
      <w:r w:rsidR="00C86C1C">
        <w:rPr>
          <w:rFonts w:hAnsi="標楷體" w:hint="eastAsia"/>
          <w:b/>
        </w:rPr>
        <w:t>近期</w:t>
      </w:r>
      <w:r w:rsidR="00CD344B">
        <w:rPr>
          <w:rFonts w:hAnsi="標楷體" w:hint="eastAsia"/>
          <w:b/>
        </w:rPr>
        <w:t>採較為緊縮</w:t>
      </w:r>
      <w:r w:rsidR="00F431E0">
        <w:rPr>
          <w:rFonts w:hAnsi="標楷體" w:hint="eastAsia"/>
          <w:b/>
        </w:rPr>
        <w:t>之貨幣管理措施</w:t>
      </w:r>
      <w:r>
        <w:rPr>
          <w:rFonts w:hAnsi="標楷體" w:hint="eastAsia"/>
          <w:b/>
        </w:rPr>
        <w:t>，</w:t>
      </w:r>
      <w:r w:rsidR="00AB3ED2" w:rsidRPr="00AB3ED2">
        <w:rPr>
          <w:rFonts w:hAnsi="標楷體" w:hint="eastAsia"/>
          <w:b/>
        </w:rPr>
        <w:t>允宜密切注意市場利率走向，以提升債務基金財務運作效能</w:t>
      </w:r>
    </w:p>
    <w:p w:rsidR="00CD0189" w:rsidRDefault="004A626A" w:rsidP="004A626A">
      <w:pPr>
        <w:pStyle w:val="123"/>
        <w:ind w:left="1133" w:hanging="283"/>
        <w:rPr>
          <w:rFonts w:hAnsi="標楷體"/>
        </w:rPr>
      </w:pPr>
      <w:r>
        <w:rPr>
          <w:rFonts w:hAnsi="標楷體" w:hint="eastAsia"/>
        </w:rPr>
        <w:t>1.從表</w:t>
      </w:r>
      <w:r w:rsidR="00AB3ED2">
        <w:rPr>
          <w:rFonts w:hAnsi="標楷體" w:hint="eastAsia"/>
        </w:rPr>
        <w:t>3-3</w:t>
      </w:r>
      <w:r>
        <w:rPr>
          <w:rFonts w:hAnsi="標楷體" w:hint="eastAsia"/>
        </w:rPr>
        <w:t>-1可悉，</w:t>
      </w:r>
      <w:r w:rsidR="00594805">
        <w:rPr>
          <w:rFonts w:hAnsi="標楷體" w:hint="eastAsia"/>
        </w:rPr>
        <w:t>近10年</w:t>
      </w:r>
      <w:r w:rsidR="00AB3ED2">
        <w:rPr>
          <w:rFonts w:hAnsi="標楷體" w:hint="eastAsia"/>
        </w:rPr>
        <w:t>(103至112年度)</w:t>
      </w:r>
      <w:r w:rsidR="004F48EC">
        <w:rPr>
          <w:rFonts w:hAnsi="標楷體" w:hint="eastAsia"/>
        </w:rPr>
        <w:t>間</w:t>
      </w:r>
      <w:r>
        <w:rPr>
          <w:rFonts w:hAnsi="標楷體" w:hint="eastAsia"/>
        </w:rPr>
        <w:t>每年</w:t>
      </w:r>
      <w:r w:rsidR="00C33467">
        <w:rPr>
          <w:rFonts w:hAnsi="標楷體" w:hint="eastAsia"/>
        </w:rPr>
        <w:t>總預算撥入</w:t>
      </w:r>
      <w:r w:rsidR="004F48EC">
        <w:rPr>
          <w:rFonts w:hAnsi="標楷體" w:hint="eastAsia"/>
        </w:rPr>
        <w:t>之債務</w:t>
      </w:r>
      <w:r w:rsidR="00C33467">
        <w:rPr>
          <w:rFonts w:hAnsi="標楷體" w:hint="eastAsia"/>
        </w:rPr>
        <w:t>還本數</w:t>
      </w:r>
      <w:r w:rsidR="00483BBC">
        <w:rPr>
          <w:rFonts w:hAnsi="標楷體" w:hint="eastAsia"/>
        </w:rPr>
        <w:t>除110至112年度均逾1</w:t>
      </w:r>
      <w:r w:rsidR="00483BBC">
        <w:rPr>
          <w:rFonts w:hAnsi="標楷體"/>
        </w:rPr>
        <w:t>,200</w:t>
      </w:r>
      <w:r w:rsidR="00483BBC">
        <w:rPr>
          <w:rFonts w:hAnsi="標楷體" w:hint="eastAsia"/>
        </w:rPr>
        <w:t>億元</w:t>
      </w:r>
      <w:r w:rsidR="00594805">
        <w:rPr>
          <w:rFonts w:hAnsi="標楷體" w:hint="eastAsia"/>
        </w:rPr>
        <w:t>外</w:t>
      </w:r>
      <w:r w:rsidR="00483BBC">
        <w:rPr>
          <w:rFonts w:hAnsi="標楷體" w:hint="eastAsia"/>
        </w:rPr>
        <w:t>，其餘年度</w:t>
      </w:r>
      <w:r>
        <w:rPr>
          <w:rFonts w:hAnsi="標楷體" w:hint="eastAsia"/>
        </w:rPr>
        <w:t>約為6</w:t>
      </w:r>
      <w:r w:rsidR="00594805">
        <w:rPr>
          <w:rFonts w:hAnsi="標楷體" w:hint="eastAsia"/>
        </w:rPr>
        <w:t>4</w:t>
      </w:r>
      <w:r>
        <w:rPr>
          <w:rFonts w:hAnsi="標楷體" w:hint="eastAsia"/>
        </w:rPr>
        <w:t>0億元至</w:t>
      </w:r>
      <w:r w:rsidR="00594805">
        <w:rPr>
          <w:rFonts w:hAnsi="標楷體" w:hint="eastAsia"/>
        </w:rPr>
        <w:t>885</w:t>
      </w:r>
      <w:r>
        <w:rPr>
          <w:rFonts w:hAnsi="標楷體" w:hint="eastAsia"/>
        </w:rPr>
        <w:t>億元</w:t>
      </w:r>
      <w:r w:rsidR="00C33467">
        <w:rPr>
          <w:rFonts w:hAnsi="標楷體" w:hint="eastAsia"/>
        </w:rPr>
        <w:t>間</w:t>
      </w:r>
      <w:r>
        <w:rPr>
          <w:rFonts w:hAnsi="標楷體" w:hint="eastAsia"/>
        </w:rPr>
        <w:t>，遠低於當年度</w:t>
      </w:r>
      <w:r w:rsidR="00C33467">
        <w:rPr>
          <w:rFonts w:hAnsi="標楷體" w:hint="eastAsia"/>
        </w:rPr>
        <w:t>需償還</w:t>
      </w:r>
      <w:r>
        <w:rPr>
          <w:rFonts w:hAnsi="標楷體" w:hint="eastAsia"/>
        </w:rPr>
        <w:t>債務</w:t>
      </w:r>
      <w:r w:rsidR="00C33467">
        <w:rPr>
          <w:rFonts w:hAnsi="標楷體" w:hint="eastAsia"/>
        </w:rPr>
        <w:t>數</w:t>
      </w:r>
      <w:r>
        <w:rPr>
          <w:rFonts w:hAnsi="標楷體" w:hint="eastAsia"/>
        </w:rPr>
        <w:t>，</w:t>
      </w:r>
      <w:r w:rsidR="00C33467">
        <w:rPr>
          <w:rFonts w:hAnsi="標楷體" w:hint="eastAsia"/>
        </w:rPr>
        <w:t>爰</w:t>
      </w:r>
      <w:r w:rsidR="00594805">
        <w:rPr>
          <w:rFonts w:hAnsi="標楷體" w:hint="eastAsia"/>
        </w:rPr>
        <w:t>近10</w:t>
      </w:r>
      <w:r w:rsidR="00C33467">
        <w:rPr>
          <w:rFonts w:hAnsi="標楷體" w:hint="eastAsia"/>
        </w:rPr>
        <w:t>年</w:t>
      </w:r>
      <w:r w:rsidR="004F48EC">
        <w:rPr>
          <w:rFonts w:hAnsi="標楷體" w:hint="eastAsia"/>
        </w:rPr>
        <w:t>間</w:t>
      </w:r>
      <w:r>
        <w:rPr>
          <w:rFonts w:hAnsi="標楷體" w:hint="eastAsia"/>
        </w:rPr>
        <w:t>債務基金舉新還舊</w:t>
      </w:r>
      <w:r w:rsidR="00C33467">
        <w:rPr>
          <w:rFonts w:hAnsi="標楷體" w:hint="eastAsia"/>
        </w:rPr>
        <w:t>數居高不下，金額介於</w:t>
      </w:r>
      <w:r>
        <w:rPr>
          <w:rFonts w:hAnsi="標楷體" w:hint="eastAsia"/>
        </w:rPr>
        <w:t>5</w:t>
      </w:r>
      <w:r w:rsidR="00C33467">
        <w:rPr>
          <w:rFonts w:hAnsi="標楷體"/>
        </w:rPr>
        <w:t>,</w:t>
      </w:r>
      <w:r w:rsidR="00DA25F1">
        <w:rPr>
          <w:rFonts w:hAnsi="標楷體"/>
        </w:rPr>
        <w:t>457</w:t>
      </w:r>
      <w:r w:rsidR="00C33467">
        <w:rPr>
          <w:rFonts w:hAnsi="標楷體" w:hint="eastAsia"/>
        </w:rPr>
        <w:t>億</w:t>
      </w:r>
      <w:r>
        <w:rPr>
          <w:rFonts w:hAnsi="標楷體" w:hint="eastAsia"/>
        </w:rPr>
        <w:t>元至9</w:t>
      </w:r>
      <w:r w:rsidR="00C33467">
        <w:rPr>
          <w:rFonts w:hAnsi="標楷體"/>
        </w:rPr>
        <w:t>,</w:t>
      </w:r>
      <w:r w:rsidR="00DA25F1">
        <w:rPr>
          <w:rFonts w:hAnsi="標楷體"/>
        </w:rPr>
        <w:t>619</w:t>
      </w:r>
      <w:r>
        <w:rPr>
          <w:rFonts w:hAnsi="標楷體" w:hint="eastAsia"/>
        </w:rPr>
        <w:t>億元</w:t>
      </w:r>
      <w:r w:rsidR="00C33467">
        <w:rPr>
          <w:rFonts w:hAnsi="標楷體" w:hint="eastAsia"/>
        </w:rPr>
        <w:t>間</w:t>
      </w:r>
      <w:r>
        <w:rPr>
          <w:rFonts w:hAnsi="標楷體" w:hint="eastAsia"/>
        </w:rPr>
        <w:t>。由於債務還本數額遠低所需，致</w:t>
      </w:r>
      <w:r w:rsidR="00AB3ED2">
        <w:rPr>
          <w:rFonts w:hAnsi="標楷體" w:hint="eastAsia"/>
        </w:rPr>
        <w:t>多需舉新還舊使</w:t>
      </w:r>
      <w:r>
        <w:rPr>
          <w:rFonts w:hAnsi="標楷體" w:hint="eastAsia"/>
        </w:rPr>
        <w:t>債務長期展延且債務未償餘額持續攀升。</w:t>
      </w:r>
    </w:p>
    <w:p w:rsidR="004A626A" w:rsidRDefault="004A626A" w:rsidP="004A626A">
      <w:pPr>
        <w:pStyle w:val="123"/>
        <w:ind w:left="1133" w:hanging="283"/>
        <w:rPr>
          <w:rFonts w:hAnsi="標楷體" w:cs="標楷體"/>
          <w:szCs w:val="24"/>
        </w:rPr>
      </w:pPr>
      <w:r>
        <w:rPr>
          <w:rFonts w:hAnsi="標楷體" w:hint="eastAsia"/>
        </w:rPr>
        <w:t>2.</w:t>
      </w:r>
      <w:r w:rsidR="00AB3ED2">
        <w:rPr>
          <w:rFonts w:hAnsi="標楷體" w:hint="eastAsia"/>
        </w:rPr>
        <w:t>財政部</w:t>
      </w:r>
      <w:r>
        <w:rPr>
          <w:rFonts w:hAnsi="標楷體" w:hint="eastAsia"/>
        </w:rPr>
        <w:t>於98年訂定「</w:t>
      </w:r>
      <w:r w:rsidR="00CA2519" w:rsidRPr="00CA2519">
        <w:rPr>
          <w:rFonts w:hAnsi="標楷體" w:hint="eastAsia"/>
        </w:rPr>
        <w:t>中央公債提前償還或另發新公債調換辦法</w:t>
      </w:r>
      <w:r>
        <w:rPr>
          <w:rFonts w:hAnsi="標楷體" w:hint="eastAsia"/>
        </w:rPr>
        <w:t>」，</w:t>
      </w:r>
      <w:r w:rsidR="00AB3ED2">
        <w:rPr>
          <w:rFonts w:hAnsi="標楷體" w:hint="eastAsia"/>
        </w:rPr>
        <w:t>雖</w:t>
      </w:r>
      <w:r w:rsidR="00CA2519" w:rsidRPr="00CA2519">
        <w:rPr>
          <w:rFonts w:hAnsi="標楷體" w:hint="eastAsia"/>
        </w:rPr>
        <w:t>於99年度</w:t>
      </w:r>
      <w:r w:rsidR="00575089">
        <w:rPr>
          <w:rFonts w:hAnsi="標楷體" w:hint="eastAsia"/>
        </w:rPr>
        <w:t>辦理該次相關</w:t>
      </w:r>
      <w:r w:rsidR="00575089" w:rsidRPr="00CA2519">
        <w:rPr>
          <w:rFonts w:hAnsi="標楷體" w:hint="eastAsia"/>
        </w:rPr>
        <w:t>公告</w:t>
      </w:r>
      <w:r w:rsidR="00CA2519" w:rsidRPr="00CA2519">
        <w:rPr>
          <w:rFonts w:hAnsi="標楷體" w:hint="eastAsia"/>
        </w:rPr>
        <w:t>買回「95年度甲類第1期中央政府建設公債」等4檔公債計400億元，</w:t>
      </w:r>
      <w:r w:rsidR="00AB3ED2">
        <w:rPr>
          <w:rFonts w:hAnsi="標楷體" w:hint="eastAsia"/>
        </w:rPr>
        <w:t>惟</w:t>
      </w:r>
      <w:r w:rsidR="00CA2519" w:rsidRPr="00CA2519">
        <w:rPr>
          <w:rFonts w:hAnsi="標楷體" w:hint="eastAsia"/>
        </w:rPr>
        <w:t>實際買回</w:t>
      </w:r>
      <w:r w:rsidR="00AB3ED2">
        <w:rPr>
          <w:rFonts w:hAnsi="標楷體" w:hint="eastAsia"/>
        </w:rPr>
        <w:t>僅</w:t>
      </w:r>
      <w:r w:rsidR="00CA2519" w:rsidRPr="00CA2519">
        <w:rPr>
          <w:rFonts w:hAnsi="標楷體" w:hint="eastAsia"/>
        </w:rPr>
        <w:t>20</w:t>
      </w:r>
      <w:r w:rsidR="007179E4">
        <w:rPr>
          <w:rFonts w:hAnsi="標楷體" w:hint="eastAsia"/>
        </w:rPr>
        <w:t>億元，節省利</w:t>
      </w:r>
      <w:r w:rsidR="00CA2519" w:rsidRPr="00CA2519">
        <w:rPr>
          <w:rFonts w:hAnsi="標楷體" w:hint="eastAsia"/>
        </w:rPr>
        <w:t>息支出30</w:t>
      </w:r>
      <w:r w:rsidR="00AB3ED2">
        <w:rPr>
          <w:rFonts w:hAnsi="標楷體" w:hint="eastAsia"/>
        </w:rPr>
        <w:t>萬餘元，且截至113年6月底，並未</w:t>
      </w:r>
      <w:r w:rsidR="00CA2519" w:rsidRPr="00CA2519">
        <w:rPr>
          <w:rFonts w:hAnsi="標楷體" w:hint="eastAsia"/>
        </w:rPr>
        <w:t>再予辦理</w:t>
      </w:r>
      <w:r w:rsidR="00CA2519" w:rsidRPr="009B1215">
        <w:rPr>
          <w:rFonts w:hAnsi="標楷體" w:cs="標楷體" w:hint="eastAsia"/>
          <w:szCs w:val="24"/>
        </w:rPr>
        <w:t>。</w:t>
      </w:r>
      <w:r w:rsidR="00AB3ED2">
        <w:rPr>
          <w:rFonts w:hAnsi="標楷體" w:cs="標楷體" w:hint="eastAsia"/>
          <w:szCs w:val="24"/>
        </w:rPr>
        <w:t>詢據該部說明，</w:t>
      </w:r>
      <w:r w:rsidR="00CA2519" w:rsidRPr="009B1215">
        <w:rPr>
          <w:rFonts w:hAnsi="標楷體" w:cs="標楷體" w:hint="eastAsia"/>
          <w:szCs w:val="24"/>
        </w:rPr>
        <w:t>主要係因早期政府公債之年息遠高於目前市場利率，公債持有者惜售，影響交易商賣回意願，轉換高利率債務為低利率債務之財務運作執行不易，爰近年均以提前償還中長期借款為主要財務運作方式，</w:t>
      </w:r>
      <w:r w:rsidR="00CA2519">
        <w:rPr>
          <w:rFonts w:hAnsi="標楷體" w:cs="標楷體" w:hint="eastAsia"/>
          <w:szCs w:val="24"/>
        </w:rPr>
        <w:t>如</w:t>
      </w:r>
      <w:r w:rsidR="00CA2519" w:rsidRPr="009B1215">
        <w:rPr>
          <w:rFonts w:hAnsi="標楷體" w:cs="標楷體" w:hint="eastAsia"/>
          <w:szCs w:val="24"/>
        </w:rPr>
        <w:t>1</w:t>
      </w:r>
      <w:r w:rsidR="00DA25F1">
        <w:rPr>
          <w:rFonts w:hAnsi="標楷體" w:cs="標楷體"/>
          <w:szCs w:val="24"/>
        </w:rPr>
        <w:t>12</w:t>
      </w:r>
      <w:r w:rsidR="00CA2519" w:rsidRPr="009B1215">
        <w:rPr>
          <w:rFonts w:hAnsi="標楷體" w:cs="標楷體" w:hint="eastAsia"/>
          <w:szCs w:val="24"/>
        </w:rPr>
        <w:t>年度提前償還當年度</w:t>
      </w:r>
      <w:r w:rsidR="00423A5C">
        <w:rPr>
          <w:rFonts w:hAnsi="標楷體" w:cs="標楷體" w:hint="eastAsia"/>
          <w:szCs w:val="24"/>
        </w:rPr>
        <w:t>尚</w:t>
      </w:r>
      <w:r w:rsidR="00CA2519" w:rsidRPr="009B1215">
        <w:rPr>
          <w:rFonts w:hAnsi="標楷體" w:cs="標楷體" w:hint="eastAsia"/>
          <w:szCs w:val="24"/>
        </w:rPr>
        <w:t>未到期債務</w:t>
      </w:r>
      <w:r w:rsidR="00DA25F1">
        <w:rPr>
          <w:rFonts w:hAnsi="標楷體" w:cs="標楷體"/>
          <w:szCs w:val="24"/>
        </w:rPr>
        <w:t>310</w:t>
      </w:r>
      <w:r w:rsidR="00CA2519" w:rsidRPr="009B1215">
        <w:rPr>
          <w:rFonts w:hAnsi="標楷體" w:cs="標楷體" w:hint="eastAsia"/>
          <w:szCs w:val="24"/>
        </w:rPr>
        <w:t>億元</w:t>
      </w:r>
      <w:r w:rsidR="00AB3ED2">
        <w:rPr>
          <w:rFonts w:hAnsi="標楷體" w:cs="標楷體" w:hint="eastAsia"/>
          <w:szCs w:val="24"/>
        </w:rPr>
        <w:t>(依往例未列入</w:t>
      </w:r>
      <w:r w:rsidR="000678B0">
        <w:rPr>
          <w:rFonts w:hAnsi="標楷體" w:cs="標楷體" w:hint="eastAsia"/>
          <w:szCs w:val="24"/>
        </w:rPr>
        <w:t>表</w:t>
      </w:r>
      <w:r w:rsidR="00AB3ED2">
        <w:rPr>
          <w:rFonts w:hAnsi="標楷體" w:cs="標楷體" w:hint="eastAsia"/>
          <w:szCs w:val="24"/>
        </w:rPr>
        <w:t>3-3-1)</w:t>
      </w:r>
      <w:r w:rsidR="00CA2519">
        <w:rPr>
          <w:rFonts w:hAnsi="標楷體" w:cs="標楷體" w:hint="eastAsia"/>
          <w:szCs w:val="24"/>
        </w:rPr>
        <w:t>及隔年度到期債務</w:t>
      </w:r>
      <w:r w:rsidR="00DA25F1">
        <w:rPr>
          <w:rFonts w:hAnsi="標楷體" w:cs="標楷體"/>
          <w:szCs w:val="24"/>
        </w:rPr>
        <w:t>15</w:t>
      </w:r>
      <w:r w:rsidR="00CA2519">
        <w:rPr>
          <w:rFonts w:hAnsi="標楷體" w:cs="標楷體" w:hint="eastAsia"/>
          <w:szCs w:val="24"/>
        </w:rPr>
        <w:t>0億元</w:t>
      </w:r>
      <w:r w:rsidR="00CA2519" w:rsidRPr="009B1215">
        <w:rPr>
          <w:rFonts w:hAnsi="標楷體" w:cs="標楷體" w:hint="eastAsia"/>
          <w:szCs w:val="24"/>
        </w:rPr>
        <w:t>，節省</w:t>
      </w:r>
      <w:r w:rsidR="007179E4">
        <w:rPr>
          <w:rFonts w:hAnsi="標楷體" w:cs="標楷體" w:hint="eastAsia"/>
          <w:szCs w:val="24"/>
        </w:rPr>
        <w:t>利</w:t>
      </w:r>
      <w:r w:rsidR="00CA2519" w:rsidRPr="009B1215">
        <w:rPr>
          <w:rFonts w:hAnsi="標楷體" w:cs="標楷體" w:hint="eastAsia"/>
          <w:szCs w:val="24"/>
        </w:rPr>
        <w:t>息</w:t>
      </w:r>
      <w:r w:rsidR="007179E4">
        <w:rPr>
          <w:rFonts w:hAnsi="標楷體" w:cs="標楷體" w:hint="eastAsia"/>
          <w:szCs w:val="24"/>
        </w:rPr>
        <w:t>數</w:t>
      </w:r>
      <w:r w:rsidR="00DA25F1">
        <w:rPr>
          <w:rFonts w:hAnsi="標楷體" w:cs="標楷體" w:hint="eastAsia"/>
          <w:szCs w:val="24"/>
        </w:rPr>
        <w:t>計3.07</w:t>
      </w:r>
      <w:r w:rsidR="00CA2519" w:rsidRPr="009B1215">
        <w:rPr>
          <w:rFonts w:hAnsi="標楷體" w:cs="標楷體" w:hint="eastAsia"/>
          <w:szCs w:val="24"/>
        </w:rPr>
        <w:t>億元。</w:t>
      </w:r>
    </w:p>
    <w:p w:rsidR="005A23BF" w:rsidRDefault="00CA2519" w:rsidP="007B07B5">
      <w:pPr>
        <w:pStyle w:val="123"/>
        <w:ind w:left="1133" w:hanging="283"/>
        <w:rPr>
          <w:rFonts w:hAnsi="標楷體" w:cs="標楷體"/>
          <w:szCs w:val="24"/>
        </w:rPr>
      </w:pPr>
      <w:r>
        <w:rPr>
          <w:rFonts w:hAnsi="標楷體" w:cs="標楷體" w:hint="eastAsia"/>
          <w:szCs w:val="24"/>
        </w:rPr>
        <w:t>3.</w:t>
      </w:r>
      <w:r w:rsidR="00914319">
        <w:rPr>
          <w:rFonts w:hAnsi="標楷體" w:cs="標楷體" w:hint="eastAsia"/>
          <w:szCs w:val="24"/>
        </w:rPr>
        <w:t>中央銀行統計</w:t>
      </w:r>
      <w:r w:rsidR="00914319" w:rsidRPr="005A23BF">
        <w:rPr>
          <w:rFonts w:hAnsi="標楷體" w:cs="標楷體" w:hint="eastAsia"/>
          <w:szCs w:val="24"/>
        </w:rPr>
        <w:t>113年</w:t>
      </w:r>
      <w:r w:rsidR="00914319">
        <w:rPr>
          <w:rFonts w:hAnsi="標楷體" w:cs="標楷體" w:hint="eastAsia"/>
          <w:szCs w:val="24"/>
        </w:rPr>
        <w:t>5</w:t>
      </w:r>
      <w:r w:rsidR="00914319" w:rsidRPr="005A23BF">
        <w:rPr>
          <w:rFonts w:hAnsi="標楷體" w:cs="標楷體" w:hint="eastAsia"/>
          <w:szCs w:val="24"/>
        </w:rPr>
        <w:t>月本國五大銀行(</w:t>
      </w:r>
      <w:r w:rsidR="00914319">
        <w:rPr>
          <w:rFonts w:hAnsi="標楷體" w:cs="標楷體" w:hint="eastAsia"/>
          <w:szCs w:val="24"/>
        </w:rPr>
        <w:t>臺</w:t>
      </w:r>
      <w:r w:rsidR="00914319" w:rsidRPr="005A23BF">
        <w:rPr>
          <w:rFonts w:hAnsi="標楷體" w:cs="標楷體" w:hint="eastAsia"/>
          <w:szCs w:val="24"/>
        </w:rPr>
        <w:t>銀、合庫銀、土銀、華銀及</w:t>
      </w:r>
      <w:r w:rsidR="00914319" w:rsidRPr="001437C8">
        <w:rPr>
          <w:rFonts w:hAnsi="標楷體" w:cs="標楷體" w:hint="eastAsia"/>
          <w:color w:val="000000"/>
          <w:szCs w:val="24"/>
        </w:rPr>
        <w:t>一銀)新承做放款</w:t>
      </w:r>
      <w:r w:rsidR="00914319" w:rsidRPr="001437C8">
        <w:rPr>
          <w:rStyle w:val="af7"/>
          <w:rFonts w:hAnsi="標楷體" w:cs="標楷體"/>
          <w:color w:val="000000"/>
          <w:szCs w:val="24"/>
        </w:rPr>
        <w:footnoteReference w:id="19"/>
      </w:r>
      <w:r w:rsidR="00914319" w:rsidRPr="001437C8">
        <w:rPr>
          <w:rFonts w:hAnsi="標楷體" w:cs="標楷體" w:hint="eastAsia"/>
          <w:color w:val="000000"/>
          <w:szCs w:val="24"/>
        </w:rPr>
        <w:t>(不含國庫借款)加權平均利率為2.19%，較4月之2.17%上升0.02個百分點，其中除消費性貸款利率下降外，其餘各類貸款利率均較4月上升。嗣</w:t>
      </w:r>
      <w:r w:rsidR="004F48EC" w:rsidRPr="001437C8">
        <w:rPr>
          <w:rFonts w:hAnsi="標楷體" w:cs="標楷體" w:hint="eastAsia"/>
          <w:color w:val="000000"/>
          <w:szCs w:val="24"/>
        </w:rPr>
        <w:t>依</w:t>
      </w:r>
      <w:r w:rsidR="005A23BF" w:rsidRPr="001437C8">
        <w:rPr>
          <w:rFonts w:hAnsi="標楷體" w:cs="標楷體" w:hint="eastAsia"/>
          <w:color w:val="000000"/>
          <w:szCs w:val="24"/>
        </w:rPr>
        <w:t>據國庫署</w:t>
      </w:r>
      <w:r w:rsidR="00914319" w:rsidRPr="001437C8">
        <w:rPr>
          <w:rFonts w:hAnsi="標楷體" w:cs="標楷體" w:hint="eastAsia"/>
          <w:color w:val="000000"/>
          <w:szCs w:val="24"/>
        </w:rPr>
        <w:t>資料</w:t>
      </w:r>
      <w:r w:rsidR="005A23BF" w:rsidRPr="001437C8">
        <w:rPr>
          <w:rFonts w:hAnsi="標楷體" w:cs="標楷體" w:hint="eastAsia"/>
          <w:color w:val="000000"/>
          <w:szCs w:val="24"/>
        </w:rPr>
        <w:t>，截至113年</w:t>
      </w:r>
      <w:r w:rsidR="00914319" w:rsidRPr="001437C8">
        <w:rPr>
          <w:rFonts w:hAnsi="標楷體" w:cs="標楷體" w:hint="eastAsia"/>
          <w:color w:val="000000"/>
          <w:szCs w:val="24"/>
        </w:rPr>
        <w:t>6</w:t>
      </w:r>
      <w:r w:rsidR="005A23BF" w:rsidRPr="001437C8">
        <w:rPr>
          <w:rFonts w:hAnsi="標楷體" w:cs="標楷體" w:hint="eastAsia"/>
          <w:color w:val="000000"/>
          <w:szCs w:val="24"/>
        </w:rPr>
        <w:t>月底止，中央政府1年以上債務未償餘額實際數為5兆</w:t>
      </w:r>
      <w:r w:rsidR="00914319" w:rsidRPr="001437C8">
        <w:rPr>
          <w:rFonts w:hAnsi="標楷體" w:cs="標楷體" w:hint="eastAsia"/>
          <w:color w:val="000000"/>
          <w:szCs w:val="24"/>
        </w:rPr>
        <w:t>8</w:t>
      </w:r>
      <w:r w:rsidR="005A23BF" w:rsidRPr="001437C8">
        <w:rPr>
          <w:rFonts w:hAnsi="標楷體" w:cs="標楷體" w:hint="eastAsia"/>
          <w:color w:val="000000"/>
          <w:szCs w:val="24"/>
        </w:rPr>
        <w:t>,</w:t>
      </w:r>
      <w:r w:rsidR="00914319" w:rsidRPr="001437C8">
        <w:rPr>
          <w:rFonts w:hAnsi="標楷體" w:cs="標楷體" w:hint="eastAsia"/>
          <w:color w:val="000000"/>
          <w:szCs w:val="24"/>
        </w:rPr>
        <w:t>7</w:t>
      </w:r>
      <w:r w:rsidR="005A23BF" w:rsidRPr="001437C8">
        <w:rPr>
          <w:rFonts w:hAnsi="標楷體" w:cs="標楷體" w:hint="eastAsia"/>
          <w:color w:val="000000"/>
          <w:szCs w:val="24"/>
        </w:rPr>
        <w:t>8</w:t>
      </w:r>
      <w:r w:rsidR="00914319" w:rsidRPr="001437C8">
        <w:rPr>
          <w:rFonts w:hAnsi="標楷體" w:cs="標楷體" w:hint="eastAsia"/>
          <w:color w:val="000000"/>
          <w:szCs w:val="24"/>
        </w:rPr>
        <w:t>0</w:t>
      </w:r>
      <w:r w:rsidR="005A23BF" w:rsidRPr="001437C8">
        <w:rPr>
          <w:rFonts w:hAnsi="標楷體" w:cs="標楷體" w:hint="eastAsia"/>
          <w:color w:val="000000"/>
          <w:szCs w:val="24"/>
        </w:rPr>
        <w:t>億元，其加權平均利率1.37%，</w:t>
      </w:r>
      <w:r w:rsidR="005A23BF">
        <w:rPr>
          <w:rFonts w:hAnsi="標楷體" w:cs="標楷體" w:hint="eastAsia"/>
          <w:szCs w:val="24"/>
        </w:rPr>
        <w:t>相較</w:t>
      </w:r>
      <w:r w:rsidR="00914319">
        <w:rPr>
          <w:rFonts w:hAnsi="標楷體" w:cs="標楷體" w:hint="eastAsia"/>
          <w:szCs w:val="24"/>
        </w:rPr>
        <w:t>市場利率為低</w:t>
      </w:r>
      <w:r w:rsidR="005A23BF">
        <w:rPr>
          <w:rFonts w:hAnsi="標楷體" w:cs="標楷體" w:hint="eastAsia"/>
          <w:szCs w:val="24"/>
        </w:rPr>
        <w:t>。</w:t>
      </w:r>
    </w:p>
    <w:p w:rsidR="00CA2519" w:rsidRDefault="005A23BF" w:rsidP="007B07B5">
      <w:pPr>
        <w:pStyle w:val="123"/>
        <w:ind w:left="1133" w:hanging="283"/>
        <w:rPr>
          <w:rFonts w:hAnsi="標楷體" w:cs="標楷體"/>
          <w:szCs w:val="24"/>
        </w:rPr>
      </w:pPr>
      <w:r>
        <w:rPr>
          <w:rFonts w:hAnsi="標楷體" w:cs="標楷體" w:hint="eastAsia"/>
          <w:szCs w:val="24"/>
        </w:rPr>
        <w:t>4.</w:t>
      </w:r>
      <w:r w:rsidR="00914319">
        <w:rPr>
          <w:rFonts w:hAnsi="標楷體" w:cs="標楷體" w:hint="eastAsia"/>
          <w:szCs w:val="24"/>
        </w:rPr>
        <w:t>另</w:t>
      </w:r>
      <w:r w:rsidR="008E75CE">
        <w:rPr>
          <w:rFonts w:hAnsi="標楷體" w:cs="標楷體" w:hint="eastAsia"/>
          <w:szCs w:val="24"/>
        </w:rPr>
        <w:t>中央銀行</w:t>
      </w:r>
      <w:r w:rsidR="007B07B5">
        <w:rPr>
          <w:rFonts w:hAnsi="標楷體" w:cs="標楷體" w:hint="eastAsia"/>
          <w:szCs w:val="24"/>
        </w:rPr>
        <w:t>112年報</w:t>
      </w:r>
      <w:r w:rsidR="00594805">
        <w:rPr>
          <w:rFonts w:hAnsi="標楷體" w:cs="標楷體" w:hint="eastAsia"/>
          <w:szCs w:val="24"/>
        </w:rPr>
        <w:t>指出</w:t>
      </w:r>
      <w:r w:rsidR="007B07B5">
        <w:rPr>
          <w:rFonts w:hAnsi="標楷體" w:cs="標楷體" w:hint="eastAsia"/>
          <w:szCs w:val="24"/>
        </w:rPr>
        <w:t>，109至111年間</w:t>
      </w:r>
      <w:r w:rsidR="007B07B5" w:rsidRPr="007B07B5">
        <w:rPr>
          <w:rFonts w:hAnsi="標楷體" w:cs="標楷體" w:hint="eastAsia"/>
          <w:szCs w:val="24"/>
        </w:rPr>
        <w:t>受新冠肺炎疫情、全球供應鏈瓶頸、俄烏戰爭等非預期事件接連衝擊，推升全球通膨</w:t>
      </w:r>
      <w:r w:rsidR="00594805">
        <w:rPr>
          <w:rFonts w:hAnsi="標楷體" w:cs="標楷體" w:hint="eastAsia"/>
          <w:szCs w:val="24"/>
        </w:rPr>
        <w:t>；</w:t>
      </w:r>
      <w:r w:rsidR="007B07B5">
        <w:rPr>
          <w:rFonts w:hAnsi="標楷體" w:cs="標楷體" w:hint="eastAsia"/>
          <w:szCs w:val="24"/>
        </w:rPr>
        <w:t>112年</w:t>
      </w:r>
      <w:r w:rsidR="007B07B5" w:rsidRPr="007B07B5">
        <w:rPr>
          <w:rFonts w:hAnsi="標楷體" w:cs="標楷體" w:hint="eastAsia"/>
          <w:szCs w:val="24"/>
        </w:rPr>
        <w:t>疫後生活正常化，</w:t>
      </w:r>
      <w:r w:rsidR="00575089">
        <w:rPr>
          <w:rFonts w:hAnsi="標楷體" w:cs="標楷體" w:hint="eastAsia"/>
          <w:szCs w:val="24"/>
        </w:rPr>
        <w:t>消費者物價指數(</w:t>
      </w:r>
      <w:r w:rsidR="007B07B5" w:rsidRPr="007B07B5">
        <w:rPr>
          <w:rFonts w:hAnsi="標楷體" w:cs="標楷體"/>
          <w:szCs w:val="24"/>
        </w:rPr>
        <w:t>CPI</w:t>
      </w:r>
      <w:r w:rsidR="00575089">
        <w:rPr>
          <w:rFonts w:hAnsi="標楷體" w:cs="標楷體" w:hint="eastAsia"/>
          <w:szCs w:val="24"/>
        </w:rPr>
        <w:t>)</w:t>
      </w:r>
      <w:r w:rsidR="007B07B5" w:rsidRPr="007B07B5">
        <w:rPr>
          <w:rFonts w:hAnsi="標楷體" w:cs="標楷體" w:hint="eastAsia"/>
          <w:szCs w:val="24"/>
        </w:rPr>
        <w:t>年增率雖隨著商品類價格漲幅由高點回落，惟回降速度緩慢</w:t>
      </w:r>
      <w:r w:rsidR="00594805">
        <w:rPr>
          <w:rFonts w:hAnsi="標楷體" w:cs="標楷體" w:hint="eastAsia"/>
          <w:szCs w:val="24"/>
        </w:rPr>
        <w:t>。嗣</w:t>
      </w:r>
      <w:r w:rsidR="00CE3F50">
        <w:rPr>
          <w:rFonts w:hAnsi="標楷體" w:cs="標楷體" w:hint="eastAsia"/>
          <w:szCs w:val="24"/>
        </w:rPr>
        <w:t>該行</w:t>
      </w:r>
      <w:r w:rsidR="007B07B5">
        <w:rPr>
          <w:rFonts w:hAnsi="標楷體" w:cs="標楷體" w:hint="eastAsia"/>
          <w:szCs w:val="24"/>
        </w:rPr>
        <w:t>於113</w:t>
      </w:r>
      <w:r w:rsidR="00CA2519" w:rsidRPr="00CA2519">
        <w:rPr>
          <w:rFonts w:hAnsi="標楷體" w:cs="標楷體" w:hint="eastAsia"/>
          <w:szCs w:val="24"/>
        </w:rPr>
        <w:t>年</w:t>
      </w:r>
      <w:r w:rsidR="007B07B5">
        <w:rPr>
          <w:rFonts w:hAnsi="標楷體" w:cs="標楷體" w:hint="eastAsia"/>
          <w:szCs w:val="24"/>
        </w:rPr>
        <w:t>6</w:t>
      </w:r>
      <w:r w:rsidR="00CA2519" w:rsidRPr="00CA2519">
        <w:rPr>
          <w:rFonts w:hAnsi="標楷體" w:cs="標楷體" w:hint="eastAsia"/>
          <w:szCs w:val="24"/>
        </w:rPr>
        <w:t>月1</w:t>
      </w:r>
      <w:r w:rsidR="007B07B5">
        <w:rPr>
          <w:rFonts w:hAnsi="標楷體" w:cs="標楷體" w:hint="eastAsia"/>
          <w:szCs w:val="24"/>
        </w:rPr>
        <w:t>3</w:t>
      </w:r>
      <w:r w:rsidR="00CA2519" w:rsidRPr="00CA2519">
        <w:rPr>
          <w:rFonts w:hAnsi="標楷體" w:cs="標楷體" w:hint="eastAsia"/>
          <w:szCs w:val="24"/>
        </w:rPr>
        <w:t>日</w:t>
      </w:r>
      <w:r w:rsidR="00CA2519">
        <w:rPr>
          <w:rFonts w:hAnsi="標楷體" w:cs="標楷體" w:hint="eastAsia"/>
          <w:szCs w:val="24"/>
        </w:rPr>
        <w:t>召開</w:t>
      </w:r>
      <w:r w:rsidR="00CA2519" w:rsidRPr="00CA2519">
        <w:rPr>
          <w:rFonts w:hAnsi="標楷體" w:cs="標楷體" w:hint="eastAsia"/>
          <w:szCs w:val="24"/>
        </w:rPr>
        <w:t>理監事聯席會議</w:t>
      </w:r>
      <w:r w:rsidR="00CA2519">
        <w:rPr>
          <w:rFonts w:hAnsi="標楷體" w:cs="標楷體" w:hint="eastAsia"/>
          <w:szCs w:val="24"/>
        </w:rPr>
        <w:t>，</w:t>
      </w:r>
      <w:r w:rsidR="00CA2519" w:rsidRPr="00CA2519">
        <w:rPr>
          <w:rFonts w:hAnsi="標楷體" w:cs="標楷體" w:hint="eastAsia"/>
          <w:szCs w:val="24"/>
        </w:rPr>
        <w:t>綜合國內外經濟金融情勢</w:t>
      </w:r>
      <w:r w:rsidR="00801501">
        <w:rPr>
          <w:rFonts w:hAnsi="標楷體" w:cs="標楷體" w:hint="eastAsia"/>
          <w:szCs w:val="24"/>
        </w:rPr>
        <w:t>並為降低不動產</w:t>
      </w:r>
      <w:r w:rsidR="00801501" w:rsidRPr="00801501">
        <w:rPr>
          <w:rFonts w:hAnsi="標楷體" w:cs="標楷體" w:hint="eastAsia"/>
          <w:szCs w:val="24"/>
        </w:rPr>
        <w:t>授信風險</w:t>
      </w:r>
      <w:r w:rsidR="00801501">
        <w:rPr>
          <w:rFonts w:hAnsi="標楷體" w:cs="標楷體" w:hint="eastAsia"/>
          <w:szCs w:val="24"/>
        </w:rPr>
        <w:t>等</w:t>
      </w:r>
      <w:r w:rsidR="00CA2519" w:rsidRPr="00CA2519">
        <w:rPr>
          <w:rFonts w:hAnsi="標楷體" w:cs="標楷體" w:hint="eastAsia"/>
          <w:szCs w:val="24"/>
        </w:rPr>
        <w:t>，</w:t>
      </w:r>
      <w:r w:rsidR="008E75CE">
        <w:rPr>
          <w:rFonts w:hAnsi="標楷體" w:cs="標楷體" w:hint="eastAsia"/>
          <w:szCs w:val="24"/>
        </w:rPr>
        <w:t>於同</w:t>
      </w:r>
      <w:r w:rsidR="00801501">
        <w:rPr>
          <w:rFonts w:hAnsi="標楷體" w:cs="標楷體" w:hint="eastAsia"/>
          <w:szCs w:val="24"/>
        </w:rPr>
        <w:t>年6月14日</w:t>
      </w:r>
      <w:r w:rsidR="00801501" w:rsidRPr="00801501">
        <w:rPr>
          <w:rFonts w:hAnsi="標楷體" w:cs="標楷體" w:hint="eastAsia"/>
          <w:szCs w:val="24"/>
        </w:rPr>
        <w:t>調降自然人特定地區</w:t>
      </w:r>
      <w:r w:rsidR="00801501">
        <w:rPr>
          <w:rStyle w:val="af7"/>
          <w:rFonts w:hAnsi="標楷體" w:cs="標楷體"/>
          <w:szCs w:val="24"/>
        </w:rPr>
        <w:footnoteReference w:id="20"/>
      </w:r>
      <w:r w:rsidR="00801501" w:rsidRPr="00801501">
        <w:rPr>
          <w:rFonts w:hAnsi="標楷體" w:cs="標楷體" w:hint="eastAsia"/>
          <w:szCs w:val="24"/>
        </w:rPr>
        <w:t>第2戶購屋貸款最高成數上限為6成</w:t>
      </w:r>
      <w:r w:rsidR="008E75CE">
        <w:rPr>
          <w:rFonts w:hAnsi="標楷體" w:cs="標楷體" w:hint="eastAsia"/>
          <w:szCs w:val="24"/>
        </w:rPr>
        <w:t>，並自</w:t>
      </w:r>
      <w:r w:rsidR="00801501">
        <w:rPr>
          <w:rFonts w:hAnsi="標楷體" w:cs="標楷體" w:hint="eastAsia"/>
          <w:szCs w:val="24"/>
        </w:rPr>
        <w:t>7月1日起</w:t>
      </w:r>
      <w:r w:rsidR="007B07B5" w:rsidRPr="007B07B5">
        <w:rPr>
          <w:rFonts w:hAnsi="標楷體" w:cs="標楷體" w:hint="eastAsia"/>
          <w:szCs w:val="24"/>
        </w:rPr>
        <w:t>調升</w:t>
      </w:r>
      <w:r w:rsidR="007B07B5">
        <w:rPr>
          <w:rFonts w:hAnsi="標楷體" w:cs="標楷體" w:hint="eastAsia"/>
          <w:szCs w:val="24"/>
        </w:rPr>
        <w:t>支票</w:t>
      </w:r>
      <w:r w:rsidR="007B07B5" w:rsidRPr="007B07B5">
        <w:rPr>
          <w:rFonts w:hAnsi="標楷體" w:cs="標楷體" w:hint="eastAsia"/>
          <w:szCs w:val="24"/>
        </w:rPr>
        <w:t>存款</w:t>
      </w:r>
      <w:r w:rsidR="007B07B5">
        <w:rPr>
          <w:rFonts w:hAnsi="標楷體" w:cs="標楷體" w:hint="eastAsia"/>
          <w:szCs w:val="24"/>
        </w:rPr>
        <w:t>等</w:t>
      </w:r>
      <w:r w:rsidR="007B07B5" w:rsidRPr="007B07B5">
        <w:rPr>
          <w:rFonts w:hAnsi="標楷體" w:cs="標楷體" w:hint="eastAsia"/>
          <w:szCs w:val="24"/>
        </w:rPr>
        <w:t>新</w:t>
      </w:r>
      <w:r w:rsidR="007B07B5">
        <w:rPr>
          <w:rFonts w:hAnsi="標楷體" w:cs="標楷體" w:hint="eastAsia"/>
          <w:szCs w:val="24"/>
        </w:rPr>
        <w:t>臺</w:t>
      </w:r>
      <w:r w:rsidR="007B07B5" w:rsidRPr="007B07B5">
        <w:rPr>
          <w:rFonts w:hAnsi="標楷體" w:cs="標楷體" w:hint="eastAsia"/>
          <w:szCs w:val="24"/>
        </w:rPr>
        <w:t>幣存款準備率0.25個百分點</w:t>
      </w:r>
      <w:r w:rsidR="007B07B5">
        <w:rPr>
          <w:rStyle w:val="af7"/>
          <w:rFonts w:hAnsi="標楷體" w:cs="標楷體"/>
          <w:szCs w:val="24"/>
        </w:rPr>
        <w:footnoteReference w:id="21"/>
      </w:r>
      <w:r w:rsidR="008E75CE">
        <w:rPr>
          <w:rFonts w:hAnsi="標楷體" w:cs="標楷體" w:hint="eastAsia"/>
          <w:szCs w:val="24"/>
        </w:rPr>
        <w:t>等</w:t>
      </w:r>
      <w:r w:rsidR="00F431E0">
        <w:rPr>
          <w:rFonts w:hAnsi="標楷體" w:cs="標楷體" w:hint="eastAsia"/>
          <w:szCs w:val="24"/>
        </w:rPr>
        <w:t>降低市場資金流動性</w:t>
      </w:r>
      <w:r w:rsidR="008E75CE">
        <w:rPr>
          <w:rFonts w:hAnsi="標楷體" w:cs="標楷體" w:hint="eastAsia"/>
          <w:szCs w:val="24"/>
        </w:rPr>
        <w:t>之措施</w:t>
      </w:r>
      <w:r w:rsidR="00F431E0">
        <w:rPr>
          <w:rFonts w:hAnsi="標楷體" w:cs="標楷體" w:hint="eastAsia"/>
          <w:szCs w:val="24"/>
        </w:rPr>
        <w:t>。</w:t>
      </w:r>
    </w:p>
    <w:p w:rsidR="006010B0" w:rsidRPr="00E22FF5" w:rsidRDefault="006010B0" w:rsidP="001D7C12">
      <w:pPr>
        <w:pStyle w:val="aa"/>
        <w:spacing w:line="480" w:lineRule="exact"/>
        <w:ind w:firstLine="567"/>
        <w:rPr>
          <w:rFonts w:hAnsi="標楷體" w:hint="eastAsia"/>
        </w:rPr>
      </w:pPr>
    </w:p>
    <w:p w:rsidR="0006012C" w:rsidRPr="00BE44CC" w:rsidRDefault="0006012C" w:rsidP="00876E71">
      <w:pPr>
        <w:pStyle w:val="142"/>
        <w:ind w:left="567" w:hanging="567"/>
        <w:rPr>
          <w:rFonts w:hint="eastAsia"/>
        </w:rPr>
      </w:pPr>
      <w:bookmarkStart w:id="23" w:name="_Toc173746456"/>
      <w:r>
        <w:rPr>
          <w:rFonts w:hint="eastAsia"/>
        </w:rPr>
        <w:t>伍</w:t>
      </w:r>
      <w:r w:rsidRPr="001A6BC5">
        <w:rPr>
          <w:rFonts w:hint="eastAsia"/>
        </w:rPr>
        <w:t>、</w:t>
      </w:r>
      <w:r>
        <w:rPr>
          <w:rFonts w:hint="eastAsia"/>
        </w:rPr>
        <w:t>結論與建議</w:t>
      </w:r>
      <w:bookmarkEnd w:id="23"/>
    </w:p>
    <w:p w:rsidR="00DA382C" w:rsidRDefault="00493DAE" w:rsidP="004A0E83">
      <w:pPr>
        <w:pStyle w:val="aa"/>
        <w:spacing w:line="480" w:lineRule="exact"/>
        <w:ind w:firstLine="567"/>
        <w:rPr>
          <w:rFonts w:hint="eastAsia"/>
        </w:rPr>
      </w:pPr>
      <w:r>
        <w:rPr>
          <w:rFonts w:hint="eastAsia"/>
        </w:rPr>
        <w:t>近3年我國</w:t>
      </w:r>
      <w:r w:rsidRPr="00FC2BFB">
        <w:rPr>
          <w:rFonts w:hint="eastAsia"/>
        </w:rPr>
        <w:t>中央政府</w:t>
      </w:r>
      <w:r>
        <w:rPr>
          <w:rFonts w:hint="eastAsia"/>
        </w:rPr>
        <w:t>稅收實徵數</w:t>
      </w:r>
      <w:r w:rsidR="0085561C">
        <w:rPr>
          <w:rFonts w:hint="eastAsia"/>
        </w:rPr>
        <w:t>雖</w:t>
      </w:r>
      <w:r>
        <w:rPr>
          <w:rFonts w:hint="eastAsia"/>
        </w:rPr>
        <w:t>均超逾預算數，惟因</w:t>
      </w:r>
      <w:r w:rsidRPr="00FC2BFB">
        <w:rPr>
          <w:rFonts w:hint="eastAsia"/>
        </w:rPr>
        <w:t>執行嚴重特殊傳染性肺炎防治及紓困振興、前瞻基礎建設計畫等特別預算，</w:t>
      </w:r>
      <w:r>
        <w:rPr>
          <w:rFonts w:hint="eastAsia"/>
        </w:rPr>
        <w:t>致中央政府總決算加計特別決算後多為短絀。</w:t>
      </w:r>
      <w:r w:rsidR="007E2BC9">
        <w:rPr>
          <w:rFonts w:hint="eastAsia"/>
        </w:rPr>
        <w:t>為降低</w:t>
      </w:r>
      <w:r>
        <w:rPr>
          <w:rFonts w:hint="eastAsia"/>
        </w:rPr>
        <w:t>政府舉債壓力，財政部鼓勵非營業基金透過</w:t>
      </w:r>
      <w:r w:rsidR="00C57521">
        <w:rPr>
          <w:rFonts w:hint="eastAsia"/>
        </w:rPr>
        <w:t>發行</w:t>
      </w:r>
      <w:r>
        <w:rPr>
          <w:rFonts w:hint="eastAsia"/>
        </w:rPr>
        <w:t>乙類公債籌措具自償性公共建設之財源，嗣</w:t>
      </w:r>
      <w:r w:rsidRPr="00C3254C">
        <w:rPr>
          <w:rFonts w:hint="eastAsia"/>
        </w:rPr>
        <w:t>櫃買中心110年</w:t>
      </w:r>
      <w:r>
        <w:rPr>
          <w:rFonts w:hint="eastAsia"/>
        </w:rPr>
        <w:t>間修正永續發展債券作業要點，將政府債券納入永續發展債券範疇，</w:t>
      </w:r>
      <w:r w:rsidR="00BA551F">
        <w:rPr>
          <w:rFonts w:hint="eastAsia"/>
        </w:rPr>
        <w:t>惟</w:t>
      </w:r>
      <w:r w:rsidR="000F0390" w:rsidRPr="000F0390">
        <w:rPr>
          <w:rFonts w:hint="eastAsia"/>
        </w:rPr>
        <w:t>中央政府</w:t>
      </w:r>
      <w:r w:rsidR="002E5A25">
        <w:rPr>
          <w:rFonts w:hint="eastAsia"/>
        </w:rPr>
        <w:t>一年以上公共</w:t>
      </w:r>
      <w:r w:rsidR="000F0390" w:rsidRPr="000F0390">
        <w:rPr>
          <w:rFonts w:hint="eastAsia"/>
        </w:rPr>
        <w:t>債務未償餘額實際數</w:t>
      </w:r>
      <w:r w:rsidR="00BA551F">
        <w:rPr>
          <w:rFonts w:hint="eastAsia"/>
        </w:rPr>
        <w:t>長期</w:t>
      </w:r>
      <w:r w:rsidR="000F0390" w:rsidRPr="000F0390">
        <w:rPr>
          <w:rFonts w:hint="eastAsia"/>
        </w:rPr>
        <w:t>呈現上升趨勢</w:t>
      </w:r>
      <w:r w:rsidR="002E5A25">
        <w:rPr>
          <w:rFonts w:hint="eastAsia"/>
        </w:rPr>
        <w:t>，</w:t>
      </w:r>
      <w:r w:rsidR="00DF3AC7" w:rsidRPr="00DF3AC7">
        <w:rPr>
          <w:rFonts w:hint="eastAsia"/>
        </w:rPr>
        <w:t>爰謹提出以下建議，</w:t>
      </w:r>
      <w:r w:rsidR="00DF3AC7">
        <w:rPr>
          <w:rFonts w:hint="eastAsia"/>
        </w:rPr>
        <w:t>俾</w:t>
      </w:r>
      <w:r w:rsidR="00AD4C0F">
        <w:rPr>
          <w:rFonts w:hint="eastAsia"/>
        </w:rPr>
        <w:t>供相關</w:t>
      </w:r>
      <w:r w:rsidR="004B3E65" w:rsidRPr="00FC2BFB">
        <w:rPr>
          <w:rFonts w:hint="eastAsia"/>
        </w:rPr>
        <w:t>主政機關</w:t>
      </w:r>
      <w:r w:rsidR="00AD4C0F">
        <w:rPr>
          <w:rFonts w:hint="eastAsia"/>
        </w:rPr>
        <w:t>參考</w:t>
      </w:r>
      <w:r w:rsidR="002E5A25">
        <w:rPr>
          <w:rFonts w:hint="eastAsia"/>
        </w:rPr>
        <w:t>：</w:t>
      </w:r>
    </w:p>
    <w:p w:rsidR="00F50976" w:rsidRDefault="00BC705F" w:rsidP="004A0E83">
      <w:pPr>
        <w:pStyle w:val="af1"/>
        <w:spacing w:line="480" w:lineRule="exact"/>
        <w:ind w:left="567" w:hangingChars="200" w:hanging="567"/>
      </w:pPr>
      <w:r w:rsidRPr="00290279">
        <w:rPr>
          <w:rFonts w:hint="eastAsia"/>
        </w:rPr>
        <w:t>一、</w:t>
      </w:r>
      <w:bookmarkEnd w:id="10"/>
      <w:bookmarkEnd w:id="13"/>
      <w:r w:rsidR="00E15B2F">
        <w:rPr>
          <w:rFonts w:hint="eastAsia"/>
        </w:rPr>
        <w:t>近年</w:t>
      </w:r>
      <w:r w:rsidR="00E15B2F" w:rsidRPr="003F3865">
        <w:rPr>
          <w:rFonts w:hint="eastAsia"/>
        </w:rPr>
        <w:t>中央政府公債發行採</w:t>
      </w:r>
      <w:r w:rsidR="00E15B2F">
        <w:rPr>
          <w:rFonts w:hint="eastAsia"/>
        </w:rPr>
        <w:t>2</w:t>
      </w:r>
      <w:r w:rsidR="00E15B2F" w:rsidRPr="003F3865">
        <w:rPr>
          <w:rFonts w:hint="eastAsia"/>
        </w:rPr>
        <w:t>階段公告方式辦理，</w:t>
      </w:r>
      <w:r w:rsidR="00E15B2F">
        <w:rPr>
          <w:rFonts w:hint="eastAsia"/>
        </w:rPr>
        <w:t>市場雖可事前知悉下一季中央政府預計發行公債之年期、發行量及發行日等資訊，</w:t>
      </w:r>
      <w:r w:rsidR="00E15B2F" w:rsidRPr="003F3865">
        <w:rPr>
          <w:rFonts w:hint="eastAsia"/>
        </w:rPr>
        <w:t>惟</w:t>
      </w:r>
      <w:r w:rsidR="00E15B2F">
        <w:rPr>
          <w:rFonts w:hint="eastAsia"/>
        </w:rPr>
        <w:t>仍</w:t>
      </w:r>
      <w:r w:rsidR="00E15B2F" w:rsidRPr="003F3865">
        <w:rPr>
          <w:rFonts w:hint="eastAsia"/>
        </w:rPr>
        <w:t>存有公債發行前交易制度成效不彰及小額投資人申購意願待提升等問題，允宜</w:t>
      </w:r>
      <w:r w:rsidR="00E15B2F">
        <w:rPr>
          <w:rFonts w:hint="eastAsia"/>
        </w:rPr>
        <w:t>研議</w:t>
      </w:r>
      <w:r w:rsidR="00E15B2F" w:rsidRPr="003F3865">
        <w:rPr>
          <w:rFonts w:hint="eastAsia"/>
        </w:rPr>
        <w:t>改進</w:t>
      </w:r>
      <w:r w:rsidR="00E15B2F">
        <w:rPr>
          <w:rFonts w:hint="eastAsia"/>
        </w:rPr>
        <w:t>。</w:t>
      </w:r>
    </w:p>
    <w:p w:rsidR="00F50976" w:rsidRDefault="00F50976" w:rsidP="004A0E83">
      <w:pPr>
        <w:pStyle w:val="af1"/>
        <w:spacing w:line="480" w:lineRule="exact"/>
        <w:ind w:left="567" w:hangingChars="200" w:hanging="567"/>
      </w:pPr>
      <w:r>
        <w:rPr>
          <w:rFonts w:hint="eastAsia"/>
        </w:rPr>
        <w:t>二、</w:t>
      </w:r>
      <w:r w:rsidR="00DE6B23">
        <w:rPr>
          <w:rFonts w:hint="eastAsia"/>
        </w:rPr>
        <w:t>配合世界各國</w:t>
      </w:r>
      <w:r w:rsidR="00DE6B23" w:rsidRPr="00165C9C">
        <w:rPr>
          <w:rFonts w:hint="eastAsia"/>
        </w:rPr>
        <w:t>低碳永續</w:t>
      </w:r>
      <w:r w:rsidR="00DE6B23">
        <w:rPr>
          <w:rFonts w:hint="eastAsia"/>
        </w:rPr>
        <w:t>政策，</w:t>
      </w:r>
      <w:r w:rsidR="00DE6B23" w:rsidRPr="00165C9C">
        <w:rPr>
          <w:rFonts w:hint="eastAsia"/>
        </w:rPr>
        <w:t>我國於</w:t>
      </w:r>
      <w:r w:rsidR="00DE6B23">
        <w:rPr>
          <w:rFonts w:hint="eastAsia"/>
        </w:rPr>
        <w:t>111</w:t>
      </w:r>
      <w:r w:rsidR="00DE6B23" w:rsidRPr="00165C9C">
        <w:rPr>
          <w:rFonts w:hint="eastAsia"/>
        </w:rPr>
        <w:t>年3月公布「臺灣2050淨零排放路徑及策略總說明」，並</w:t>
      </w:r>
      <w:r w:rsidR="00DE6B23">
        <w:rPr>
          <w:rFonts w:hint="eastAsia"/>
        </w:rPr>
        <w:t>於112年修正</w:t>
      </w:r>
      <w:r w:rsidR="00DE6B23" w:rsidRPr="00165C9C">
        <w:rPr>
          <w:rFonts w:hint="eastAsia"/>
        </w:rPr>
        <w:t>「氣候變遷因應法」，作為2050 年淨零碳排之法制基礎</w:t>
      </w:r>
      <w:r w:rsidR="00DE6B23">
        <w:rPr>
          <w:rFonts w:hint="eastAsia"/>
        </w:rPr>
        <w:t>，其中運用金融市場之力量推動永續發展，為目前國際上金融發展政策之核心。</w:t>
      </w:r>
      <w:r w:rsidR="00DE6B23" w:rsidRPr="00A4661E">
        <w:rPr>
          <w:rFonts w:hint="eastAsia"/>
        </w:rPr>
        <w:t>截至113年</w:t>
      </w:r>
      <w:r w:rsidR="00DE6B23">
        <w:rPr>
          <w:rFonts w:hint="eastAsia"/>
        </w:rPr>
        <w:t>6</w:t>
      </w:r>
      <w:r w:rsidR="00DE6B23" w:rsidRPr="00A4661E">
        <w:rPr>
          <w:rFonts w:hint="eastAsia"/>
        </w:rPr>
        <w:t>月底止，</w:t>
      </w:r>
      <w:r w:rsidR="00DE6B23">
        <w:rPr>
          <w:rFonts w:hint="eastAsia"/>
        </w:rPr>
        <w:t>臺北市及高雄市政府雖已發行</w:t>
      </w:r>
      <w:r w:rsidR="00DE6B23" w:rsidRPr="00A4661E">
        <w:rPr>
          <w:rFonts w:hint="eastAsia"/>
        </w:rPr>
        <w:t>永續發展債券</w:t>
      </w:r>
      <w:r w:rsidR="00DE6B23">
        <w:rPr>
          <w:rFonts w:hint="eastAsia"/>
        </w:rPr>
        <w:t>，惟</w:t>
      </w:r>
      <w:r w:rsidR="00DE6B23" w:rsidRPr="00A4661E">
        <w:rPr>
          <w:rFonts w:hint="eastAsia"/>
        </w:rPr>
        <w:t>中央政府</w:t>
      </w:r>
      <w:r w:rsidR="00DE6B23">
        <w:rPr>
          <w:rFonts w:hint="eastAsia"/>
        </w:rPr>
        <w:t>尚無發行該類</w:t>
      </w:r>
      <w:r w:rsidR="00DE6B23" w:rsidRPr="00A4661E">
        <w:rPr>
          <w:rFonts w:hint="eastAsia"/>
        </w:rPr>
        <w:t>債券，</w:t>
      </w:r>
      <w:r w:rsidR="00575089">
        <w:rPr>
          <w:rFonts w:hint="eastAsia"/>
        </w:rPr>
        <w:t>仍待相關機關研謀辦理，俾符國際趨勢並利</w:t>
      </w:r>
      <w:r w:rsidR="00575089" w:rsidRPr="00CA2CBF">
        <w:rPr>
          <w:rFonts w:hint="eastAsia"/>
        </w:rPr>
        <w:t>我國永續發展政策</w:t>
      </w:r>
      <w:r w:rsidR="00575089">
        <w:rPr>
          <w:rFonts w:hint="eastAsia"/>
        </w:rPr>
        <w:t>。</w:t>
      </w:r>
    </w:p>
    <w:p w:rsidR="00575089" w:rsidRDefault="005E778F" w:rsidP="00256803">
      <w:pPr>
        <w:pStyle w:val="af1"/>
        <w:spacing w:line="480" w:lineRule="exact"/>
        <w:ind w:left="425" w:hangingChars="150" w:hanging="425"/>
      </w:pPr>
      <w:r>
        <w:rPr>
          <w:rFonts w:hint="eastAsia"/>
        </w:rPr>
        <w:t>三、</w:t>
      </w:r>
      <w:r w:rsidR="00575089">
        <w:rPr>
          <w:rFonts w:hAnsi="標楷體" w:hint="eastAsia"/>
        </w:rPr>
        <w:t>債務基金</w:t>
      </w:r>
      <w:r w:rsidR="00575089">
        <w:rPr>
          <w:rFonts w:hint="eastAsia"/>
        </w:rPr>
        <w:t>91至95年度節省利息數介於9.61億元至48.53億元間，惟96至112年度，除101年度節省利息數6.23億元外，其餘年度均未超過5億元，近3年度雖均有提前償還未到期債務，節省利息數最高亦僅3.32億元。鑑於</w:t>
      </w:r>
      <w:r w:rsidR="00575089">
        <w:rPr>
          <w:rFonts w:hAnsi="標楷體" w:cs="標楷體" w:hint="eastAsia"/>
          <w:szCs w:val="24"/>
        </w:rPr>
        <w:t>中央政府債務未償餘額加權平均利率已較市場利率為低，且中央銀行近期採取</w:t>
      </w:r>
      <w:r w:rsidR="00575089" w:rsidRPr="00F431E0">
        <w:rPr>
          <w:rFonts w:hAnsi="標楷體" w:cs="標楷體" w:hint="eastAsia"/>
          <w:szCs w:val="24"/>
        </w:rPr>
        <w:t>較為緊縮之貨幣管理措施，</w:t>
      </w:r>
      <w:r w:rsidR="00575089">
        <w:rPr>
          <w:rFonts w:hAnsi="標楷體" w:cs="標楷體" w:hint="eastAsia"/>
          <w:szCs w:val="24"/>
        </w:rPr>
        <w:t>預期市場利率將略呈上升等，恐影響債務基金舉新還舊及操作提前償還財務運作之空間，</w:t>
      </w:r>
      <w:r w:rsidR="00575089" w:rsidRPr="008A79A8">
        <w:rPr>
          <w:rFonts w:hint="eastAsia"/>
        </w:rPr>
        <w:t>允宜</w:t>
      </w:r>
      <w:r w:rsidR="00575089">
        <w:rPr>
          <w:rFonts w:hint="eastAsia"/>
        </w:rPr>
        <w:t>密切注意市場利率走向，並</w:t>
      </w:r>
      <w:r w:rsidR="00575089" w:rsidRPr="008A79A8">
        <w:rPr>
          <w:rFonts w:hint="eastAsia"/>
        </w:rPr>
        <w:t>積極研謀善策，以提升</w:t>
      </w:r>
      <w:r w:rsidR="00575089">
        <w:rPr>
          <w:rFonts w:hint="eastAsia"/>
        </w:rPr>
        <w:t>債務</w:t>
      </w:r>
      <w:r w:rsidR="00575089" w:rsidRPr="008A79A8">
        <w:rPr>
          <w:rFonts w:hint="eastAsia"/>
        </w:rPr>
        <w:t>基金</w:t>
      </w:r>
      <w:r w:rsidR="00575089">
        <w:rPr>
          <w:rFonts w:hint="eastAsia"/>
        </w:rPr>
        <w:t>財務</w:t>
      </w:r>
      <w:r w:rsidR="00575089" w:rsidRPr="008A79A8">
        <w:rPr>
          <w:rFonts w:hint="eastAsia"/>
        </w:rPr>
        <w:t>運作效能</w:t>
      </w:r>
      <w:r w:rsidR="00575089">
        <w:rPr>
          <w:rFonts w:hint="eastAsia"/>
        </w:rPr>
        <w:t>。</w:t>
      </w:r>
    </w:p>
    <w:p w:rsidR="00650DF5" w:rsidRDefault="00575089" w:rsidP="00575089">
      <w:pPr>
        <w:pStyle w:val="af"/>
        <w:rPr>
          <w:rStyle w:val="af0"/>
        </w:rPr>
      </w:pPr>
      <w:r w:rsidRPr="00F50976">
        <w:rPr>
          <w:rStyle w:val="af0"/>
          <w:rFonts w:hint="eastAsia"/>
        </w:rPr>
        <w:t>（分機：8661 鄧凱文）</w:t>
      </w:r>
    </w:p>
    <w:p w:rsidR="009569A9" w:rsidRDefault="009569A9" w:rsidP="00575089">
      <w:pPr>
        <w:pStyle w:val="af"/>
        <w:rPr>
          <w:rFonts w:hint="eastAsia"/>
        </w:rPr>
      </w:pPr>
    </w:p>
    <w:p w:rsidR="008D2AB8" w:rsidRPr="00D23CC6" w:rsidRDefault="008D2AB8" w:rsidP="008D2AB8">
      <w:pPr>
        <w:pStyle w:val="142"/>
        <w:ind w:left="567" w:hanging="567"/>
        <w:rPr>
          <w:rFonts w:hAnsi="標楷體"/>
        </w:rPr>
      </w:pPr>
      <w:bookmarkStart w:id="24" w:name="_Toc162883836"/>
      <w:bookmarkStart w:id="25" w:name="_Toc173746457"/>
      <w:r w:rsidRPr="00D23CC6">
        <w:rPr>
          <w:rFonts w:hint="eastAsia"/>
        </w:rPr>
        <w:t>參考文獻</w:t>
      </w:r>
      <w:bookmarkEnd w:id="24"/>
      <w:bookmarkEnd w:id="25"/>
    </w:p>
    <w:p w:rsidR="008D2AB8" w:rsidRDefault="008D2AB8" w:rsidP="00256803">
      <w:pPr>
        <w:pStyle w:val="af1"/>
        <w:wordWrap w:val="0"/>
        <w:spacing w:line="480" w:lineRule="exact"/>
        <w:ind w:left="567" w:hangingChars="200" w:hanging="567"/>
      </w:pPr>
      <w:r w:rsidRPr="00D23CC6">
        <w:rPr>
          <w:rFonts w:hint="eastAsia"/>
        </w:rPr>
        <w:t>一、</w:t>
      </w:r>
      <w:r>
        <w:rPr>
          <w:rFonts w:hint="eastAsia"/>
        </w:rPr>
        <w:t>劉劍文、熊偉，&lt;財政稅收法&gt;，2009</w:t>
      </w:r>
      <w:r w:rsidR="008F6093">
        <w:rPr>
          <w:rFonts w:hint="eastAsia"/>
        </w:rPr>
        <w:t>年9月</w:t>
      </w:r>
      <w:r>
        <w:rPr>
          <w:rFonts w:hint="eastAsia"/>
        </w:rPr>
        <w:t>。</w:t>
      </w:r>
    </w:p>
    <w:p w:rsidR="008D2AB8" w:rsidRDefault="008D2AB8" w:rsidP="004A0E83">
      <w:pPr>
        <w:pStyle w:val="af1"/>
        <w:spacing w:line="480" w:lineRule="exact"/>
        <w:ind w:left="567" w:hangingChars="200" w:hanging="567"/>
      </w:pPr>
      <w:r>
        <w:rPr>
          <w:rFonts w:hint="eastAsia"/>
        </w:rPr>
        <w:t>二、周群倫、吳聞聰，&lt;財政學&gt;，2005</w:t>
      </w:r>
      <w:r w:rsidR="008F6093">
        <w:rPr>
          <w:rFonts w:hint="eastAsia"/>
        </w:rPr>
        <w:t>年9月</w:t>
      </w:r>
      <w:r>
        <w:rPr>
          <w:rFonts w:hint="eastAsia"/>
        </w:rPr>
        <w:t>。</w:t>
      </w:r>
    </w:p>
    <w:p w:rsidR="008D2AB8" w:rsidRDefault="008D2AB8" w:rsidP="004A0E83">
      <w:pPr>
        <w:pStyle w:val="af1"/>
        <w:spacing w:line="480" w:lineRule="exact"/>
        <w:ind w:left="567" w:hangingChars="200" w:hanging="567"/>
      </w:pPr>
      <w:r>
        <w:rPr>
          <w:rFonts w:hint="eastAsia"/>
        </w:rPr>
        <w:t>三、杜仲霞，&lt;公共債務法律制度研究&gt;，2016</w:t>
      </w:r>
      <w:r w:rsidR="008F6093">
        <w:rPr>
          <w:rFonts w:hint="eastAsia"/>
        </w:rPr>
        <w:t>年10月</w:t>
      </w:r>
      <w:r>
        <w:rPr>
          <w:rFonts w:hint="eastAsia"/>
        </w:rPr>
        <w:t>。</w:t>
      </w:r>
    </w:p>
    <w:p w:rsidR="00BE6CBC" w:rsidRPr="00103949" w:rsidRDefault="008D2AB8" w:rsidP="009569A9">
      <w:pPr>
        <w:pStyle w:val="af1"/>
        <w:spacing w:line="480" w:lineRule="exact"/>
        <w:ind w:left="567" w:hangingChars="200" w:hanging="567"/>
        <w:rPr>
          <w:rFonts w:hint="eastAsia"/>
        </w:rPr>
      </w:pPr>
      <w:r>
        <w:rPr>
          <w:rFonts w:hint="eastAsia"/>
        </w:rPr>
        <w:t>四、陳清秀，公共債務之法學理論體系(中)，植根雜誌</w:t>
      </w:r>
      <w:r w:rsidR="008F6093">
        <w:rPr>
          <w:rFonts w:hint="eastAsia"/>
        </w:rPr>
        <w:t>，</w:t>
      </w:r>
      <w:r>
        <w:rPr>
          <w:rFonts w:hint="eastAsia"/>
        </w:rPr>
        <w:t>第35卷第7期</w:t>
      </w:r>
      <w:r w:rsidR="008F6093">
        <w:rPr>
          <w:rFonts w:hint="eastAsia"/>
        </w:rPr>
        <w:t>，2019年7月</w:t>
      </w:r>
      <w:r>
        <w:rPr>
          <w:rFonts w:hint="eastAsia"/>
        </w:rPr>
        <w:t>。</w:t>
      </w:r>
      <w:bookmarkEnd w:id="1"/>
      <w:bookmarkEnd w:id="2"/>
      <w:bookmarkEnd w:id="3"/>
      <w:bookmarkEnd w:id="4"/>
      <w:bookmarkEnd w:id="5"/>
      <w:bookmarkEnd w:id="6"/>
      <w:bookmarkEnd w:id="7"/>
      <w:bookmarkEnd w:id="8"/>
      <w:bookmarkEnd w:id="9"/>
    </w:p>
    <w:sectPr w:rsidR="00BE6CBC" w:rsidRPr="00103949" w:rsidSect="009370B1">
      <w:pgSz w:w="11906" w:h="16838" w:code="9"/>
      <w:pgMar w:top="1701" w:right="1701" w:bottom="1559" w:left="1701" w:header="0"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45C0" w:rsidRDefault="008F45C0" w:rsidP="000D26F6">
      <w:pPr>
        <w:ind w:left="560" w:firstLine="560"/>
      </w:pPr>
      <w:r>
        <w:separator/>
      </w:r>
    </w:p>
  </w:endnote>
  <w:endnote w:type="continuationSeparator" w:id="0">
    <w:p w:rsidR="008F45C0" w:rsidRDefault="008F45C0" w:rsidP="000D26F6">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E4F" w:rsidRDefault="007E1E4F" w:rsidP="000D26F6">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7E1E4F" w:rsidRDefault="007E1E4F" w:rsidP="000D26F6">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E4F" w:rsidRPr="00E75796" w:rsidRDefault="007E1E4F" w:rsidP="00FE2B01">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E46B21">
      <w:rPr>
        <w:rFonts w:hAnsi="標楷體"/>
        <w:noProof/>
        <w:sz w:val="20"/>
        <w:szCs w:val="20"/>
      </w:rPr>
      <w:t>1</w:t>
    </w:r>
    <w:r w:rsidRPr="00E75796">
      <w:rPr>
        <w:rFonts w:hAnsi="標楷體"/>
        <w:sz w:val="20"/>
        <w:szCs w:val="20"/>
      </w:rPr>
      <w:fldChar w:fldCharType="end"/>
    </w:r>
  </w:p>
  <w:p w:rsidR="007E1E4F" w:rsidRPr="00ED4235" w:rsidRDefault="007E1E4F" w:rsidP="003A6664">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E4F" w:rsidRDefault="007E1E4F" w:rsidP="000D26F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45C0" w:rsidRDefault="008F45C0" w:rsidP="00980EF6">
      <w:pPr>
        <w:ind w:leftChars="207" w:left="580" w:firstLine="560"/>
      </w:pPr>
      <w:r>
        <w:separator/>
      </w:r>
    </w:p>
  </w:footnote>
  <w:footnote w:type="continuationSeparator" w:id="0">
    <w:p w:rsidR="008F45C0" w:rsidRDefault="008F45C0" w:rsidP="003A6664">
      <w:pPr>
        <w:ind w:left="560" w:firstLine="560"/>
      </w:pPr>
      <w:r>
        <w:continuationSeparator/>
      </w:r>
    </w:p>
  </w:footnote>
  <w:footnote w:id="1">
    <w:p w:rsidR="004641C7" w:rsidRPr="004641C7" w:rsidRDefault="004641C7" w:rsidP="004641C7">
      <w:pPr>
        <w:pStyle w:val="144"/>
        <w:rPr>
          <w:rFonts w:hint="eastAsia"/>
        </w:rPr>
      </w:pPr>
      <w:r>
        <w:rPr>
          <w:rStyle w:val="af7"/>
        </w:rPr>
        <w:footnoteRef/>
      </w:r>
      <w:r>
        <w:rPr>
          <w:rFonts w:hint="eastAsia"/>
        </w:rPr>
        <w:t>參立法院議案關係文書，院總第九八Ｏ號，政府提案第五一一七號。</w:t>
      </w:r>
    </w:p>
  </w:footnote>
  <w:footnote w:id="2">
    <w:p w:rsidR="007E1E4F" w:rsidRPr="007662D8" w:rsidRDefault="007E1E4F" w:rsidP="007662D8">
      <w:pPr>
        <w:pStyle w:val="144"/>
        <w:ind w:left="49" w:hangingChars="20" w:hanging="49"/>
        <w:rPr>
          <w:rFonts w:hint="eastAsia"/>
        </w:rPr>
      </w:pPr>
      <w:r>
        <w:rPr>
          <w:rStyle w:val="af7"/>
        </w:rPr>
        <w:footnoteRef/>
      </w:r>
      <w:r>
        <w:rPr>
          <w:rFonts w:hint="eastAsia"/>
        </w:rPr>
        <w:t>劉劍文、熊偉，財政稅收法，2009年，第5版。周群倫、吳聞聰，財政學，2005年，第7版。</w:t>
      </w:r>
    </w:p>
  </w:footnote>
  <w:footnote w:id="3">
    <w:p w:rsidR="007E1E4F" w:rsidRPr="00E22F6C" w:rsidRDefault="007E1E4F" w:rsidP="008C0DB0">
      <w:pPr>
        <w:pStyle w:val="144"/>
        <w:rPr>
          <w:rFonts w:hint="eastAsia"/>
        </w:rPr>
      </w:pPr>
      <w:r>
        <w:rPr>
          <w:rStyle w:val="af7"/>
        </w:rPr>
        <w:footnoteRef/>
      </w:r>
      <w:r>
        <w:rPr>
          <w:rFonts w:hint="eastAsia"/>
        </w:rPr>
        <w:t>杜仲霞，公共債務法律制度研究，2016年，第1版。</w:t>
      </w:r>
    </w:p>
  </w:footnote>
  <w:footnote w:id="4">
    <w:p w:rsidR="007E1E4F" w:rsidRPr="004C4600" w:rsidRDefault="007E1E4F" w:rsidP="004C4600">
      <w:pPr>
        <w:pStyle w:val="144"/>
        <w:ind w:left="61" w:hangingChars="25" w:hanging="61"/>
        <w:jc w:val="both"/>
        <w:rPr>
          <w:rFonts w:hint="eastAsia"/>
        </w:rPr>
      </w:pPr>
      <w:r>
        <w:rPr>
          <w:rStyle w:val="af7"/>
        </w:rPr>
        <w:footnoteRef/>
      </w:r>
      <w:r>
        <w:rPr>
          <w:rFonts w:hint="eastAsia"/>
        </w:rPr>
        <w:t>1.預算管理應在明確、可信及可預見的財政政策下進行。2.預算應與政府的中程策略優先順序緊密連結。3.績效衡量及成本效益評估是不可或缺的預算過程。4.確保預算預測、財政計畫及預算執行應具完整性及品質，可經由獨立審計程序達成。5.預算資訊應公開、透明且容易取得。6.預算決策的討論應具備涵蓋性、參與性與務實性。7.長期持續發展能力與其他財政風險應被辨認、評估及謹慎的管理。8.建立資本預算運作架構，能在符合成本效益及一致性處理下，推動國家建設發展需要。9.預算應呈現全面、正確及可靠的公共財政報告。10.預算執行應被積極規劃、管理及監控。</w:t>
      </w:r>
    </w:p>
  </w:footnote>
  <w:footnote w:id="5">
    <w:p w:rsidR="007E1E4F" w:rsidRDefault="007E1E4F" w:rsidP="001F43E8">
      <w:pPr>
        <w:pStyle w:val="144"/>
        <w:rPr>
          <w:rFonts w:hint="eastAsia"/>
        </w:rPr>
      </w:pPr>
      <w:r>
        <w:rPr>
          <w:rStyle w:val="af7"/>
        </w:rPr>
        <w:footnoteRef/>
      </w:r>
      <w:r>
        <w:rPr>
          <w:rFonts w:hint="eastAsia"/>
        </w:rPr>
        <w:t>陳清秀，公共債務之法學理論體系(中)，植根雜誌第35卷第7期，頁245-257。</w:t>
      </w:r>
    </w:p>
  </w:footnote>
  <w:footnote w:id="6">
    <w:p w:rsidR="007E1E4F" w:rsidRPr="007B05E9" w:rsidRDefault="007E1E4F" w:rsidP="007B05E9">
      <w:pPr>
        <w:pStyle w:val="144"/>
        <w:ind w:left="61" w:hangingChars="25" w:hanging="61"/>
        <w:jc w:val="both"/>
        <w:rPr>
          <w:rFonts w:hint="eastAsia"/>
        </w:rPr>
      </w:pPr>
      <w:r>
        <w:rPr>
          <w:rStyle w:val="af7"/>
        </w:rPr>
        <w:footnoteRef/>
      </w:r>
      <w:r w:rsidRPr="007B05E9">
        <w:rPr>
          <w:rFonts w:hint="eastAsia"/>
        </w:rPr>
        <w:t>中央政府建設公債及借款條例</w:t>
      </w:r>
      <w:r>
        <w:rPr>
          <w:rFonts w:hint="eastAsia"/>
        </w:rPr>
        <w:t>第1條第2項：「</w:t>
      </w:r>
      <w:r w:rsidRPr="007B05E9">
        <w:rPr>
          <w:rFonts w:hAnsi="標楷體" w:hint="eastAsia"/>
        </w:rPr>
        <w:t>前項公債及借款，各分甲、乙兩類。</w:t>
      </w:r>
      <w:r w:rsidRPr="007B05E9">
        <w:rPr>
          <w:rFonts w:hAnsi="標楷體"/>
        </w:rPr>
        <w:t>…</w:t>
      </w:r>
      <w:r w:rsidRPr="007B05E9">
        <w:rPr>
          <w:rFonts w:hint="eastAsia"/>
        </w:rPr>
        <w:t>。</w:t>
      </w:r>
      <w:r>
        <w:rPr>
          <w:rFonts w:hint="eastAsia"/>
        </w:rPr>
        <w:t>」</w:t>
      </w:r>
    </w:p>
  </w:footnote>
  <w:footnote w:id="7">
    <w:p w:rsidR="00D05DFB" w:rsidRPr="00D05DFB" w:rsidRDefault="00D05DFB" w:rsidP="00B051BC">
      <w:pPr>
        <w:pStyle w:val="144"/>
        <w:ind w:left="61" w:hangingChars="25" w:hanging="61"/>
        <w:jc w:val="both"/>
        <w:rPr>
          <w:rFonts w:hint="eastAsia"/>
        </w:rPr>
      </w:pPr>
      <w:r>
        <w:rPr>
          <w:rStyle w:val="af7"/>
        </w:rPr>
        <w:footnoteRef/>
      </w:r>
      <w:r w:rsidRPr="00D05DFB">
        <w:rPr>
          <w:rFonts w:hint="eastAsia"/>
        </w:rPr>
        <w:t>永續發展債券作業要點第</w:t>
      </w:r>
      <w:r>
        <w:rPr>
          <w:rFonts w:hint="eastAsia"/>
        </w:rPr>
        <w:t>9</w:t>
      </w:r>
      <w:r w:rsidRPr="00D05DFB">
        <w:rPr>
          <w:rFonts w:hint="eastAsia"/>
        </w:rPr>
        <w:t>條第1</w:t>
      </w:r>
      <w:r>
        <w:rPr>
          <w:rFonts w:hint="eastAsia"/>
        </w:rPr>
        <w:t>項</w:t>
      </w:r>
      <w:r w:rsidRPr="00D05DFB">
        <w:rPr>
          <w:rFonts w:hint="eastAsia"/>
        </w:rPr>
        <w:t>：</w:t>
      </w:r>
      <w:r>
        <w:rPr>
          <w:rFonts w:hint="eastAsia"/>
        </w:rPr>
        <w:t>「</w:t>
      </w:r>
      <w:r w:rsidRPr="00D05DFB">
        <w:rPr>
          <w:rFonts w:hint="eastAsia"/>
        </w:rPr>
        <w:t>本作業要點所稱綠色投資計畫係指投資於下列事項，並具實質改善環境之效益者：</w:t>
      </w:r>
      <w:r>
        <w:rPr>
          <w:rFonts w:hint="eastAsia"/>
        </w:rPr>
        <w:t>一、再生能源及能源科技發展。二、能源使用效率提昇及能源節約。三、溫室氣體減量。四、廢棄物回收處理或再利用。五、農林資源保育。六、生物多樣性保育。七、污染防治與控制。八、水資源節約、潔淨或回收循環再利用。九、其他氣候變遷調適或經本中心認可者。」</w:t>
      </w:r>
    </w:p>
  </w:footnote>
  <w:footnote w:id="8">
    <w:p w:rsidR="00D05DFB" w:rsidRPr="00D05DFB" w:rsidRDefault="00D05DFB" w:rsidP="00B051BC">
      <w:pPr>
        <w:pStyle w:val="144"/>
        <w:ind w:left="61" w:hangingChars="25" w:hanging="61"/>
        <w:jc w:val="both"/>
        <w:rPr>
          <w:rFonts w:hint="eastAsia"/>
        </w:rPr>
      </w:pPr>
      <w:r>
        <w:rPr>
          <w:rStyle w:val="af7"/>
        </w:rPr>
        <w:footnoteRef/>
      </w:r>
      <w:r w:rsidRPr="00D05DFB">
        <w:rPr>
          <w:rFonts w:hint="eastAsia"/>
        </w:rPr>
        <w:t>永續發展債券作業要點第</w:t>
      </w:r>
      <w:r>
        <w:rPr>
          <w:rFonts w:hint="eastAsia"/>
        </w:rPr>
        <w:t>10</w:t>
      </w:r>
      <w:r w:rsidRPr="00D05DFB">
        <w:rPr>
          <w:rFonts w:hint="eastAsia"/>
        </w:rPr>
        <w:t>條：</w:t>
      </w:r>
      <w:r>
        <w:rPr>
          <w:rFonts w:hint="eastAsia"/>
        </w:rPr>
        <w:t>「</w:t>
      </w:r>
      <w:r w:rsidRPr="00D05DFB">
        <w:rPr>
          <w:rFonts w:hint="eastAsia"/>
        </w:rPr>
        <w:t>本作業要點所稱社會效益投資計畫係指投資於下列事項，並具實質社會效益者：</w:t>
      </w:r>
      <w:r>
        <w:rPr>
          <w:rFonts w:hint="eastAsia"/>
        </w:rPr>
        <w:t>一、可負擔的基礎生活設施。二、基本服務需求。三、可負擔的住宅。四、創造就業及可以減輕或避免因社會經濟危機所導致失業的計畫。五、糧食安全及可持續糧食系統。六、社會經濟發展和權利保障。七、其他經本中心認可者。」</w:t>
      </w:r>
    </w:p>
  </w:footnote>
  <w:footnote w:id="9">
    <w:p w:rsidR="007E1E4F" w:rsidRPr="00290291" w:rsidRDefault="007E1E4F" w:rsidP="00315210">
      <w:pPr>
        <w:pStyle w:val="144"/>
        <w:ind w:left="61" w:hangingChars="25" w:hanging="61"/>
        <w:rPr>
          <w:rFonts w:hint="eastAsia"/>
        </w:rPr>
      </w:pPr>
      <w:r>
        <w:rPr>
          <w:rStyle w:val="af7"/>
        </w:rPr>
        <w:footnoteRef/>
      </w:r>
      <w:r w:rsidRPr="00290291">
        <w:rPr>
          <w:rFonts w:hint="eastAsia"/>
        </w:rPr>
        <w:t>轉型債券</w:t>
      </w:r>
      <w:r>
        <w:rPr>
          <w:rFonts w:hint="eastAsia"/>
        </w:rPr>
        <w:t>(</w:t>
      </w:r>
      <w:r w:rsidRPr="00290291">
        <w:t>Transition bond</w:t>
      </w:r>
      <w:r>
        <w:rPr>
          <w:rFonts w:hint="eastAsia"/>
        </w:rPr>
        <w:t>)：發行人透過發行債券取得資金，並將該資金全部用於符合資格之綠色投資計畫或符合轉型策略之投資計畫，以協助發行人朝向低碳營運模式轉型；或為協助上述之發行人在沒有足夠符合資格之綠色投資計畫或符合轉型策略之投資計畫的情況下，支持其轉型策略目標之債券。</w:t>
      </w:r>
    </w:p>
  </w:footnote>
  <w:footnote w:id="10">
    <w:p w:rsidR="007E1E4F" w:rsidRPr="009A02B3" w:rsidRDefault="007E1E4F" w:rsidP="00501F89">
      <w:pPr>
        <w:pStyle w:val="144"/>
        <w:ind w:left="61" w:hangingChars="25" w:hanging="61"/>
        <w:rPr>
          <w:rFonts w:hint="eastAsia"/>
        </w:rPr>
      </w:pPr>
      <w:r>
        <w:rPr>
          <w:rStyle w:val="af7"/>
        </w:rPr>
        <w:footnoteRef/>
      </w:r>
      <w:r>
        <w:rPr>
          <w:rFonts w:hint="eastAsia"/>
        </w:rPr>
        <w:t>金融監督管理委員會，「</w:t>
      </w:r>
      <w:r w:rsidRPr="009A02B3">
        <w:rPr>
          <w:rFonts w:hint="eastAsia"/>
        </w:rPr>
        <w:t>行政院金融改革專案小組資本市場工作小組重點執行成果報導</w:t>
      </w:r>
      <w:r>
        <w:rPr>
          <w:rFonts w:hint="eastAsia"/>
        </w:rPr>
        <w:t>」，92年8月。</w:t>
      </w:r>
    </w:p>
  </w:footnote>
  <w:footnote w:id="11">
    <w:p w:rsidR="007E1E4F" w:rsidRPr="00501F89" w:rsidRDefault="007E1E4F" w:rsidP="00501F89">
      <w:pPr>
        <w:pStyle w:val="144"/>
        <w:ind w:left="61" w:hangingChars="25" w:hanging="61"/>
        <w:rPr>
          <w:rFonts w:hint="eastAsia"/>
        </w:rPr>
      </w:pPr>
      <w:r>
        <w:rPr>
          <w:rStyle w:val="af7"/>
        </w:rPr>
        <w:footnoteRef/>
      </w:r>
      <w:r>
        <w:rPr>
          <w:rFonts w:hint="eastAsia"/>
        </w:rPr>
        <w:t>財團法人中華民國證券櫃檯買賣中心債券等殖成交系統買賣辦法</w:t>
      </w:r>
      <w:r w:rsidRPr="00501F89">
        <w:rPr>
          <w:rFonts w:hint="eastAsia"/>
        </w:rPr>
        <w:t>第2條第5項：「…中央政府公債發行前交易，謂標的公債經財政部發布每季發債計畫或增發債公告之次一營業日起至發行日前一個營業日止之買賣斷交易；…。」</w:t>
      </w:r>
    </w:p>
  </w:footnote>
  <w:footnote w:id="12">
    <w:p w:rsidR="007E1E4F" w:rsidRDefault="007E1E4F" w:rsidP="00942FBA">
      <w:pPr>
        <w:pStyle w:val="144"/>
        <w:ind w:left="122" w:hangingChars="50" w:hanging="122"/>
        <w:jc w:val="both"/>
        <w:rPr>
          <w:rFonts w:hint="eastAsia"/>
        </w:rPr>
      </w:pPr>
      <w:r>
        <w:rPr>
          <w:rStyle w:val="af7"/>
        </w:rPr>
        <w:footnoteRef/>
      </w:r>
      <w:r w:rsidRPr="00B3654C">
        <w:rPr>
          <w:rFonts w:hint="eastAsia"/>
        </w:rPr>
        <w:t>財團法人中華民國證券櫃檯買賣中心證券商營業處所中央政府公債發行前交易辦法」第</w:t>
      </w:r>
      <w:r>
        <w:rPr>
          <w:rFonts w:hint="eastAsia"/>
        </w:rPr>
        <w:t>3</w:t>
      </w:r>
      <w:r w:rsidRPr="00B3654C">
        <w:rPr>
          <w:rFonts w:hint="eastAsia"/>
        </w:rPr>
        <w:t>條</w:t>
      </w:r>
      <w:r>
        <w:rPr>
          <w:rFonts w:hint="eastAsia"/>
        </w:rPr>
        <w:t>：「</w:t>
      </w:r>
      <w:r w:rsidRPr="00B3654C">
        <w:rPr>
          <w:rFonts w:hint="eastAsia"/>
        </w:rPr>
        <w:t>本辦法所稱發行前交易，謂標的公債經財政部發布每季發債計畫或增發債公告之次一營業日起至發行日前一個營業日止之買賣斷交易</w:t>
      </w:r>
      <w:r w:rsidRPr="00B3654C">
        <w:rPr>
          <w:rFonts w:hAnsi="標楷體" w:hint="eastAsia"/>
        </w:rPr>
        <w:t>；</w:t>
      </w:r>
      <w:r w:rsidRPr="00B3654C">
        <w:rPr>
          <w:rFonts w:hAnsi="標楷體"/>
        </w:rPr>
        <w:t>…</w:t>
      </w:r>
      <w:r>
        <w:rPr>
          <w:rFonts w:hAnsi="標楷體" w:hint="eastAsia"/>
        </w:rPr>
        <w:t>。」</w:t>
      </w:r>
    </w:p>
  </w:footnote>
  <w:footnote w:id="13">
    <w:p w:rsidR="007E1E4F" w:rsidRPr="009B51BC" w:rsidRDefault="007E1E4F" w:rsidP="009B51BC">
      <w:pPr>
        <w:pStyle w:val="144"/>
        <w:ind w:left="122" w:hangingChars="50" w:hanging="122"/>
        <w:jc w:val="both"/>
        <w:rPr>
          <w:rFonts w:hint="eastAsia"/>
        </w:rPr>
      </w:pPr>
      <w:r>
        <w:rPr>
          <w:rStyle w:val="af7"/>
        </w:rPr>
        <w:footnoteRef/>
      </w:r>
      <w:r w:rsidRPr="00D505A0">
        <w:rPr>
          <w:rFonts w:hint="eastAsia"/>
        </w:rPr>
        <w:t>氣候變遷因應法</w:t>
      </w:r>
      <w:r>
        <w:rPr>
          <w:rFonts w:hint="eastAsia"/>
        </w:rPr>
        <w:t>第6條：「</w:t>
      </w:r>
      <w:r w:rsidRPr="009B51BC">
        <w:rPr>
          <w:rFonts w:hint="eastAsia"/>
        </w:rPr>
        <w:t>因應氣候變遷相關計畫或方案，其基本原則如下：</w:t>
      </w:r>
      <w:r w:rsidR="00DE6B23" w:rsidRPr="00DE6B23">
        <w:rPr>
          <w:rFonts w:hAnsi="標楷體"/>
        </w:rPr>
        <w:t>…</w:t>
      </w:r>
      <w:r>
        <w:rPr>
          <w:rFonts w:hint="eastAsia"/>
        </w:rPr>
        <w:t>五、</w:t>
      </w:r>
      <w:r w:rsidRPr="009B51BC">
        <w:rPr>
          <w:rFonts w:hint="eastAsia"/>
        </w:rPr>
        <w:t>建構綠色金融機制及推動措施，促成投資及產業追求永續發展之良性循環。</w:t>
      </w:r>
      <w:r w:rsidR="00DE6B23" w:rsidRPr="00DE6B23">
        <w:rPr>
          <w:rFonts w:hAnsi="標楷體"/>
        </w:rPr>
        <w:t>…</w:t>
      </w:r>
      <w:r w:rsidR="00DE6B23">
        <w:rPr>
          <w:rFonts w:hAnsi="標楷體" w:hint="eastAsia"/>
        </w:rPr>
        <w:t>。</w:t>
      </w:r>
      <w:r>
        <w:rPr>
          <w:rFonts w:hint="eastAsia"/>
        </w:rPr>
        <w:t>」</w:t>
      </w:r>
    </w:p>
  </w:footnote>
  <w:footnote w:id="14">
    <w:p w:rsidR="007E1E4F" w:rsidRPr="009B51BC" w:rsidRDefault="007E1E4F" w:rsidP="009B51BC">
      <w:pPr>
        <w:pStyle w:val="144"/>
        <w:ind w:left="122" w:hangingChars="50" w:hanging="122"/>
        <w:jc w:val="both"/>
        <w:rPr>
          <w:rFonts w:hint="eastAsia"/>
        </w:rPr>
      </w:pPr>
      <w:r>
        <w:rPr>
          <w:rStyle w:val="af7"/>
        </w:rPr>
        <w:footnoteRef/>
      </w:r>
      <w:r w:rsidRPr="00D505A0">
        <w:rPr>
          <w:rFonts w:hint="eastAsia"/>
        </w:rPr>
        <w:t>氣候變遷因應法</w:t>
      </w:r>
      <w:r>
        <w:rPr>
          <w:rFonts w:hint="eastAsia"/>
        </w:rPr>
        <w:t>第17條第1項：「</w:t>
      </w:r>
      <w:r w:rsidRPr="009B51BC">
        <w:rPr>
          <w:rFonts w:hint="eastAsia"/>
        </w:rPr>
        <w:t>為因應氣候變遷，政府應推動調適能力建構之事項如下：</w:t>
      </w:r>
      <w:r w:rsidR="00DE6B23" w:rsidRPr="00DE6B23">
        <w:rPr>
          <w:rFonts w:hAnsi="標楷體"/>
        </w:rPr>
        <w:t>…</w:t>
      </w:r>
      <w:r>
        <w:rPr>
          <w:rFonts w:hint="eastAsia"/>
        </w:rPr>
        <w:t>五、</w:t>
      </w:r>
      <w:r w:rsidRPr="009B51BC">
        <w:rPr>
          <w:rFonts w:hint="eastAsia"/>
        </w:rPr>
        <w:t>因應氣候變遷調適需求，建構綠色金融機制及推動措施</w:t>
      </w:r>
      <w:r>
        <w:rPr>
          <w:rFonts w:hint="eastAsia"/>
        </w:rPr>
        <w:t>。</w:t>
      </w:r>
      <w:r w:rsidR="00DE6B23" w:rsidRPr="00DE6B23">
        <w:rPr>
          <w:rFonts w:hAnsi="標楷體"/>
        </w:rPr>
        <w:t>…</w:t>
      </w:r>
      <w:r w:rsidR="00DE6B23">
        <w:rPr>
          <w:rFonts w:hAnsi="標楷體" w:hint="eastAsia"/>
        </w:rPr>
        <w:t>。</w:t>
      </w:r>
      <w:r>
        <w:rPr>
          <w:rFonts w:hint="eastAsia"/>
        </w:rPr>
        <w:t>」</w:t>
      </w:r>
    </w:p>
  </w:footnote>
  <w:footnote w:id="15">
    <w:p w:rsidR="007E1E4F" w:rsidRPr="003A5056" w:rsidRDefault="007E1E4F" w:rsidP="003A5056">
      <w:pPr>
        <w:pStyle w:val="144"/>
        <w:ind w:left="122" w:hangingChars="50" w:hanging="122"/>
        <w:jc w:val="both"/>
        <w:rPr>
          <w:rFonts w:hint="eastAsia"/>
        </w:rPr>
      </w:pPr>
      <w:r>
        <w:rPr>
          <w:rStyle w:val="af7"/>
        </w:rPr>
        <w:footnoteRef/>
      </w:r>
      <w:r w:rsidRPr="003A5056">
        <w:rPr>
          <w:rFonts w:hint="eastAsia"/>
        </w:rPr>
        <w:t>財團法人中華民國證券櫃檯買賣中心永續發展債券作業要點</w:t>
      </w:r>
      <w:r>
        <w:rPr>
          <w:rFonts w:hint="eastAsia"/>
        </w:rPr>
        <w:t>第6條第5款(現行條文為第4條第5款)：「</w:t>
      </w:r>
      <w:r w:rsidRPr="003A5056">
        <w:rPr>
          <w:rFonts w:hint="eastAsia"/>
        </w:rPr>
        <w:t>依本中心證券商營業處所買賣有價證券審查準則第</w:t>
      </w:r>
      <w:r>
        <w:rPr>
          <w:rFonts w:hint="eastAsia"/>
        </w:rPr>
        <w:t>14</w:t>
      </w:r>
      <w:r w:rsidRPr="003A5056">
        <w:rPr>
          <w:rFonts w:hint="eastAsia"/>
        </w:rPr>
        <w:t>條規定，主管機關轉知本中心公告為櫃檯買賣之政府債券。</w:t>
      </w:r>
      <w:r>
        <w:rPr>
          <w:rFonts w:hint="eastAsia"/>
        </w:rPr>
        <w:t>」</w:t>
      </w:r>
    </w:p>
  </w:footnote>
  <w:footnote w:id="16">
    <w:p w:rsidR="00DE6B23" w:rsidRPr="00DE6B23" w:rsidRDefault="00DE6B23" w:rsidP="00DE6B23">
      <w:pPr>
        <w:pStyle w:val="144"/>
        <w:ind w:left="122" w:hangingChars="50" w:hanging="122"/>
        <w:jc w:val="both"/>
        <w:rPr>
          <w:rFonts w:hint="eastAsia"/>
        </w:rPr>
      </w:pPr>
      <w:r>
        <w:rPr>
          <w:rStyle w:val="af7"/>
        </w:rPr>
        <w:footnoteRef/>
      </w:r>
      <w:r w:rsidRPr="00DE6B23">
        <w:rPr>
          <w:rFonts w:hint="eastAsia"/>
        </w:rPr>
        <w:t>2年期、3年期及5年期</w:t>
      </w:r>
      <w:r>
        <w:rPr>
          <w:rFonts w:hint="eastAsia"/>
        </w:rPr>
        <w:t>債券之票面利率分別為1.21%、1.24%及1.25%。</w:t>
      </w:r>
    </w:p>
  </w:footnote>
  <w:footnote w:id="17">
    <w:p w:rsidR="00DE6B23" w:rsidRPr="00DE6B23" w:rsidRDefault="00DE6B23" w:rsidP="00DE6B23">
      <w:pPr>
        <w:pStyle w:val="144"/>
        <w:ind w:left="122" w:hangingChars="50" w:hanging="122"/>
        <w:jc w:val="both"/>
        <w:rPr>
          <w:rFonts w:hint="eastAsia"/>
        </w:rPr>
      </w:pPr>
      <w:r>
        <w:rPr>
          <w:rStyle w:val="af7"/>
        </w:rPr>
        <w:footnoteRef/>
      </w:r>
      <w:r w:rsidRPr="00DE6B23">
        <w:rPr>
          <w:rFonts w:hint="eastAsia"/>
        </w:rPr>
        <w:t>2年期、3年期及5年期</w:t>
      </w:r>
      <w:r>
        <w:rPr>
          <w:rFonts w:hint="eastAsia"/>
        </w:rPr>
        <w:t>債券之票面利率分別為1.22%、1.24%及1.26%。</w:t>
      </w:r>
    </w:p>
  </w:footnote>
  <w:footnote w:id="18">
    <w:p w:rsidR="007E1E4F" w:rsidRDefault="007E1E4F" w:rsidP="004552C2">
      <w:pPr>
        <w:pStyle w:val="144"/>
        <w:ind w:left="122" w:hangingChars="50" w:hanging="122"/>
        <w:jc w:val="both"/>
        <w:rPr>
          <w:rFonts w:hint="eastAsia"/>
        </w:rPr>
      </w:pPr>
      <w:r>
        <w:rPr>
          <w:rStyle w:val="af7"/>
        </w:rPr>
        <w:footnoteRef/>
      </w:r>
      <w:r>
        <w:rPr>
          <w:rFonts w:hint="eastAsia"/>
        </w:rPr>
        <w:t>國庫署表示，</w:t>
      </w:r>
      <w:r w:rsidRPr="004552C2">
        <w:rPr>
          <w:rFonts w:hint="eastAsia"/>
        </w:rPr>
        <w:t>若符合內政部綠建築標章(EEWH)銀級以上且建築能效標示2等級以上者，符合對氣候變遷減緩具實質貢獻之經濟活動，屬綠色投資計畫之一環，可透過綠色債券來融資。</w:t>
      </w:r>
    </w:p>
  </w:footnote>
  <w:footnote w:id="19">
    <w:p w:rsidR="00914319" w:rsidRPr="008E75CE" w:rsidRDefault="00914319" w:rsidP="00914319">
      <w:pPr>
        <w:pStyle w:val="144"/>
        <w:ind w:left="183" w:hangingChars="75" w:hanging="183"/>
        <w:rPr>
          <w:rFonts w:hint="eastAsia"/>
        </w:rPr>
      </w:pPr>
      <w:r>
        <w:rPr>
          <w:rStyle w:val="af7"/>
        </w:rPr>
        <w:footnoteRef/>
      </w:r>
      <w:r>
        <w:rPr>
          <w:rFonts w:hint="eastAsia"/>
        </w:rPr>
        <w:t>包含購屋、資本支出、週轉金及消費性等貸款。</w:t>
      </w:r>
    </w:p>
  </w:footnote>
  <w:footnote w:id="20">
    <w:p w:rsidR="007E1E4F" w:rsidRPr="00801501" w:rsidRDefault="007E1E4F" w:rsidP="00801501">
      <w:pPr>
        <w:pStyle w:val="144"/>
        <w:ind w:left="183" w:hangingChars="75" w:hanging="183"/>
        <w:rPr>
          <w:rFonts w:hint="eastAsia"/>
        </w:rPr>
      </w:pPr>
      <w:r>
        <w:rPr>
          <w:rStyle w:val="af7"/>
        </w:rPr>
        <w:footnoteRef/>
      </w:r>
      <w:r w:rsidRPr="00801501">
        <w:rPr>
          <w:rFonts w:hint="eastAsia"/>
        </w:rPr>
        <w:t>臺北市、新北市、桃園市、臺中市、臺南市、高雄市、新竹縣及新竹市。</w:t>
      </w:r>
    </w:p>
  </w:footnote>
  <w:footnote w:id="21">
    <w:p w:rsidR="007E1E4F" w:rsidRDefault="007E1E4F" w:rsidP="00801501">
      <w:pPr>
        <w:pStyle w:val="144"/>
        <w:ind w:left="183" w:hangingChars="75" w:hanging="183"/>
        <w:rPr>
          <w:rFonts w:hint="eastAsia"/>
        </w:rPr>
      </w:pPr>
      <w:r>
        <w:rPr>
          <w:rStyle w:val="af7"/>
        </w:rPr>
        <w:footnoteRef/>
      </w:r>
      <w:r>
        <w:rPr>
          <w:rFonts w:hint="eastAsia"/>
        </w:rPr>
        <w:t>支存、活存、活儲、定儲及定</w:t>
      </w:r>
      <w:r w:rsidRPr="007B07B5">
        <w:rPr>
          <w:rFonts w:hint="eastAsia"/>
        </w:rPr>
        <w:t>存</w:t>
      </w:r>
      <w:r>
        <w:rPr>
          <w:rFonts w:hint="eastAsia"/>
        </w:rPr>
        <w:t>之存款</w:t>
      </w:r>
      <w:r w:rsidRPr="007B07B5">
        <w:rPr>
          <w:rFonts w:hint="eastAsia"/>
        </w:rPr>
        <w:t>準備率</w:t>
      </w:r>
      <w:r>
        <w:rPr>
          <w:rFonts w:hint="eastAsia"/>
        </w:rPr>
        <w:t>由11.25%、10.275%、6%、4.5%及5.5%，調升為11.5%、10.525%、6.25%、4.75%及5.75%。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E4F" w:rsidRDefault="007E1E4F" w:rsidP="000D26F6">
    <w:pPr>
      <w:framePr w:w="1440" w:hSpace="1276" w:wrap="around" w:vAnchor="text" w:hAnchor="margin" w:xAlign="right" w:y="1"/>
      <w:ind w:left="560" w:firstLine="560"/>
      <w:textDirection w:val="btLr"/>
    </w:pPr>
    <w:r>
      <w:fldChar w:fldCharType="begin"/>
    </w:r>
    <w:r>
      <w:instrText xml:space="preserve">PAGE  </w:instrText>
    </w:r>
    <w:r>
      <w:fldChar w:fldCharType="end"/>
    </w:r>
  </w:p>
  <w:p w:rsidR="007E1E4F" w:rsidRDefault="007E1E4F" w:rsidP="000D26F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7E1E4F" w:rsidRDefault="007E1E4F" w:rsidP="000D26F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7E1E4F" w:rsidRDefault="007E1E4F" w:rsidP="000D26F6">
    <w:pPr>
      <w:framePr w:wrap="around" w:vAnchor="text" w:hAnchor="margin" w:xAlign="right" w:y="1"/>
      <w:ind w:left="560" w:rightChars="129" w:right="361" w:firstLine="560"/>
    </w:pPr>
    <w:r>
      <w:fldChar w:fldCharType="begin"/>
    </w:r>
    <w:r>
      <w:instrText xml:space="preserve">PAGE  </w:instrText>
    </w:r>
    <w:r>
      <w:fldChar w:fldCharType="end"/>
    </w:r>
  </w:p>
  <w:p w:rsidR="007E1E4F" w:rsidRDefault="007E1E4F" w:rsidP="000D26F6">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E4F" w:rsidRPr="00ED4235" w:rsidRDefault="007E1E4F" w:rsidP="003A6664">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E4F" w:rsidRDefault="007E1E4F" w:rsidP="000D26F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6"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7"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2"/>
  </w:num>
  <w:num w:numId="2">
    <w:abstractNumId w:val="4"/>
  </w:num>
  <w:num w:numId="3">
    <w:abstractNumId w:val="8"/>
  </w:num>
  <w:num w:numId="4">
    <w:abstractNumId w:val="1"/>
  </w:num>
  <w:num w:numId="5">
    <w:abstractNumId w:val="6"/>
  </w:num>
  <w:num w:numId="6">
    <w:abstractNumId w:val="5"/>
  </w:num>
  <w:num w:numId="7">
    <w:abstractNumId w:val="0"/>
  </w:num>
  <w:num w:numId="8">
    <w:abstractNumId w:val="3"/>
  </w:num>
  <w:num w:numId="9">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o:colormru v:ext="edit" colors="silver"/>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88F"/>
    <w:rsid w:val="00000C3E"/>
    <w:rsid w:val="0000114E"/>
    <w:rsid w:val="000016BF"/>
    <w:rsid w:val="00001D14"/>
    <w:rsid w:val="00001DD6"/>
    <w:rsid w:val="00002376"/>
    <w:rsid w:val="00002479"/>
    <w:rsid w:val="000026F4"/>
    <w:rsid w:val="00002C84"/>
    <w:rsid w:val="00002DBD"/>
    <w:rsid w:val="0000348B"/>
    <w:rsid w:val="00003668"/>
    <w:rsid w:val="000037D2"/>
    <w:rsid w:val="0000448A"/>
    <w:rsid w:val="0000484B"/>
    <w:rsid w:val="0000486A"/>
    <w:rsid w:val="00004B80"/>
    <w:rsid w:val="00004DF0"/>
    <w:rsid w:val="00004ECA"/>
    <w:rsid w:val="00005278"/>
    <w:rsid w:val="00005D09"/>
    <w:rsid w:val="00005DFE"/>
    <w:rsid w:val="00006587"/>
    <w:rsid w:val="00006C12"/>
    <w:rsid w:val="0000747B"/>
    <w:rsid w:val="00007552"/>
    <w:rsid w:val="00007800"/>
    <w:rsid w:val="00007B12"/>
    <w:rsid w:val="00010433"/>
    <w:rsid w:val="000108EE"/>
    <w:rsid w:val="0001131E"/>
    <w:rsid w:val="00011981"/>
    <w:rsid w:val="00011A8B"/>
    <w:rsid w:val="00011B44"/>
    <w:rsid w:val="00011D7A"/>
    <w:rsid w:val="00012354"/>
    <w:rsid w:val="0001241D"/>
    <w:rsid w:val="0001295C"/>
    <w:rsid w:val="00012A5A"/>
    <w:rsid w:val="000133BD"/>
    <w:rsid w:val="000135FC"/>
    <w:rsid w:val="00013F6F"/>
    <w:rsid w:val="000142CD"/>
    <w:rsid w:val="00014786"/>
    <w:rsid w:val="00014B86"/>
    <w:rsid w:val="00015366"/>
    <w:rsid w:val="00015ADE"/>
    <w:rsid w:val="00015BEB"/>
    <w:rsid w:val="00015BF6"/>
    <w:rsid w:val="00015CD0"/>
    <w:rsid w:val="00015FCA"/>
    <w:rsid w:val="00016919"/>
    <w:rsid w:val="000169F4"/>
    <w:rsid w:val="00016B0D"/>
    <w:rsid w:val="00016B8C"/>
    <w:rsid w:val="0001792C"/>
    <w:rsid w:val="00020296"/>
    <w:rsid w:val="00021032"/>
    <w:rsid w:val="00021426"/>
    <w:rsid w:val="00021B75"/>
    <w:rsid w:val="00021D28"/>
    <w:rsid w:val="00021DC4"/>
    <w:rsid w:val="00021E72"/>
    <w:rsid w:val="00022124"/>
    <w:rsid w:val="0002249D"/>
    <w:rsid w:val="000226DC"/>
    <w:rsid w:val="00022837"/>
    <w:rsid w:val="000228E1"/>
    <w:rsid w:val="0002298A"/>
    <w:rsid w:val="00022B0D"/>
    <w:rsid w:val="00023445"/>
    <w:rsid w:val="0002365F"/>
    <w:rsid w:val="00023C66"/>
    <w:rsid w:val="00023E69"/>
    <w:rsid w:val="00024229"/>
    <w:rsid w:val="000246C9"/>
    <w:rsid w:val="00024A30"/>
    <w:rsid w:val="00024D01"/>
    <w:rsid w:val="00025316"/>
    <w:rsid w:val="00025450"/>
    <w:rsid w:val="000255F2"/>
    <w:rsid w:val="00025A2A"/>
    <w:rsid w:val="00025A9A"/>
    <w:rsid w:val="000262D6"/>
    <w:rsid w:val="00026795"/>
    <w:rsid w:val="00026985"/>
    <w:rsid w:val="0002744A"/>
    <w:rsid w:val="00027499"/>
    <w:rsid w:val="0002761C"/>
    <w:rsid w:val="00027690"/>
    <w:rsid w:val="000277D9"/>
    <w:rsid w:val="00027880"/>
    <w:rsid w:val="00027932"/>
    <w:rsid w:val="00030013"/>
    <w:rsid w:val="00030DA4"/>
    <w:rsid w:val="00030ED0"/>
    <w:rsid w:val="00031259"/>
    <w:rsid w:val="0003193D"/>
    <w:rsid w:val="00031BCB"/>
    <w:rsid w:val="000320E1"/>
    <w:rsid w:val="000321F2"/>
    <w:rsid w:val="00032883"/>
    <w:rsid w:val="00032A83"/>
    <w:rsid w:val="00032ED8"/>
    <w:rsid w:val="00033674"/>
    <w:rsid w:val="00033688"/>
    <w:rsid w:val="00033CA0"/>
    <w:rsid w:val="00033D8E"/>
    <w:rsid w:val="00033FF4"/>
    <w:rsid w:val="000342A7"/>
    <w:rsid w:val="00034F7F"/>
    <w:rsid w:val="00035287"/>
    <w:rsid w:val="00035507"/>
    <w:rsid w:val="000357DF"/>
    <w:rsid w:val="00035F57"/>
    <w:rsid w:val="00035F6F"/>
    <w:rsid w:val="0003602A"/>
    <w:rsid w:val="00036A64"/>
    <w:rsid w:val="00036E8E"/>
    <w:rsid w:val="000375A8"/>
    <w:rsid w:val="000377C4"/>
    <w:rsid w:val="00040BF1"/>
    <w:rsid w:val="00040E0C"/>
    <w:rsid w:val="000412D6"/>
    <w:rsid w:val="00041827"/>
    <w:rsid w:val="000421E4"/>
    <w:rsid w:val="0004289B"/>
    <w:rsid w:val="00042C6C"/>
    <w:rsid w:val="00042E96"/>
    <w:rsid w:val="00043131"/>
    <w:rsid w:val="000435B9"/>
    <w:rsid w:val="00043EC5"/>
    <w:rsid w:val="00044219"/>
    <w:rsid w:val="000443BD"/>
    <w:rsid w:val="000448C8"/>
    <w:rsid w:val="00044A15"/>
    <w:rsid w:val="00044B67"/>
    <w:rsid w:val="00044ECA"/>
    <w:rsid w:val="00045A7A"/>
    <w:rsid w:val="00045C26"/>
    <w:rsid w:val="00045EDE"/>
    <w:rsid w:val="0004625E"/>
    <w:rsid w:val="00046C38"/>
    <w:rsid w:val="00046C73"/>
    <w:rsid w:val="000470F0"/>
    <w:rsid w:val="00047311"/>
    <w:rsid w:val="00047447"/>
    <w:rsid w:val="00047B64"/>
    <w:rsid w:val="00047D25"/>
    <w:rsid w:val="000502B3"/>
    <w:rsid w:val="0005044C"/>
    <w:rsid w:val="000504B8"/>
    <w:rsid w:val="00050730"/>
    <w:rsid w:val="00050B1D"/>
    <w:rsid w:val="0005107A"/>
    <w:rsid w:val="000511AB"/>
    <w:rsid w:val="00051344"/>
    <w:rsid w:val="000517EE"/>
    <w:rsid w:val="00051988"/>
    <w:rsid w:val="00051A23"/>
    <w:rsid w:val="00051A38"/>
    <w:rsid w:val="00051EB3"/>
    <w:rsid w:val="000520DF"/>
    <w:rsid w:val="000528E6"/>
    <w:rsid w:val="00052B9C"/>
    <w:rsid w:val="00052DC9"/>
    <w:rsid w:val="00052F32"/>
    <w:rsid w:val="00053245"/>
    <w:rsid w:val="00053301"/>
    <w:rsid w:val="00053590"/>
    <w:rsid w:val="00053832"/>
    <w:rsid w:val="000538B6"/>
    <w:rsid w:val="00053FE7"/>
    <w:rsid w:val="00054992"/>
    <w:rsid w:val="00054B37"/>
    <w:rsid w:val="00054FBD"/>
    <w:rsid w:val="00055813"/>
    <w:rsid w:val="00055A32"/>
    <w:rsid w:val="00056326"/>
    <w:rsid w:val="00056BDB"/>
    <w:rsid w:val="00056E74"/>
    <w:rsid w:val="00057341"/>
    <w:rsid w:val="000573F0"/>
    <w:rsid w:val="00057640"/>
    <w:rsid w:val="0006012C"/>
    <w:rsid w:val="00061211"/>
    <w:rsid w:val="0006152F"/>
    <w:rsid w:val="000616D8"/>
    <w:rsid w:val="00061770"/>
    <w:rsid w:val="00061BAA"/>
    <w:rsid w:val="00061F45"/>
    <w:rsid w:val="00062164"/>
    <w:rsid w:val="000624D8"/>
    <w:rsid w:val="00062625"/>
    <w:rsid w:val="000629CF"/>
    <w:rsid w:val="00062AF1"/>
    <w:rsid w:val="00062D32"/>
    <w:rsid w:val="0006321F"/>
    <w:rsid w:val="0006364C"/>
    <w:rsid w:val="000647B4"/>
    <w:rsid w:val="000649BE"/>
    <w:rsid w:val="00064D5C"/>
    <w:rsid w:val="00064F1F"/>
    <w:rsid w:val="00065192"/>
    <w:rsid w:val="00065A32"/>
    <w:rsid w:val="00066986"/>
    <w:rsid w:val="00066C04"/>
    <w:rsid w:val="0006732E"/>
    <w:rsid w:val="00067796"/>
    <w:rsid w:val="000678B0"/>
    <w:rsid w:val="00067D5C"/>
    <w:rsid w:val="0007071C"/>
    <w:rsid w:val="00071084"/>
    <w:rsid w:val="00071B8E"/>
    <w:rsid w:val="00071E74"/>
    <w:rsid w:val="00071F23"/>
    <w:rsid w:val="00071FE3"/>
    <w:rsid w:val="0007200A"/>
    <w:rsid w:val="00072523"/>
    <w:rsid w:val="00072530"/>
    <w:rsid w:val="00072576"/>
    <w:rsid w:val="0007264A"/>
    <w:rsid w:val="000727B6"/>
    <w:rsid w:val="0007281F"/>
    <w:rsid w:val="000729FA"/>
    <w:rsid w:val="00072CED"/>
    <w:rsid w:val="00073215"/>
    <w:rsid w:val="00073B41"/>
    <w:rsid w:val="00074358"/>
    <w:rsid w:val="00074560"/>
    <w:rsid w:val="00074C46"/>
    <w:rsid w:val="00074CDB"/>
    <w:rsid w:val="00074F16"/>
    <w:rsid w:val="00075279"/>
    <w:rsid w:val="00076405"/>
    <w:rsid w:val="00076609"/>
    <w:rsid w:val="00076DA6"/>
    <w:rsid w:val="0007708E"/>
    <w:rsid w:val="000770B4"/>
    <w:rsid w:val="00077AA0"/>
    <w:rsid w:val="00077B37"/>
    <w:rsid w:val="00077C7E"/>
    <w:rsid w:val="000806BC"/>
    <w:rsid w:val="00080E73"/>
    <w:rsid w:val="00081565"/>
    <w:rsid w:val="00082102"/>
    <w:rsid w:val="0008245F"/>
    <w:rsid w:val="00082601"/>
    <w:rsid w:val="00082FCA"/>
    <w:rsid w:val="00082FF0"/>
    <w:rsid w:val="00083085"/>
    <w:rsid w:val="00083142"/>
    <w:rsid w:val="0008361F"/>
    <w:rsid w:val="00083661"/>
    <w:rsid w:val="00084193"/>
    <w:rsid w:val="00084302"/>
    <w:rsid w:val="00084BA7"/>
    <w:rsid w:val="00084CB1"/>
    <w:rsid w:val="00084D1B"/>
    <w:rsid w:val="00084F18"/>
    <w:rsid w:val="00085140"/>
    <w:rsid w:val="00085292"/>
    <w:rsid w:val="000856DE"/>
    <w:rsid w:val="00085B0F"/>
    <w:rsid w:val="000867D6"/>
    <w:rsid w:val="00086915"/>
    <w:rsid w:val="0008701B"/>
    <w:rsid w:val="00087330"/>
    <w:rsid w:val="000876B9"/>
    <w:rsid w:val="00087836"/>
    <w:rsid w:val="00087C99"/>
    <w:rsid w:val="00090222"/>
    <w:rsid w:val="0009027B"/>
    <w:rsid w:val="00090341"/>
    <w:rsid w:val="000909FC"/>
    <w:rsid w:val="00090D4C"/>
    <w:rsid w:val="0009189C"/>
    <w:rsid w:val="000918E6"/>
    <w:rsid w:val="0009197C"/>
    <w:rsid w:val="00091CC1"/>
    <w:rsid w:val="00091F95"/>
    <w:rsid w:val="00091FEB"/>
    <w:rsid w:val="0009222B"/>
    <w:rsid w:val="000926B5"/>
    <w:rsid w:val="00092761"/>
    <w:rsid w:val="000928FE"/>
    <w:rsid w:val="00093E82"/>
    <w:rsid w:val="000942F8"/>
    <w:rsid w:val="00094B04"/>
    <w:rsid w:val="0009553E"/>
    <w:rsid w:val="00095725"/>
    <w:rsid w:val="000959B4"/>
    <w:rsid w:val="0009658B"/>
    <w:rsid w:val="00096AAF"/>
    <w:rsid w:val="0009700F"/>
    <w:rsid w:val="00097BF9"/>
    <w:rsid w:val="000A0748"/>
    <w:rsid w:val="000A0909"/>
    <w:rsid w:val="000A0AE7"/>
    <w:rsid w:val="000A1407"/>
    <w:rsid w:val="000A16EE"/>
    <w:rsid w:val="000A1847"/>
    <w:rsid w:val="000A211A"/>
    <w:rsid w:val="000A22E6"/>
    <w:rsid w:val="000A22F2"/>
    <w:rsid w:val="000A264F"/>
    <w:rsid w:val="000A2690"/>
    <w:rsid w:val="000A2746"/>
    <w:rsid w:val="000A27D3"/>
    <w:rsid w:val="000A2C77"/>
    <w:rsid w:val="000A3126"/>
    <w:rsid w:val="000A352F"/>
    <w:rsid w:val="000A37D9"/>
    <w:rsid w:val="000A3941"/>
    <w:rsid w:val="000A3A0E"/>
    <w:rsid w:val="000A44B8"/>
    <w:rsid w:val="000A4C57"/>
    <w:rsid w:val="000A4C72"/>
    <w:rsid w:val="000A4C7C"/>
    <w:rsid w:val="000A4EE0"/>
    <w:rsid w:val="000A5275"/>
    <w:rsid w:val="000A530C"/>
    <w:rsid w:val="000A58DC"/>
    <w:rsid w:val="000A59C9"/>
    <w:rsid w:val="000A5BFD"/>
    <w:rsid w:val="000A600F"/>
    <w:rsid w:val="000A6AE2"/>
    <w:rsid w:val="000A6BCC"/>
    <w:rsid w:val="000A6DC7"/>
    <w:rsid w:val="000A7226"/>
    <w:rsid w:val="000A76AA"/>
    <w:rsid w:val="000A77CB"/>
    <w:rsid w:val="000B03DE"/>
    <w:rsid w:val="000B04E5"/>
    <w:rsid w:val="000B0A42"/>
    <w:rsid w:val="000B106B"/>
    <w:rsid w:val="000B111F"/>
    <w:rsid w:val="000B13B6"/>
    <w:rsid w:val="000B1864"/>
    <w:rsid w:val="000B1A58"/>
    <w:rsid w:val="000B1D7F"/>
    <w:rsid w:val="000B1E35"/>
    <w:rsid w:val="000B235D"/>
    <w:rsid w:val="000B2E4A"/>
    <w:rsid w:val="000B31A4"/>
    <w:rsid w:val="000B3B75"/>
    <w:rsid w:val="000B4109"/>
    <w:rsid w:val="000B48D5"/>
    <w:rsid w:val="000B53A5"/>
    <w:rsid w:val="000B5666"/>
    <w:rsid w:val="000B5BB6"/>
    <w:rsid w:val="000B658A"/>
    <w:rsid w:val="000B71FF"/>
    <w:rsid w:val="000B795A"/>
    <w:rsid w:val="000B7F3B"/>
    <w:rsid w:val="000B7F77"/>
    <w:rsid w:val="000C0776"/>
    <w:rsid w:val="000C0864"/>
    <w:rsid w:val="000C08A4"/>
    <w:rsid w:val="000C0900"/>
    <w:rsid w:val="000C0AE5"/>
    <w:rsid w:val="000C106C"/>
    <w:rsid w:val="000C10AD"/>
    <w:rsid w:val="000C1748"/>
    <w:rsid w:val="000C1970"/>
    <w:rsid w:val="000C2BB0"/>
    <w:rsid w:val="000C2D59"/>
    <w:rsid w:val="000C38CB"/>
    <w:rsid w:val="000C3E4D"/>
    <w:rsid w:val="000C3F43"/>
    <w:rsid w:val="000C461A"/>
    <w:rsid w:val="000C461F"/>
    <w:rsid w:val="000C464D"/>
    <w:rsid w:val="000C47ED"/>
    <w:rsid w:val="000C4AA6"/>
    <w:rsid w:val="000C4DF4"/>
    <w:rsid w:val="000C51A4"/>
    <w:rsid w:val="000C52A7"/>
    <w:rsid w:val="000C5537"/>
    <w:rsid w:val="000C59F6"/>
    <w:rsid w:val="000C5AF0"/>
    <w:rsid w:val="000C5C7F"/>
    <w:rsid w:val="000C5E22"/>
    <w:rsid w:val="000C5E5C"/>
    <w:rsid w:val="000C6013"/>
    <w:rsid w:val="000C6739"/>
    <w:rsid w:val="000C6B1A"/>
    <w:rsid w:val="000C6BD1"/>
    <w:rsid w:val="000D0007"/>
    <w:rsid w:val="000D0BEF"/>
    <w:rsid w:val="000D0C60"/>
    <w:rsid w:val="000D0CC8"/>
    <w:rsid w:val="000D1080"/>
    <w:rsid w:val="000D1141"/>
    <w:rsid w:val="000D15A3"/>
    <w:rsid w:val="000D1B34"/>
    <w:rsid w:val="000D23B5"/>
    <w:rsid w:val="000D26F6"/>
    <w:rsid w:val="000D2FBE"/>
    <w:rsid w:val="000D3091"/>
    <w:rsid w:val="000D3312"/>
    <w:rsid w:val="000D359B"/>
    <w:rsid w:val="000D3C94"/>
    <w:rsid w:val="000D3CFE"/>
    <w:rsid w:val="000D3F6D"/>
    <w:rsid w:val="000D432C"/>
    <w:rsid w:val="000D49C2"/>
    <w:rsid w:val="000D5320"/>
    <w:rsid w:val="000D5B0F"/>
    <w:rsid w:val="000D5C16"/>
    <w:rsid w:val="000D5D1F"/>
    <w:rsid w:val="000D6329"/>
    <w:rsid w:val="000D77A5"/>
    <w:rsid w:val="000D77B1"/>
    <w:rsid w:val="000D7E6D"/>
    <w:rsid w:val="000E0D8B"/>
    <w:rsid w:val="000E0EEE"/>
    <w:rsid w:val="000E1704"/>
    <w:rsid w:val="000E18A9"/>
    <w:rsid w:val="000E1A5F"/>
    <w:rsid w:val="000E211B"/>
    <w:rsid w:val="000E2636"/>
    <w:rsid w:val="000E2693"/>
    <w:rsid w:val="000E28D5"/>
    <w:rsid w:val="000E2B82"/>
    <w:rsid w:val="000E3C0B"/>
    <w:rsid w:val="000E3C8A"/>
    <w:rsid w:val="000E4514"/>
    <w:rsid w:val="000E4752"/>
    <w:rsid w:val="000E4C31"/>
    <w:rsid w:val="000E4D33"/>
    <w:rsid w:val="000E4FCC"/>
    <w:rsid w:val="000E56C2"/>
    <w:rsid w:val="000E572B"/>
    <w:rsid w:val="000E5935"/>
    <w:rsid w:val="000E5A2C"/>
    <w:rsid w:val="000E5CAB"/>
    <w:rsid w:val="000E5DA0"/>
    <w:rsid w:val="000E603B"/>
    <w:rsid w:val="000E6305"/>
    <w:rsid w:val="000E63ED"/>
    <w:rsid w:val="000E6A00"/>
    <w:rsid w:val="000E6FFC"/>
    <w:rsid w:val="000E7FE5"/>
    <w:rsid w:val="000F00CB"/>
    <w:rsid w:val="000F01F6"/>
    <w:rsid w:val="000F0390"/>
    <w:rsid w:val="000F03ED"/>
    <w:rsid w:val="000F11EE"/>
    <w:rsid w:val="000F1270"/>
    <w:rsid w:val="000F18A2"/>
    <w:rsid w:val="000F1964"/>
    <w:rsid w:val="000F220F"/>
    <w:rsid w:val="000F2286"/>
    <w:rsid w:val="000F27AF"/>
    <w:rsid w:val="000F2A76"/>
    <w:rsid w:val="000F2C46"/>
    <w:rsid w:val="000F355F"/>
    <w:rsid w:val="000F38BC"/>
    <w:rsid w:val="000F3A8B"/>
    <w:rsid w:val="000F3CA3"/>
    <w:rsid w:val="000F3E8D"/>
    <w:rsid w:val="000F3FA9"/>
    <w:rsid w:val="000F4652"/>
    <w:rsid w:val="000F4E52"/>
    <w:rsid w:val="000F55F9"/>
    <w:rsid w:val="000F6478"/>
    <w:rsid w:val="000F68E6"/>
    <w:rsid w:val="000F6BDE"/>
    <w:rsid w:val="000F6E02"/>
    <w:rsid w:val="000F7E80"/>
    <w:rsid w:val="001000C2"/>
    <w:rsid w:val="00100629"/>
    <w:rsid w:val="00100F0D"/>
    <w:rsid w:val="0010178B"/>
    <w:rsid w:val="00101BAF"/>
    <w:rsid w:val="00102567"/>
    <w:rsid w:val="00102697"/>
    <w:rsid w:val="001028D2"/>
    <w:rsid w:val="00102A61"/>
    <w:rsid w:val="00103000"/>
    <w:rsid w:val="00103451"/>
    <w:rsid w:val="00103949"/>
    <w:rsid w:val="00104B09"/>
    <w:rsid w:val="00104D8E"/>
    <w:rsid w:val="00104E33"/>
    <w:rsid w:val="001052CF"/>
    <w:rsid w:val="001059D8"/>
    <w:rsid w:val="0010616A"/>
    <w:rsid w:val="001065BF"/>
    <w:rsid w:val="00106743"/>
    <w:rsid w:val="001067FE"/>
    <w:rsid w:val="00106DC1"/>
    <w:rsid w:val="00106E5E"/>
    <w:rsid w:val="001070D2"/>
    <w:rsid w:val="001071EF"/>
    <w:rsid w:val="001076B5"/>
    <w:rsid w:val="00107B03"/>
    <w:rsid w:val="00107EF5"/>
    <w:rsid w:val="0011079E"/>
    <w:rsid w:val="00110C06"/>
    <w:rsid w:val="00110CDD"/>
    <w:rsid w:val="00110F3E"/>
    <w:rsid w:val="001112C6"/>
    <w:rsid w:val="00111546"/>
    <w:rsid w:val="001115F8"/>
    <w:rsid w:val="00111B5B"/>
    <w:rsid w:val="00111BA5"/>
    <w:rsid w:val="0011201B"/>
    <w:rsid w:val="00112096"/>
    <w:rsid w:val="001129F4"/>
    <w:rsid w:val="00112A2F"/>
    <w:rsid w:val="0011333A"/>
    <w:rsid w:val="00113545"/>
    <w:rsid w:val="00113600"/>
    <w:rsid w:val="001139A0"/>
    <w:rsid w:val="00113CF3"/>
    <w:rsid w:val="00113CF7"/>
    <w:rsid w:val="001142EA"/>
    <w:rsid w:val="00114362"/>
    <w:rsid w:val="00114579"/>
    <w:rsid w:val="00114858"/>
    <w:rsid w:val="001148F7"/>
    <w:rsid w:val="00114B26"/>
    <w:rsid w:val="00114C57"/>
    <w:rsid w:val="00114E7C"/>
    <w:rsid w:val="00114F72"/>
    <w:rsid w:val="0011509A"/>
    <w:rsid w:val="001155A6"/>
    <w:rsid w:val="00115BD7"/>
    <w:rsid w:val="00116C48"/>
    <w:rsid w:val="0011713C"/>
    <w:rsid w:val="0011741E"/>
    <w:rsid w:val="00117BDC"/>
    <w:rsid w:val="00117C45"/>
    <w:rsid w:val="0012047E"/>
    <w:rsid w:val="00120695"/>
    <w:rsid w:val="00120B27"/>
    <w:rsid w:val="00120C7E"/>
    <w:rsid w:val="00120CA0"/>
    <w:rsid w:val="00121433"/>
    <w:rsid w:val="001217F1"/>
    <w:rsid w:val="00122514"/>
    <w:rsid w:val="00122E37"/>
    <w:rsid w:val="00123021"/>
    <w:rsid w:val="00123130"/>
    <w:rsid w:val="001237AF"/>
    <w:rsid w:val="00123B18"/>
    <w:rsid w:val="00123DC1"/>
    <w:rsid w:val="00124071"/>
    <w:rsid w:val="00124142"/>
    <w:rsid w:val="00124201"/>
    <w:rsid w:val="00124418"/>
    <w:rsid w:val="00124BD5"/>
    <w:rsid w:val="00124F92"/>
    <w:rsid w:val="001252AB"/>
    <w:rsid w:val="0012570A"/>
    <w:rsid w:val="001257A1"/>
    <w:rsid w:val="00125A48"/>
    <w:rsid w:val="00125D06"/>
    <w:rsid w:val="00125D24"/>
    <w:rsid w:val="00125F55"/>
    <w:rsid w:val="00126098"/>
    <w:rsid w:val="00126477"/>
    <w:rsid w:val="001264D1"/>
    <w:rsid w:val="00126C73"/>
    <w:rsid w:val="00127886"/>
    <w:rsid w:val="00127B83"/>
    <w:rsid w:val="0013058D"/>
    <w:rsid w:val="00130617"/>
    <w:rsid w:val="0013061A"/>
    <w:rsid w:val="001308D3"/>
    <w:rsid w:val="001309E4"/>
    <w:rsid w:val="00130A78"/>
    <w:rsid w:val="00130EE6"/>
    <w:rsid w:val="001311E7"/>
    <w:rsid w:val="001312DB"/>
    <w:rsid w:val="001313C0"/>
    <w:rsid w:val="001316A8"/>
    <w:rsid w:val="00132001"/>
    <w:rsid w:val="001320B4"/>
    <w:rsid w:val="00132899"/>
    <w:rsid w:val="001328A3"/>
    <w:rsid w:val="00132AF0"/>
    <w:rsid w:val="001332C4"/>
    <w:rsid w:val="00133B1B"/>
    <w:rsid w:val="00133CCE"/>
    <w:rsid w:val="0013404E"/>
    <w:rsid w:val="001343E8"/>
    <w:rsid w:val="00134424"/>
    <w:rsid w:val="00134651"/>
    <w:rsid w:val="00135182"/>
    <w:rsid w:val="001355B8"/>
    <w:rsid w:val="00135A47"/>
    <w:rsid w:val="00136B6E"/>
    <w:rsid w:val="00136DBA"/>
    <w:rsid w:val="00136FCB"/>
    <w:rsid w:val="00137068"/>
    <w:rsid w:val="00137DC4"/>
    <w:rsid w:val="0014112E"/>
    <w:rsid w:val="001412CE"/>
    <w:rsid w:val="001414A9"/>
    <w:rsid w:val="00141A5E"/>
    <w:rsid w:val="00142146"/>
    <w:rsid w:val="00142685"/>
    <w:rsid w:val="00142716"/>
    <w:rsid w:val="00142D46"/>
    <w:rsid w:val="00143087"/>
    <w:rsid w:val="001437C8"/>
    <w:rsid w:val="001440F3"/>
    <w:rsid w:val="00144312"/>
    <w:rsid w:val="001443E7"/>
    <w:rsid w:val="00145418"/>
    <w:rsid w:val="001455D4"/>
    <w:rsid w:val="00145B05"/>
    <w:rsid w:val="00146327"/>
    <w:rsid w:val="001465DB"/>
    <w:rsid w:val="00146AB6"/>
    <w:rsid w:val="00146BE0"/>
    <w:rsid w:val="00146FF5"/>
    <w:rsid w:val="00147243"/>
    <w:rsid w:val="001476C1"/>
    <w:rsid w:val="00147720"/>
    <w:rsid w:val="00147BE7"/>
    <w:rsid w:val="0015005F"/>
    <w:rsid w:val="00150098"/>
    <w:rsid w:val="00150864"/>
    <w:rsid w:val="001512DB"/>
    <w:rsid w:val="00151414"/>
    <w:rsid w:val="001516C7"/>
    <w:rsid w:val="00151DD3"/>
    <w:rsid w:val="0015223E"/>
    <w:rsid w:val="0015259A"/>
    <w:rsid w:val="001529B7"/>
    <w:rsid w:val="00153216"/>
    <w:rsid w:val="001539AF"/>
    <w:rsid w:val="00153AB7"/>
    <w:rsid w:val="001543F0"/>
    <w:rsid w:val="0015486E"/>
    <w:rsid w:val="00155556"/>
    <w:rsid w:val="0015571C"/>
    <w:rsid w:val="001562F9"/>
    <w:rsid w:val="001568C5"/>
    <w:rsid w:val="001568DC"/>
    <w:rsid w:val="00157CE4"/>
    <w:rsid w:val="00157CFA"/>
    <w:rsid w:val="001605A8"/>
    <w:rsid w:val="00160678"/>
    <w:rsid w:val="001607D7"/>
    <w:rsid w:val="00160881"/>
    <w:rsid w:val="001609DA"/>
    <w:rsid w:val="00160CF3"/>
    <w:rsid w:val="001614F0"/>
    <w:rsid w:val="00161F53"/>
    <w:rsid w:val="001626D3"/>
    <w:rsid w:val="00162D30"/>
    <w:rsid w:val="00162D36"/>
    <w:rsid w:val="001633D0"/>
    <w:rsid w:val="001639B7"/>
    <w:rsid w:val="00163C46"/>
    <w:rsid w:val="00164281"/>
    <w:rsid w:val="00164300"/>
    <w:rsid w:val="001650EC"/>
    <w:rsid w:val="0016518F"/>
    <w:rsid w:val="0016523E"/>
    <w:rsid w:val="0016561E"/>
    <w:rsid w:val="00165C9C"/>
    <w:rsid w:val="001665EB"/>
    <w:rsid w:val="00166933"/>
    <w:rsid w:val="00166FAF"/>
    <w:rsid w:val="00167507"/>
    <w:rsid w:val="00167C4F"/>
    <w:rsid w:val="001702C3"/>
    <w:rsid w:val="001706CD"/>
    <w:rsid w:val="00170A11"/>
    <w:rsid w:val="00170F14"/>
    <w:rsid w:val="001713D5"/>
    <w:rsid w:val="001713E0"/>
    <w:rsid w:val="00171493"/>
    <w:rsid w:val="0017153D"/>
    <w:rsid w:val="001716C9"/>
    <w:rsid w:val="00171751"/>
    <w:rsid w:val="0017213E"/>
    <w:rsid w:val="0017259F"/>
    <w:rsid w:val="00172C97"/>
    <w:rsid w:val="00173152"/>
    <w:rsid w:val="00173226"/>
    <w:rsid w:val="001738B5"/>
    <w:rsid w:val="00174062"/>
    <w:rsid w:val="0017443B"/>
    <w:rsid w:val="0017491C"/>
    <w:rsid w:val="00174EE8"/>
    <w:rsid w:val="001754BC"/>
    <w:rsid w:val="00175681"/>
    <w:rsid w:val="001757D3"/>
    <w:rsid w:val="00175802"/>
    <w:rsid w:val="00175AE6"/>
    <w:rsid w:val="00176741"/>
    <w:rsid w:val="00176C28"/>
    <w:rsid w:val="00176EAA"/>
    <w:rsid w:val="001776E8"/>
    <w:rsid w:val="00177981"/>
    <w:rsid w:val="00177D4A"/>
    <w:rsid w:val="00177D4F"/>
    <w:rsid w:val="001800B2"/>
    <w:rsid w:val="00180266"/>
    <w:rsid w:val="00180592"/>
    <w:rsid w:val="00180820"/>
    <w:rsid w:val="00180F7E"/>
    <w:rsid w:val="00181341"/>
    <w:rsid w:val="00181F34"/>
    <w:rsid w:val="00181F49"/>
    <w:rsid w:val="0018216D"/>
    <w:rsid w:val="00182891"/>
    <w:rsid w:val="00182B5F"/>
    <w:rsid w:val="00182DF6"/>
    <w:rsid w:val="00183367"/>
    <w:rsid w:val="00183963"/>
    <w:rsid w:val="0018400D"/>
    <w:rsid w:val="0018572D"/>
    <w:rsid w:val="001858A1"/>
    <w:rsid w:val="00185BA4"/>
    <w:rsid w:val="001862F2"/>
    <w:rsid w:val="00186450"/>
    <w:rsid w:val="001867A3"/>
    <w:rsid w:val="00186C13"/>
    <w:rsid w:val="00186E35"/>
    <w:rsid w:val="001879C2"/>
    <w:rsid w:val="001905FD"/>
    <w:rsid w:val="00190CBF"/>
    <w:rsid w:val="00190FF7"/>
    <w:rsid w:val="0019136F"/>
    <w:rsid w:val="0019139E"/>
    <w:rsid w:val="001913D1"/>
    <w:rsid w:val="0019195D"/>
    <w:rsid w:val="00191CA4"/>
    <w:rsid w:val="00191EDB"/>
    <w:rsid w:val="00193111"/>
    <w:rsid w:val="00193131"/>
    <w:rsid w:val="0019313B"/>
    <w:rsid w:val="0019321C"/>
    <w:rsid w:val="0019338F"/>
    <w:rsid w:val="00193B6D"/>
    <w:rsid w:val="00193D97"/>
    <w:rsid w:val="00194922"/>
    <w:rsid w:val="00194A18"/>
    <w:rsid w:val="00194BEA"/>
    <w:rsid w:val="00194BEE"/>
    <w:rsid w:val="0019552F"/>
    <w:rsid w:val="00195DBB"/>
    <w:rsid w:val="0019623E"/>
    <w:rsid w:val="001965BD"/>
    <w:rsid w:val="00196601"/>
    <w:rsid w:val="00196B2E"/>
    <w:rsid w:val="0019705D"/>
    <w:rsid w:val="0019713D"/>
    <w:rsid w:val="00197192"/>
    <w:rsid w:val="001972CD"/>
    <w:rsid w:val="00197831"/>
    <w:rsid w:val="00197AAF"/>
    <w:rsid w:val="00197AC6"/>
    <w:rsid w:val="00197C6E"/>
    <w:rsid w:val="001A0036"/>
    <w:rsid w:val="001A099C"/>
    <w:rsid w:val="001A1123"/>
    <w:rsid w:val="001A140D"/>
    <w:rsid w:val="001A19B0"/>
    <w:rsid w:val="001A1A2D"/>
    <w:rsid w:val="001A207B"/>
    <w:rsid w:val="001A2271"/>
    <w:rsid w:val="001A25FE"/>
    <w:rsid w:val="001A2641"/>
    <w:rsid w:val="001A26E2"/>
    <w:rsid w:val="001A27F7"/>
    <w:rsid w:val="001A303B"/>
    <w:rsid w:val="001A325A"/>
    <w:rsid w:val="001A32FC"/>
    <w:rsid w:val="001A351A"/>
    <w:rsid w:val="001A3A55"/>
    <w:rsid w:val="001A40B5"/>
    <w:rsid w:val="001A4213"/>
    <w:rsid w:val="001A4340"/>
    <w:rsid w:val="001A4781"/>
    <w:rsid w:val="001A4D7E"/>
    <w:rsid w:val="001A53D2"/>
    <w:rsid w:val="001A67F7"/>
    <w:rsid w:val="001A68EE"/>
    <w:rsid w:val="001A6C6C"/>
    <w:rsid w:val="001B0330"/>
    <w:rsid w:val="001B0A17"/>
    <w:rsid w:val="001B14FF"/>
    <w:rsid w:val="001B1C8D"/>
    <w:rsid w:val="001B1D43"/>
    <w:rsid w:val="001B1EDD"/>
    <w:rsid w:val="001B21E7"/>
    <w:rsid w:val="001B27CD"/>
    <w:rsid w:val="001B2B1C"/>
    <w:rsid w:val="001B3293"/>
    <w:rsid w:val="001B3868"/>
    <w:rsid w:val="001B3874"/>
    <w:rsid w:val="001B39F7"/>
    <w:rsid w:val="001B3BCA"/>
    <w:rsid w:val="001B461C"/>
    <w:rsid w:val="001B4646"/>
    <w:rsid w:val="001B4957"/>
    <w:rsid w:val="001B4D05"/>
    <w:rsid w:val="001B502F"/>
    <w:rsid w:val="001B5159"/>
    <w:rsid w:val="001B5169"/>
    <w:rsid w:val="001B5652"/>
    <w:rsid w:val="001B5A80"/>
    <w:rsid w:val="001B69F1"/>
    <w:rsid w:val="001B6D6B"/>
    <w:rsid w:val="001B72BF"/>
    <w:rsid w:val="001B7C21"/>
    <w:rsid w:val="001C00A7"/>
    <w:rsid w:val="001C1526"/>
    <w:rsid w:val="001C20EE"/>
    <w:rsid w:val="001C2616"/>
    <w:rsid w:val="001C2EE4"/>
    <w:rsid w:val="001C30DC"/>
    <w:rsid w:val="001C3377"/>
    <w:rsid w:val="001C38A2"/>
    <w:rsid w:val="001C3936"/>
    <w:rsid w:val="001C4A75"/>
    <w:rsid w:val="001C522A"/>
    <w:rsid w:val="001C55A4"/>
    <w:rsid w:val="001C6008"/>
    <w:rsid w:val="001C6312"/>
    <w:rsid w:val="001C68ED"/>
    <w:rsid w:val="001C7002"/>
    <w:rsid w:val="001C7340"/>
    <w:rsid w:val="001C75A2"/>
    <w:rsid w:val="001D022A"/>
    <w:rsid w:val="001D027E"/>
    <w:rsid w:val="001D0E35"/>
    <w:rsid w:val="001D0FD6"/>
    <w:rsid w:val="001D14A3"/>
    <w:rsid w:val="001D17C3"/>
    <w:rsid w:val="001D1B44"/>
    <w:rsid w:val="001D223E"/>
    <w:rsid w:val="001D24C3"/>
    <w:rsid w:val="001D2679"/>
    <w:rsid w:val="001D2CB1"/>
    <w:rsid w:val="001D2DC5"/>
    <w:rsid w:val="001D371A"/>
    <w:rsid w:val="001D3E21"/>
    <w:rsid w:val="001D42EF"/>
    <w:rsid w:val="001D43C8"/>
    <w:rsid w:val="001D4B2E"/>
    <w:rsid w:val="001D4D0D"/>
    <w:rsid w:val="001D4E8E"/>
    <w:rsid w:val="001D4F2A"/>
    <w:rsid w:val="001D5226"/>
    <w:rsid w:val="001D5575"/>
    <w:rsid w:val="001D579A"/>
    <w:rsid w:val="001D5A71"/>
    <w:rsid w:val="001D5B1C"/>
    <w:rsid w:val="001D5FD2"/>
    <w:rsid w:val="001D676A"/>
    <w:rsid w:val="001D6BBB"/>
    <w:rsid w:val="001D6EE8"/>
    <w:rsid w:val="001D731C"/>
    <w:rsid w:val="001D7C12"/>
    <w:rsid w:val="001D7F03"/>
    <w:rsid w:val="001E018C"/>
    <w:rsid w:val="001E01ED"/>
    <w:rsid w:val="001E1009"/>
    <w:rsid w:val="001E1DBF"/>
    <w:rsid w:val="001E204C"/>
    <w:rsid w:val="001E2881"/>
    <w:rsid w:val="001E2AC9"/>
    <w:rsid w:val="001E34AB"/>
    <w:rsid w:val="001E3916"/>
    <w:rsid w:val="001E48AB"/>
    <w:rsid w:val="001E4953"/>
    <w:rsid w:val="001E4B65"/>
    <w:rsid w:val="001E4B6F"/>
    <w:rsid w:val="001E4F66"/>
    <w:rsid w:val="001E5434"/>
    <w:rsid w:val="001E55B0"/>
    <w:rsid w:val="001E55BA"/>
    <w:rsid w:val="001E5605"/>
    <w:rsid w:val="001E5785"/>
    <w:rsid w:val="001E5CD6"/>
    <w:rsid w:val="001E5DA0"/>
    <w:rsid w:val="001E5E47"/>
    <w:rsid w:val="001E63CA"/>
    <w:rsid w:val="001E6818"/>
    <w:rsid w:val="001E7440"/>
    <w:rsid w:val="001E761B"/>
    <w:rsid w:val="001E7991"/>
    <w:rsid w:val="001E7B96"/>
    <w:rsid w:val="001F0371"/>
    <w:rsid w:val="001F04C8"/>
    <w:rsid w:val="001F0779"/>
    <w:rsid w:val="001F0B48"/>
    <w:rsid w:val="001F0D5F"/>
    <w:rsid w:val="001F0FDA"/>
    <w:rsid w:val="001F145F"/>
    <w:rsid w:val="001F157A"/>
    <w:rsid w:val="001F210F"/>
    <w:rsid w:val="001F2A40"/>
    <w:rsid w:val="001F2D78"/>
    <w:rsid w:val="001F326A"/>
    <w:rsid w:val="001F339D"/>
    <w:rsid w:val="001F382E"/>
    <w:rsid w:val="001F43E8"/>
    <w:rsid w:val="001F44B3"/>
    <w:rsid w:val="001F4602"/>
    <w:rsid w:val="001F4811"/>
    <w:rsid w:val="001F4A5B"/>
    <w:rsid w:val="001F4E91"/>
    <w:rsid w:val="001F52DA"/>
    <w:rsid w:val="001F5545"/>
    <w:rsid w:val="001F57DD"/>
    <w:rsid w:val="001F5B33"/>
    <w:rsid w:val="001F5BE5"/>
    <w:rsid w:val="001F5DEB"/>
    <w:rsid w:val="001F60ED"/>
    <w:rsid w:val="001F63D3"/>
    <w:rsid w:val="001F65A7"/>
    <w:rsid w:val="001F6955"/>
    <w:rsid w:val="001F6C54"/>
    <w:rsid w:val="001F79C1"/>
    <w:rsid w:val="001F7DEF"/>
    <w:rsid w:val="001F7FB3"/>
    <w:rsid w:val="00200010"/>
    <w:rsid w:val="00200090"/>
    <w:rsid w:val="002001F3"/>
    <w:rsid w:val="00200560"/>
    <w:rsid w:val="0020066F"/>
    <w:rsid w:val="002008C8"/>
    <w:rsid w:val="00200E8D"/>
    <w:rsid w:val="00201167"/>
    <w:rsid w:val="002013C1"/>
    <w:rsid w:val="0020177D"/>
    <w:rsid w:val="00202489"/>
    <w:rsid w:val="0020248F"/>
    <w:rsid w:val="0020286A"/>
    <w:rsid w:val="00202AFB"/>
    <w:rsid w:val="00202DD7"/>
    <w:rsid w:val="00203090"/>
    <w:rsid w:val="00203094"/>
    <w:rsid w:val="00203793"/>
    <w:rsid w:val="00203FCF"/>
    <w:rsid w:val="002041AF"/>
    <w:rsid w:val="002044EB"/>
    <w:rsid w:val="00204579"/>
    <w:rsid w:val="002048CB"/>
    <w:rsid w:val="0020495F"/>
    <w:rsid w:val="00204B31"/>
    <w:rsid w:val="00205056"/>
    <w:rsid w:val="002051F7"/>
    <w:rsid w:val="0020542E"/>
    <w:rsid w:val="00205536"/>
    <w:rsid w:val="00205FA9"/>
    <w:rsid w:val="00205FCF"/>
    <w:rsid w:val="002072BA"/>
    <w:rsid w:val="0020733A"/>
    <w:rsid w:val="00207A86"/>
    <w:rsid w:val="00207CEE"/>
    <w:rsid w:val="00207D7A"/>
    <w:rsid w:val="00207E2A"/>
    <w:rsid w:val="00207FE3"/>
    <w:rsid w:val="00210D17"/>
    <w:rsid w:val="002111CB"/>
    <w:rsid w:val="00211B01"/>
    <w:rsid w:val="00211B22"/>
    <w:rsid w:val="00211C38"/>
    <w:rsid w:val="00211D05"/>
    <w:rsid w:val="002124C1"/>
    <w:rsid w:val="00212577"/>
    <w:rsid w:val="00212607"/>
    <w:rsid w:val="002131F4"/>
    <w:rsid w:val="002132B2"/>
    <w:rsid w:val="00213C31"/>
    <w:rsid w:val="00213F2C"/>
    <w:rsid w:val="00214143"/>
    <w:rsid w:val="00214C82"/>
    <w:rsid w:val="00214C9A"/>
    <w:rsid w:val="00215171"/>
    <w:rsid w:val="00215609"/>
    <w:rsid w:val="00215629"/>
    <w:rsid w:val="002156AC"/>
    <w:rsid w:val="00215BC0"/>
    <w:rsid w:val="00216455"/>
    <w:rsid w:val="00216AED"/>
    <w:rsid w:val="00216E44"/>
    <w:rsid w:val="002173FE"/>
    <w:rsid w:val="00217431"/>
    <w:rsid w:val="00217672"/>
    <w:rsid w:val="00217898"/>
    <w:rsid w:val="00217A9C"/>
    <w:rsid w:val="00217D15"/>
    <w:rsid w:val="00220D88"/>
    <w:rsid w:val="00220F36"/>
    <w:rsid w:val="002214EE"/>
    <w:rsid w:val="00221DF2"/>
    <w:rsid w:val="0022323C"/>
    <w:rsid w:val="002237A2"/>
    <w:rsid w:val="00223B80"/>
    <w:rsid w:val="00223C0E"/>
    <w:rsid w:val="00223C2E"/>
    <w:rsid w:val="00223D61"/>
    <w:rsid w:val="00223F22"/>
    <w:rsid w:val="002249FD"/>
    <w:rsid w:val="00224D5C"/>
    <w:rsid w:val="00224E0C"/>
    <w:rsid w:val="002251F6"/>
    <w:rsid w:val="0022568F"/>
    <w:rsid w:val="00225D02"/>
    <w:rsid w:val="0022695E"/>
    <w:rsid w:val="00226AE6"/>
    <w:rsid w:val="00227087"/>
    <w:rsid w:val="00227408"/>
    <w:rsid w:val="0022756E"/>
    <w:rsid w:val="002275A3"/>
    <w:rsid w:val="002279D8"/>
    <w:rsid w:val="002279E1"/>
    <w:rsid w:val="00227C71"/>
    <w:rsid w:val="00230DA8"/>
    <w:rsid w:val="00230EE0"/>
    <w:rsid w:val="0023147C"/>
    <w:rsid w:val="00231676"/>
    <w:rsid w:val="0023179E"/>
    <w:rsid w:val="00231C4F"/>
    <w:rsid w:val="00231CD5"/>
    <w:rsid w:val="00232297"/>
    <w:rsid w:val="002326DD"/>
    <w:rsid w:val="0023280C"/>
    <w:rsid w:val="00232B00"/>
    <w:rsid w:val="00232C20"/>
    <w:rsid w:val="002331CC"/>
    <w:rsid w:val="002339DA"/>
    <w:rsid w:val="00233AC6"/>
    <w:rsid w:val="00233AE2"/>
    <w:rsid w:val="00233F6A"/>
    <w:rsid w:val="002344E5"/>
    <w:rsid w:val="00234778"/>
    <w:rsid w:val="0023482D"/>
    <w:rsid w:val="00234842"/>
    <w:rsid w:val="00234D43"/>
    <w:rsid w:val="00234D6C"/>
    <w:rsid w:val="00234F73"/>
    <w:rsid w:val="002359EC"/>
    <w:rsid w:val="00235CB2"/>
    <w:rsid w:val="00236BA3"/>
    <w:rsid w:val="00236F2C"/>
    <w:rsid w:val="00237622"/>
    <w:rsid w:val="00237E09"/>
    <w:rsid w:val="00237F65"/>
    <w:rsid w:val="00240239"/>
    <w:rsid w:val="002402D5"/>
    <w:rsid w:val="00240417"/>
    <w:rsid w:val="00240563"/>
    <w:rsid w:val="00241470"/>
    <w:rsid w:val="002419AA"/>
    <w:rsid w:val="00241A1E"/>
    <w:rsid w:val="002424C6"/>
    <w:rsid w:val="002428C0"/>
    <w:rsid w:val="00242EDE"/>
    <w:rsid w:val="00242F01"/>
    <w:rsid w:val="00242FA1"/>
    <w:rsid w:val="00242FB3"/>
    <w:rsid w:val="002432C6"/>
    <w:rsid w:val="0024330D"/>
    <w:rsid w:val="002433D2"/>
    <w:rsid w:val="00243625"/>
    <w:rsid w:val="00243735"/>
    <w:rsid w:val="0024380B"/>
    <w:rsid w:val="00243C1C"/>
    <w:rsid w:val="0024410A"/>
    <w:rsid w:val="002448D5"/>
    <w:rsid w:val="00244CEB"/>
    <w:rsid w:val="00244D72"/>
    <w:rsid w:val="00245961"/>
    <w:rsid w:val="00245C41"/>
    <w:rsid w:val="002465F7"/>
    <w:rsid w:val="00246979"/>
    <w:rsid w:val="002469C5"/>
    <w:rsid w:val="002469EF"/>
    <w:rsid w:val="00246D70"/>
    <w:rsid w:val="00247176"/>
    <w:rsid w:val="002471CF"/>
    <w:rsid w:val="0024741C"/>
    <w:rsid w:val="002474A0"/>
    <w:rsid w:val="0024797F"/>
    <w:rsid w:val="002479E5"/>
    <w:rsid w:val="00247DA2"/>
    <w:rsid w:val="00250578"/>
    <w:rsid w:val="0025118B"/>
    <w:rsid w:val="002512A7"/>
    <w:rsid w:val="00251490"/>
    <w:rsid w:val="00251850"/>
    <w:rsid w:val="00251958"/>
    <w:rsid w:val="00251D29"/>
    <w:rsid w:val="00251EBA"/>
    <w:rsid w:val="00251FE6"/>
    <w:rsid w:val="00252B2B"/>
    <w:rsid w:val="00252F01"/>
    <w:rsid w:val="00253BC4"/>
    <w:rsid w:val="00254298"/>
    <w:rsid w:val="00254702"/>
    <w:rsid w:val="002551A1"/>
    <w:rsid w:val="0025629B"/>
    <w:rsid w:val="002562EE"/>
    <w:rsid w:val="0025635A"/>
    <w:rsid w:val="0025669D"/>
    <w:rsid w:val="00256803"/>
    <w:rsid w:val="00256A6C"/>
    <w:rsid w:val="00256BFB"/>
    <w:rsid w:val="00256FA6"/>
    <w:rsid w:val="0025711D"/>
    <w:rsid w:val="002573EB"/>
    <w:rsid w:val="00257916"/>
    <w:rsid w:val="00257B9E"/>
    <w:rsid w:val="00257E1B"/>
    <w:rsid w:val="00260A3C"/>
    <w:rsid w:val="002611B1"/>
    <w:rsid w:val="002618B7"/>
    <w:rsid w:val="00261A93"/>
    <w:rsid w:val="00261C19"/>
    <w:rsid w:val="00261D17"/>
    <w:rsid w:val="00261F31"/>
    <w:rsid w:val="0026247A"/>
    <w:rsid w:val="0026298A"/>
    <w:rsid w:val="00262CB3"/>
    <w:rsid w:val="00262F95"/>
    <w:rsid w:val="0026348E"/>
    <w:rsid w:val="0026389F"/>
    <w:rsid w:val="002638A0"/>
    <w:rsid w:val="00263ED3"/>
    <w:rsid w:val="00264030"/>
    <w:rsid w:val="0026407C"/>
    <w:rsid w:val="00264D22"/>
    <w:rsid w:val="00264E5E"/>
    <w:rsid w:val="002650BD"/>
    <w:rsid w:val="0026533D"/>
    <w:rsid w:val="002655B8"/>
    <w:rsid w:val="00265961"/>
    <w:rsid w:val="00265CF5"/>
    <w:rsid w:val="002660A6"/>
    <w:rsid w:val="00266E98"/>
    <w:rsid w:val="00267029"/>
    <w:rsid w:val="002670E4"/>
    <w:rsid w:val="0026763B"/>
    <w:rsid w:val="0026765A"/>
    <w:rsid w:val="00267CBE"/>
    <w:rsid w:val="00267E18"/>
    <w:rsid w:val="00267FB9"/>
    <w:rsid w:val="0027019C"/>
    <w:rsid w:val="00270A45"/>
    <w:rsid w:val="00270F98"/>
    <w:rsid w:val="00271280"/>
    <w:rsid w:val="0027287E"/>
    <w:rsid w:val="00272886"/>
    <w:rsid w:val="00272AA2"/>
    <w:rsid w:val="00273B9C"/>
    <w:rsid w:val="00273C4D"/>
    <w:rsid w:val="00273CBB"/>
    <w:rsid w:val="0027414D"/>
    <w:rsid w:val="00274424"/>
    <w:rsid w:val="00274A9C"/>
    <w:rsid w:val="00274DEA"/>
    <w:rsid w:val="00275AC9"/>
    <w:rsid w:val="00275F50"/>
    <w:rsid w:val="00276003"/>
    <w:rsid w:val="00276541"/>
    <w:rsid w:val="0027672D"/>
    <w:rsid w:val="00276854"/>
    <w:rsid w:val="002769CC"/>
    <w:rsid w:val="00276ACB"/>
    <w:rsid w:val="0027761F"/>
    <w:rsid w:val="002776E6"/>
    <w:rsid w:val="00277CEF"/>
    <w:rsid w:val="0028009C"/>
    <w:rsid w:val="0028026A"/>
    <w:rsid w:val="00280846"/>
    <w:rsid w:val="00281136"/>
    <w:rsid w:val="002819FA"/>
    <w:rsid w:val="00281E27"/>
    <w:rsid w:val="00282219"/>
    <w:rsid w:val="0028236C"/>
    <w:rsid w:val="002831B5"/>
    <w:rsid w:val="0028349B"/>
    <w:rsid w:val="002836DA"/>
    <w:rsid w:val="00283935"/>
    <w:rsid w:val="00283EA3"/>
    <w:rsid w:val="00283F38"/>
    <w:rsid w:val="0028446D"/>
    <w:rsid w:val="002846FF"/>
    <w:rsid w:val="00284989"/>
    <w:rsid w:val="00285104"/>
    <w:rsid w:val="00285127"/>
    <w:rsid w:val="00285145"/>
    <w:rsid w:val="00285185"/>
    <w:rsid w:val="0028526F"/>
    <w:rsid w:val="00285E9D"/>
    <w:rsid w:val="00286264"/>
    <w:rsid w:val="002864AB"/>
    <w:rsid w:val="002869EA"/>
    <w:rsid w:val="00287016"/>
    <w:rsid w:val="00287130"/>
    <w:rsid w:val="00287EA8"/>
    <w:rsid w:val="00290084"/>
    <w:rsid w:val="00290279"/>
    <w:rsid w:val="00290291"/>
    <w:rsid w:val="0029112F"/>
    <w:rsid w:val="00291820"/>
    <w:rsid w:val="00291BBD"/>
    <w:rsid w:val="00292198"/>
    <w:rsid w:val="002923BC"/>
    <w:rsid w:val="002923E0"/>
    <w:rsid w:val="00292423"/>
    <w:rsid w:val="00292A36"/>
    <w:rsid w:val="00293089"/>
    <w:rsid w:val="0029315B"/>
    <w:rsid w:val="00293224"/>
    <w:rsid w:val="0029325D"/>
    <w:rsid w:val="0029332B"/>
    <w:rsid w:val="00293393"/>
    <w:rsid w:val="00293446"/>
    <w:rsid w:val="0029382E"/>
    <w:rsid w:val="00294030"/>
    <w:rsid w:val="00294283"/>
    <w:rsid w:val="00294477"/>
    <w:rsid w:val="0029462C"/>
    <w:rsid w:val="002951B4"/>
    <w:rsid w:val="00295409"/>
    <w:rsid w:val="00295425"/>
    <w:rsid w:val="002959C3"/>
    <w:rsid w:val="00295A83"/>
    <w:rsid w:val="00295CF8"/>
    <w:rsid w:val="00295FA2"/>
    <w:rsid w:val="00296146"/>
    <w:rsid w:val="002961B9"/>
    <w:rsid w:val="0029664A"/>
    <w:rsid w:val="00296AB1"/>
    <w:rsid w:val="00297087"/>
    <w:rsid w:val="00297259"/>
    <w:rsid w:val="002979DA"/>
    <w:rsid w:val="002A01A7"/>
    <w:rsid w:val="002A04AB"/>
    <w:rsid w:val="002A08F7"/>
    <w:rsid w:val="002A0C25"/>
    <w:rsid w:val="002A0EB0"/>
    <w:rsid w:val="002A1040"/>
    <w:rsid w:val="002A15F3"/>
    <w:rsid w:val="002A1CD2"/>
    <w:rsid w:val="002A1F0C"/>
    <w:rsid w:val="002A24FF"/>
    <w:rsid w:val="002A281E"/>
    <w:rsid w:val="002A297B"/>
    <w:rsid w:val="002A29E9"/>
    <w:rsid w:val="002A2B53"/>
    <w:rsid w:val="002A33FD"/>
    <w:rsid w:val="002A3490"/>
    <w:rsid w:val="002A3996"/>
    <w:rsid w:val="002A435A"/>
    <w:rsid w:val="002A466E"/>
    <w:rsid w:val="002A4743"/>
    <w:rsid w:val="002A48E1"/>
    <w:rsid w:val="002A4F7A"/>
    <w:rsid w:val="002A5063"/>
    <w:rsid w:val="002A5475"/>
    <w:rsid w:val="002A5A00"/>
    <w:rsid w:val="002A5A28"/>
    <w:rsid w:val="002A61AC"/>
    <w:rsid w:val="002A6335"/>
    <w:rsid w:val="002A6D6A"/>
    <w:rsid w:val="002A6FD6"/>
    <w:rsid w:val="002A73C3"/>
    <w:rsid w:val="002A7503"/>
    <w:rsid w:val="002A77C3"/>
    <w:rsid w:val="002A7AE1"/>
    <w:rsid w:val="002A7E27"/>
    <w:rsid w:val="002B0579"/>
    <w:rsid w:val="002B0EF2"/>
    <w:rsid w:val="002B106D"/>
    <w:rsid w:val="002B1088"/>
    <w:rsid w:val="002B1498"/>
    <w:rsid w:val="002B1B77"/>
    <w:rsid w:val="002B2040"/>
    <w:rsid w:val="002B23EC"/>
    <w:rsid w:val="002B2761"/>
    <w:rsid w:val="002B2816"/>
    <w:rsid w:val="002B2951"/>
    <w:rsid w:val="002B2E02"/>
    <w:rsid w:val="002B305C"/>
    <w:rsid w:val="002B306E"/>
    <w:rsid w:val="002B3396"/>
    <w:rsid w:val="002B36E1"/>
    <w:rsid w:val="002B389B"/>
    <w:rsid w:val="002B3E32"/>
    <w:rsid w:val="002B4085"/>
    <w:rsid w:val="002B40AA"/>
    <w:rsid w:val="002B446C"/>
    <w:rsid w:val="002B457C"/>
    <w:rsid w:val="002B48E1"/>
    <w:rsid w:val="002B4B06"/>
    <w:rsid w:val="002B51DB"/>
    <w:rsid w:val="002B5637"/>
    <w:rsid w:val="002B59F0"/>
    <w:rsid w:val="002B5E84"/>
    <w:rsid w:val="002B6319"/>
    <w:rsid w:val="002B6418"/>
    <w:rsid w:val="002B68A6"/>
    <w:rsid w:val="002B717E"/>
    <w:rsid w:val="002B759D"/>
    <w:rsid w:val="002B7F10"/>
    <w:rsid w:val="002C0119"/>
    <w:rsid w:val="002C03A5"/>
    <w:rsid w:val="002C0B0A"/>
    <w:rsid w:val="002C1055"/>
    <w:rsid w:val="002C1641"/>
    <w:rsid w:val="002C1B55"/>
    <w:rsid w:val="002C1C40"/>
    <w:rsid w:val="002C2BBD"/>
    <w:rsid w:val="002C2BCC"/>
    <w:rsid w:val="002C3384"/>
    <w:rsid w:val="002C45CB"/>
    <w:rsid w:val="002C47E7"/>
    <w:rsid w:val="002C489C"/>
    <w:rsid w:val="002C4BD3"/>
    <w:rsid w:val="002C4D02"/>
    <w:rsid w:val="002C4F94"/>
    <w:rsid w:val="002C6A0E"/>
    <w:rsid w:val="002C6E27"/>
    <w:rsid w:val="002C73C0"/>
    <w:rsid w:val="002C7700"/>
    <w:rsid w:val="002C7905"/>
    <w:rsid w:val="002D08C2"/>
    <w:rsid w:val="002D0952"/>
    <w:rsid w:val="002D0A3E"/>
    <w:rsid w:val="002D0B9F"/>
    <w:rsid w:val="002D108D"/>
    <w:rsid w:val="002D1389"/>
    <w:rsid w:val="002D1654"/>
    <w:rsid w:val="002D19CD"/>
    <w:rsid w:val="002D233D"/>
    <w:rsid w:val="002D2D43"/>
    <w:rsid w:val="002D2EFB"/>
    <w:rsid w:val="002D2FC1"/>
    <w:rsid w:val="002D3508"/>
    <w:rsid w:val="002D386E"/>
    <w:rsid w:val="002D3B1C"/>
    <w:rsid w:val="002D3B7B"/>
    <w:rsid w:val="002D3D78"/>
    <w:rsid w:val="002D4B1F"/>
    <w:rsid w:val="002D4C49"/>
    <w:rsid w:val="002D5093"/>
    <w:rsid w:val="002D5274"/>
    <w:rsid w:val="002D5565"/>
    <w:rsid w:val="002D55E0"/>
    <w:rsid w:val="002D5CD0"/>
    <w:rsid w:val="002D60B7"/>
    <w:rsid w:val="002D61B9"/>
    <w:rsid w:val="002D637F"/>
    <w:rsid w:val="002D655C"/>
    <w:rsid w:val="002D73F8"/>
    <w:rsid w:val="002D7445"/>
    <w:rsid w:val="002D7496"/>
    <w:rsid w:val="002D776B"/>
    <w:rsid w:val="002D7DC0"/>
    <w:rsid w:val="002E068A"/>
    <w:rsid w:val="002E079A"/>
    <w:rsid w:val="002E1096"/>
    <w:rsid w:val="002E1174"/>
    <w:rsid w:val="002E1BAE"/>
    <w:rsid w:val="002E25FB"/>
    <w:rsid w:val="002E30B1"/>
    <w:rsid w:val="002E412E"/>
    <w:rsid w:val="002E416C"/>
    <w:rsid w:val="002E454C"/>
    <w:rsid w:val="002E45B3"/>
    <w:rsid w:val="002E5309"/>
    <w:rsid w:val="002E551E"/>
    <w:rsid w:val="002E57C9"/>
    <w:rsid w:val="002E5A25"/>
    <w:rsid w:val="002E5A4E"/>
    <w:rsid w:val="002E60D7"/>
    <w:rsid w:val="002E6136"/>
    <w:rsid w:val="002E6554"/>
    <w:rsid w:val="002E6FBD"/>
    <w:rsid w:val="002E6FD8"/>
    <w:rsid w:val="002E70B7"/>
    <w:rsid w:val="002E7F45"/>
    <w:rsid w:val="002F0034"/>
    <w:rsid w:val="002F038E"/>
    <w:rsid w:val="002F03DD"/>
    <w:rsid w:val="002F0529"/>
    <w:rsid w:val="002F0591"/>
    <w:rsid w:val="002F0DDC"/>
    <w:rsid w:val="002F1B8B"/>
    <w:rsid w:val="002F211C"/>
    <w:rsid w:val="002F2523"/>
    <w:rsid w:val="002F25E9"/>
    <w:rsid w:val="002F2EFE"/>
    <w:rsid w:val="002F33B3"/>
    <w:rsid w:val="002F367F"/>
    <w:rsid w:val="002F3C47"/>
    <w:rsid w:val="002F3F23"/>
    <w:rsid w:val="002F49A7"/>
    <w:rsid w:val="002F5552"/>
    <w:rsid w:val="002F5797"/>
    <w:rsid w:val="002F5A31"/>
    <w:rsid w:val="002F5A45"/>
    <w:rsid w:val="002F5AFD"/>
    <w:rsid w:val="002F5B65"/>
    <w:rsid w:val="002F5D6F"/>
    <w:rsid w:val="002F5E8A"/>
    <w:rsid w:val="002F6660"/>
    <w:rsid w:val="002F695F"/>
    <w:rsid w:val="002F6A97"/>
    <w:rsid w:val="002F7145"/>
    <w:rsid w:val="002F7374"/>
    <w:rsid w:val="002F7D30"/>
    <w:rsid w:val="002F7E0B"/>
    <w:rsid w:val="0030001A"/>
    <w:rsid w:val="003004B2"/>
    <w:rsid w:val="0030056C"/>
    <w:rsid w:val="00300F21"/>
    <w:rsid w:val="00301E8B"/>
    <w:rsid w:val="00302324"/>
    <w:rsid w:val="00302655"/>
    <w:rsid w:val="00302662"/>
    <w:rsid w:val="003026B2"/>
    <w:rsid w:val="00303169"/>
    <w:rsid w:val="003031D4"/>
    <w:rsid w:val="003035CC"/>
    <w:rsid w:val="003038DC"/>
    <w:rsid w:val="003039B2"/>
    <w:rsid w:val="00303EE8"/>
    <w:rsid w:val="00304712"/>
    <w:rsid w:val="00304A07"/>
    <w:rsid w:val="00304B64"/>
    <w:rsid w:val="00304B93"/>
    <w:rsid w:val="00304EB0"/>
    <w:rsid w:val="00304EF6"/>
    <w:rsid w:val="00304F13"/>
    <w:rsid w:val="00305669"/>
    <w:rsid w:val="00305BD1"/>
    <w:rsid w:val="00305D77"/>
    <w:rsid w:val="00305E27"/>
    <w:rsid w:val="00306F50"/>
    <w:rsid w:val="00307003"/>
    <w:rsid w:val="00307108"/>
    <w:rsid w:val="00307130"/>
    <w:rsid w:val="00307330"/>
    <w:rsid w:val="003075AA"/>
    <w:rsid w:val="00307C0F"/>
    <w:rsid w:val="0031025A"/>
    <w:rsid w:val="00310828"/>
    <w:rsid w:val="00310A46"/>
    <w:rsid w:val="00310DF3"/>
    <w:rsid w:val="003117F9"/>
    <w:rsid w:val="00311873"/>
    <w:rsid w:val="00311982"/>
    <w:rsid w:val="003120AD"/>
    <w:rsid w:val="003127E6"/>
    <w:rsid w:val="00312BCF"/>
    <w:rsid w:val="00312DA3"/>
    <w:rsid w:val="00312F34"/>
    <w:rsid w:val="00312F9C"/>
    <w:rsid w:val="0031357D"/>
    <w:rsid w:val="00313A23"/>
    <w:rsid w:val="00313CAF"/>
    <w:rsid w:val="00313D09"/>
    <w:rsid w:val="003143CA"/>
    <w:rsid w:val="00314D54"/>
    <w:rsid w:val="00315210"/>
    <w:rsid w:val="0031527A"/>
    <w:rsid w:val="00316689"/>
    <w:rsid w:val="00316C6E"/>
    <w:rsid w:val="00316E70"/>
    <w:rsid w:val="0031705A"/>
    <w:rsid w:val="0031717C"/>
    <w:rsid w:val="003177E3"/>
    <w:rsid w:val="00317804"/>
    <w:rsid w:val="00317DDB"/>
    <w:rsid w:val="00317F03"/>
    <w:rsid w:val="00317F49"/>
    <w:rsid w:val="00320018"/>
    <w:rsid w:val="00320685"/>
    <w:rsid w:val="00320E48"/>
    <w:rsid w:val="00321D47"/>
    <w:rsid w:val="00321E29"/>
    <w:rsid w:val="00321F5C"/>
    <w:rsid w:val="00322BEA"/>
    <w:rsid w:val="00322CFD"/>
    <w:rsid w:val="00322ED3"/>
    <w:rsid w:val="003235A9"/>
    <w:rsid w:val="0032410A"/>
    <w:rsid w:val="00324184"/>
    <w:rsid w:val="003243BE"/>
    <w:rsid w:val="00324497"/>
    <w:rsid w:val="003246FA"/>
    <w:rsid w:val="00324902"/>
    <w:rsid w:val="00324FFF"/>
    <w:rsid w:val="0032504A"/>
    <w:rsid w:val="0032565F"/>
    <w:rsid w:val="00325742"/>
    <w:rsid w:val="00325AE2"/>
    <w:rsid w:val="00325C75"/>
    <w:rsid w:val="00325D25"/>
    <w:rsid w:val="00325DEB"/>
    <w:rsid w:val="00326A48"/>
    <w:rsid w:val="00327079"/>
    <w:rsid w:val="00327148"/>
    <w:rsid w:val="00327385"/>
    <w:rsid w:val="003273ED"/>
    <w:rsid w:val="00327557"/>
    <w:rsid w:val="00327942"/>
    <w:rsid w:val="003279BE"/>
    <w:rsid w:val="00327D41"/>
    <w:rsid w:val="00327D99"/>
    <w:rsid w:val="00327FB9"/>
    <w:rsid w:val="003300FC"/>
    <w:rsid w:val="00330DC5"/>
    <w:rsid w:val="0033119D"/>
    <w:rsid w:val="003312B2"/>
    <w:rsid w:val="00331309"/>
    <w:rsid w:val="003313FB"/>
    <w:rsid w:val="00331631"/>
    <w:rsid w:val="00331DAB"/>
    <w:rsid w:val="00332363"/>
    <w:rsid w:val="003324A4"/>
    <w:rsid w:val="003324FC"/>
    <w:rsid w:val="003327C2"/>
    <w:rsid w:val="00332E47"/>
    <w:rsid w:val="00333045"/>
    <w:rsid w:val="00333048"/>
    <w:rsid w:val="00333343"/>
    <w:rsid w:val="003333AB"/>
    <w:rsid w:val="003341B4"/>
    <w:rsid w:val="00334D96"/>
    <w:rsid w:val="00334E24"/>
    <w:rsid w:val="00334EA6"/>
    <w:rsid w:val="0033545F"/>
    <w:rsid w:val="00335882"/>
    <w:rsid w:val="00335911"/>
    <w:rsid w:val="00335DAE"/>
    <w:rsid w:val="00336C8B"/>
    <w:rsid w:val="00340B77"/>
    <w:rsid w:val="003416FC"/>
    <w:rsid w:val="0034192A"/>
    <w:rsid w:val="00341C5E"/>
    <w:rsid w:val="00341C78"/>
    <w:rsid w:val="00341E46"/>
    <w:rsid w:val="00341F0F"/>
    <w:rsid w:val="00342005"/>
    <w:rsid w:val="003423B5"/>
    <w:rsid w:val="00342713"/>
    <w:rsid w:val="003428C7"/>
    <w:rsid w:val="0034294D"/>
    <w:rsid w:val="00342E25"/>
    <w:rsid w:val="00343962"/>
    <w:rsid w:val="00344228"/>
    <w:rsid w:val="0034452D"/>
    <w:rsid w:val="003447D3"/>
    <w:rsid w:val="00344824"/>
    <w:rsid w:val="00344BBD"/>
    <w:rsid w:val="00344F30"/>
    <w:rsid w:val="00345075"/>
    <w:rsid w:val="003450D8"/>
    <w:rsid w:val="00345FE2"/>
    <w:rsid w:val="003463A3"/>
    <w:rsid w:val="0034680C"/>
    <w:rsid w:val="00346978"/>
    <w:rsid w:val="00346B39"/>
    <w:rsid w:val="00346C18"/>
    <w:rsid w:val="00347438"/>
    <w:rsid w:val="003478B5"/>
    <w:rsid w:val="00347B21"/>
    <w:rsid w:val="00350204"/>
    <w:rsid w:val="00350207"/>
    <w:rsid w:val="00350262"/>
    <w:rsid w:val="0035032A"/>
    <w:rsid w:val="003504C4"/>
    <w:rsid w:val="003506AB"/>
    <w:rsid w:val="003508DA"/>
    <w:rsid w:val="00351709"/>
    <w:rsid w:val="0035174E"/>
    <w:rsid w:val="003518E2"/>
    <w:rsid w:val="003526B8"/>
    <w:rsid w:val="00352D2C"/>
    <w:rsid w:val="003530A7"/>
    <w:rsid w:val="0035326B"/>
    <w:rsid w:val="00353439"/>
    <w:rsid w:val="00353556"/>
    <w:rsid w:val="003539E8"/>
    <w:rsid w:val="00353F64"/>
    <w:rsid w:val="00354253"/>
    <w:rsid w:val="0035496A"/>
    <w:rsid w:val="00354C11"/>
    <w:rsid w:val="00354C96"/>
    <w:rsid w:val="003552CA"/>
    <w:rsid w:val="003556E8"/>
    <w:rsid w:val="00355726"/>
    <w:rsid w:val="00356123"/>
    <w:rsid w:val="003562B8"/>
    <w:rsid w:val="003562FA"/>
    <w:rsid w:val="0035641D"/>
    <w:rsid w:val="00356467"/>
    <w:rsid w:val="00356F25"/>
    <w:rsid w:val="00356FCD"/>
    <w:rsid w:val="003570FD"/>
    <w:rsid w:val="00357495"/>
    <w:rsid w:val="00357570"/>
    <w:rsid w:val="00357838"/>
    <w:rsid w:val="00357C67"/>
    <w:rsid w:val="00357CBA"/>
    <w:rsid w:val="00357E61"/>
    <w:rsid w:val="00360543"/>
    <w:rsid w:val="00360F38"/>
    <w:rsid w:val="00361BD6"/>
    <w:rsid w:val="0036284A"/>
    <w:rsid w:val="00362908"/>
    <w:rsid w:val="00362BE6"/>
    <w:rsid w:val="00362CA8"/>
    <w:rsid w:val="00362D7D"/>
    <w:rsid w:val="00362F44"/>
    <w:rsid w:val="003636FB"/>
    <w:rsid w:val="00364217"/>
    <w:rsid w:val="003645D8"/>
    <w:rsid w:val="003647F9"/>
    <w:rsid w:val="0036486E"/>
    <w:rsid w:val="00364994"/>
    <w:rsid w:val="00364B9B"/>
    <w:rsid w:val="00364BAA"/>
    <w:rsid w:val="00364E75"/>
    <w:rsid w:val="00364EDC"/>
    <w:rsid w:val="00365590"/>
    <w:rsid w:val="00365874"/>
    <w:rsid w:val="00366E11"/>
    <w:rsid w:val="00367178"/>
    <w:rsid w:val="003671CE"/>
    <w:rsid w:val="003672D9"/>
    <w:rsid w:val="00370297"/>
    <w:rsid w:val="00370461"/>
    <w:rsid w:val="003705B0"/>
    <w:rsid w:val="00371022"/>
    <w:rsid w:val="003710AE"/>
    <w:rsid w:val="00371208"/>
    <w:rsid w:val="00372BFB"/>
    <w:rsid w:val="003737B1"/>
    <w:rsid w:val="00373FA4"/>
    <w:rsid w:val="003741A6"/>
    <w:rsid w:val="00374530"/>
    <w:rsid w:val="00374537"/>
    <w:rsid w:val="003745D9"/>
    <w:rsid w:val="0037528F"/>
    <w:rsid w:val="0037531A"/>
    <w:rsid w:val="003754B4"/>
    <w:rsid w:val="00375706"/>
    <w:rsid w:val="00375BE1"/>
    <w:rsid w:val="00375DF8"/>
    <w:rsid w:val="00376DAC"/>
    <w:rsid w:val="00376EC9"/>
    <w:rsid w:val="003770E7"/>
    <w:rsid w:val="003772C2"/>
    <w:rsid w:val="00377442"/>
    <w:rsid w:val="003779C1"/>
    <w:rsid w:val="00380B37"/>
    <w:rsid w:val="00381059"/>
    <w:rsid w:val="003813D3"/>
    <w:rsid w:val="0038188E"/>
    <w:rsid w:val="00381AEA"/>
    <w:rsid w:val="00382150"/>
    <w:rsid w:val="003821FE"/>
    <w:rsid w:val="003824B2"/>
    <w:rsid w:val="003824B6"/>
    <w:rsid w:val="003825F1"/>
    <w:rsid w:val="0038291E"/>
    <w:rsid w:val="00383041"/>
    <w:rsid w:val="00383067"/>
    <w:rsid w:val="0038312C"/>
    <w:rsid w:val="003833CF"/>
    <w:rsid w:val="003835F5"/>
    <w:rsid w:val="003839D1"/>
    <w:rsid w:val="00383AC1"/>
    <w:rsid w:val="00383D54"/>
    <w:rsid w:val="00383FFE"/>
    <w:rsid w:val="003845C3"/>
    <w:rsid w:val="00385341"/>
    <w:rsid w:val="003855FA"/>
    <w:rsid w:val="003856A4"/>
    <w:rsid w:val="00385F40"/>
    <w:rsid w:val="00386007"/>
    <w:rsid w:val="00386339"/>
    <w:rsid w:val="003865D5"/>
    <w:rsid w:val="00386DA7"/>
    <w:rsid w:val="003879A9"/>
    <w:rsid w:val="00387F1F"/>
    <w:rsid w:val="003900DB"/>
    <w:rsid w:val="00390206"/>
    <w:rsid w:val="00390298"/>
    <w:rsid w:val="003904C5"/>
    <w:rsid w:val="00390628"/>
    <w:rsid w:val="00390A6D"/>
    <w:rsid w:val="00390BFB"/>
    <w:rsid w:val="00390E10"/>
    <w:rsid w:val="003918A5"/>
    <w:rsid w:val="00391A9B"/>
    <w:rsid w:val="003921A2"/>
    <w:rsid w:val="003921A9"/>
    <w:rsid w:val="00392594"/>
    <w:rsid w:val="0039288C"/>
    <w:rsid w:val="00392E4A"/>
    <w:rsid w:val="003930B8"/>
    <w:rsid w:val="00393650"/>
    <w:rsid w:val="00393945"/>
    <w:rsid w:val="00393B52"/>
    <w:rsid w:val="00393BE6"/>
    <w:rsid w:val="00393E20"/>
    <w:rsid w:val="00393F7F"/>
    <w:rsid w:val="00394153"/>
    <w:rsid w:val="0039442B"/>
    <w:rsid w:val="00394B7E"/>
    <w:rsid w:val="00394C6C"/>
    <w:rsid w:val="00394CA0"/>
    <w:rsid w:val="0039504C"/>
    <w:rsid w:val="00395314"/>
    <w:rsid w:val="003953C3"/>
    <w:rsid w:val="00395468"/>
    <w:rsid w:val="003956AB"/>
    <w:rsid w:val="00395E7F"/>
    <w:rsid w:val="00395FAC"/>
    <w:rsid w:val="003962C6"/>
    <w:rsid w:val="003962F4"/>
    <w:rsid w:val="00396566"/>
    <w:rsid w:val="003967B4"/>
    <w:rsid w:val="0039684D"/>
    <w:rsid w:val="00396CF4"/>
    <w:rsid w:val="003971AF"/>
    <w:rsid w:val="00397271"/>
    <w:rsid w:val="003973E1"/>
    <w:rsid w:val="00397DB9"/>
    <w:rsid w:val="003A00B5"/>
    <w:rsid w:val="003A0263"/>
    <w:rsid w:val="003A0DCF"/>
    <w:rsid w:val="003A0DFF"/>
    <w:rsid w:val="003A0FA6"/>
    <w:rsid w:val="003A11E6"/>
    <w:rsid w:val="003A1484"/>
    <w:rsid w:val="003A1506"/>
    <w:rsid w:val="003A1716"/>
    <w:rsid w:val="003A17F6"/>
    <w:rsid w:val="003A18A8"/>
    <w:rsid w:val="003A1DC6"/>
    <w:rsid w:val="003A1F6A"/>
    <w:rsid w:val="003A26CA"/>
    <w:rsid w:val="003A26FB"/>
    <w:rsid w:val="003A2797"/>
    <w:rsid w:val="003A2904"/>
    <w:rsid w:val="003A2A22"/>
    <w:rsid w:val="003A2E95"/>
    <w:rsid w:val="003A314F"/>
    <w:rsid w:val="003A3273"/>
    <w:rsid w:val="003A3418"/>
    <w:rsid w:val="003A3CCB"/>
    <w:rsid w:val="003A3D22"/>
    <w:rsid w:val="003A404C"/>
    <w:rsid w:val="003A40EE"/>
    <w:rsid w:val="003A417D"/>
    <w:rsid w:val="003A4468"/>
    <w:rsid w:val="003A4775"/>
    <w:rsid w:val="003A47B6"/>
    <w:rsid w:val="003A4D18"/>
    <w:rsid w:val="003A5056"/>
    <w:rsid w:val="003A5206"/>
    <w:rsid w:val="003A54A9"/>
    <w:rsid w:val="003A566A"/>
    <w:rsid w:val="003A5963"/>
    <w:rsid w:val="003A5B84"/>
    <w:rsid w:val="003A610B"/>
    <w:rsid w:val="003A647A"/>
    <w:rsid w:val="003A6664"/>
    <w:rsid w:val="003A77B7"/>
    <w:rsid w:val="003A7817"/>
    <w:rsid w:val="003B023F"/>
    <w:rsid w:val="003B02BD"/>
    <w:rsid w:val="003B0465"/>
    <w:rsid w:val="003B0699"/>
    <w:rsid w:val="003B0C26"/>
    <w:rsid w:val="003B11E6"/>
    <w:rsid w:val="003B13D7"/>
    <w:rsid w:val="003B165F"/>
    <w:rsid w:val="003B1F80"/>
    <w:rsid w:val="003B2174"/>
    <w:rsid w:val="003B21CB"/>
    <w:rsid w:val="003B2D03"/>
    <w:rsid w:val="003B2E55"/>
    <w:rsid w:val="003B301C"/>
    <w:rsid w:val="003B3377"/>
    <w:rsid w:val="003B348D"/>
    <w:rsid w:val="003B34A7"/>
    <w:rsid w:val="003B367D"/>
    <w:rsid w:val="003B3716"/>
    <w:rsid w:val="003B3E69"/>
    <w:rsid w:val="003B5137"/>
    <w:rsid w:val="003B57CB"/>
    <w:rsid w:val="003B5C61"/>
    <w:rsid w:val="003B5C89"/>
    <w:rsid w:val="003B6587"/>
    <w:rsid w:val="003B6B4F"/>
    <w:rsid w:val="003B6CB0"/>
    <w:rsid w:val="003B72E6"/>
    <w:rsid w:val="003B73F5"/>
    <w:rsid w:val="003B75D3"/>
    <w:rsid w:val="003B7B6D"/>
    <w:rsid w:val="003B7C5F"/>
    <w:rsid w:val="003B7CC5"/>
    <w:rsid w:val="003C01E8"/>
    <w:rsid w:val="003C03B6"/>
    <w:rsid w:val="003C046C"/>
    <w:rsid w:val="003C0660"/>
    <w:rsid w:val="003C09BF"/>
    <w:rsid w:val="003C0DEB"/>
    <w:rsid w:val="003C0EFE"/>
    <w:rsid w:val="003C0FA4"/>
    <w:rsid w:val="003C1917"/>
    <w:rsid w:val="003C1BD5"/>
    <w:rsid w:val="003C201B"/>
    <w:rsid w:val="003C2A27"/>
    <w:rsid w:val="003C2C64"/>
    <w:rsid w:val="003C3382"/>
    <w:rsid w:val="003C39A6"/>
    <w:rsid w:val="003C3B3C"/>
    <w:rsid w:val="003C3BC5"/>
    <w:rsid w:val="003C3D62"/>
    <w:rsid w:val="003C3E03"/>
    <w:rsid w:val="003C40E1"/>
    <w:rsid w:val="003C42CE"/>
    <w:rsid w:val="003C477D"/>
    <w:rsid w:val="003C4861"/>
    <w:rsid w:val="003C49E7"/>
    <w:rsid w:val="003C5153"/>
    <w:rsid w:val="003C5194"/>
    <w:rsid w:val="003C5565"/>
    <w:rsid w:val="003C57D8"/>
    <w:rsid w:val="003C5BD2"/>
    <w:rsid w:val="003C5BF7"/>
    <w:rsid w:val="003C609F"/>
    <w:rsid w:val="003C62B8"/>
    <w:rsid w:val="003C63D5"/>
    <w:rsid w:val="003C65DA"/>
    <w:rsid w:val="003C6BD1"/>
    <w:rsid w:val="003C6EDA"/>
    <w:rsid w:val="003C6EFE"/>
    <w:rsid w:val="003C7377"/>
    <w:rsid w:val="003C7891"/>
    <w:rsid w:val="003C7997"/>
    <w:rsid w:val="003C7A7A"/>
    <w:rsid w:val="003C7E9A"/>
    <w:rsid w:val="003C7F99"/>
    <w:rsid w:val="003D036B"/>
    <w:rsid w:val="003D072E"/>
    <w:rsid w:val="003D0AFA"/>
    <w:rsid w:val="003D0DFC"/>
    <w:rsid w:val="003D0E0D"/>
    <w:rsid w:val="003D15A8"/>
    <w:rsid w:val="003D1D36"/>
    <w:rsid w:val="003D1E2B"/>
    <w:rsid w:val="003D1E55"/>
    <w:rsid w:val="003D1E87"/>
    <w:rsid w:val="003D2074"/>
    <w:rsid w:val="003D2663"/>
    <w:rsid w:val="003D2FFF"/>
    <w:rsid w:val="003D3666"/>
    <w:rsid w:val="003D3A52"/>
    <w:rsid w:val="003D3A7A"/>
    <w:rsid w:val="003D3B4B"/>
    <w:rsid w:val="003D3BE5"/>
    <w:rsid w:val="003D4044"/>
    <w:rsid w:val="003D44C1"/>
    <w:rsid w:val="003D4593"/>
    <w:rsid w:val="003D4D7D"/>
    <w:rsid w:val="003D52E1"/>
    <w:rsid w:val="003D539E"/>
    <w:rsid w:val="003D574B"/>
    <w:rsid w:val="003D5B86"/>
    <w:rsid w:val="003D5BA3"/>
    <w:rsid w:val="003D6398"/>
    <w:rsid w:val="003D66D4"/>
    <w:rsid w:val="003D6A9C"/>
    <w:rsid w:val="003D6E24"/>
    <w:rsid w:val="003D78C4"/>
    <w:rsid w:val="003E01B4"/>
    <w:rsid w:val="003E0317"/>
    <w:rsid w:val="003E0FAC"/>
    <w:rsid w:val="003E16A4"/>
    <w:rsid w:val="003E1C41"/>
    <w:rsid w:val="003E1DC1"/>
    <w:rsid w:val="003E2085"/>
    <w:rsid w:val="003E23A4"/>
    <w:rsid w:val="003E29D7"/>
    <w:rsid w:val="003E30DF"/>
    <w:rsid w:val="003E3664"/>
    <w:rsid w:val="003E418F"/>
    <w:rsid w:val="003E41A3"/>
    <w:rsid w:val="003E430C"/>
    <w:rsid w:val="003E463C"/>
    <w:rsid w:val="003E5573"/>
    <w:rsid w:val="003E5A9A"/>
    <w:rsid w:val="003E5C60"/>
    <w:rsid w:val="003E5F43"/>
    <w:rsid w:val="003E6735"/>
    <w:rsid w:val="003E720C"/>
    <w:rsid w:val="003E74F2"/>
    <w:rsid w:val="003E750E"/>
    <w:rsid w:val="003E7ECD"/>
    <w:rsid w:val="003F016A"/>
    <w:rsid w:val="003F0655"/>
    <w:rsid w:val="003F0831"/>
    <w:rsid w:val="003F0847"/>
    <w:rsid w:val="003F0C60"/>
    <w:rsid w:val="003F1700"/>
    <w:rsid w:val="003F1CF5"/>
    <w:rsid w:val="003F1D8E"/>
    <w:rsid w:val="003F1F9C"/>
    <w:rsid w:val="003F2076"/>
    <w:rsid w:val="003F3199"/>
    <w:rsid w:val="003F3427"/>
    <w:rsid w:val="003F3764"/>
    <w:rsid w:val="003F3865"/>
    <w:rsid w:val="003F3884"/>
    <w:rsid w:val="003F3EAA"/>
    <w:rsid w:val="003F3F82"/>
    <w:rsid w:val="003F4081"/>
    <w:rsid w:val="003F4DDE"/>
    <w:rsid w:val="003F56D4"/>
    <w:rsid w:val="003F5738"/>
    <w:rsid w:val="003F5B87"/>
    <w:rsid w:val="003F5F00"/>
    <w:rsid w:val="003F5FDA"/>
    <w:rsid w:val="003F65F5"/>
    <w:rsid w:val="003F6F3F"/>
    <w:rsid w:val="003F765A"/>
    <w:rsid w:val="003F7A59"/>
    <w:rsid w:val="003F7C95"/>
    <w:rsid w:val="003F7D2D"/>
    <w:rsid w:val="004006EB"/>
    <w:rsid w:val="00400B1D"/>
    <w:rsid w:val="0040110D"/>
    <w:rsid w:val="00401126"/>
    <w:rsid w:val="004013E2"/>
    <w:rsid w:val="00401597"/>
    <w:rsid w:val="00401697"/>
    <w:rsid w:val="004016AD"/>
    <w:rsid w:val="004016FA"/>
    <w:rsid w:val="00401756"/>
    <w:rsid w:val="0040184A"/>
    <w:rsid w:val="00401C43"/>
    <w:rsid w:val="00402897"/>
    <w:rsid w:val="004033D3"/>
    <w:rsid w:val="0040370A"/>
    <w:rsid w:val="00403824"/>
    <w:rsid w:val="00404163"/>
    <w:rsid w:val="00404241"/>
    <w:rsid w:val="004045E3"/>
    <w:rsid w:val="0040479C"/>
    <w:rsid w:val="004048F3"/>
    <w:rsid w:val="00404A5F"/>
    <w:rsid w:val="00404ABC"/>
    <w:rsid w:val="00404F79"/>
    <w:rsid w:val="0040527A"/>
    <w:rsid w:val="00405357"/>
    <w:rsid w:val="004057D2"/>
    <w:rsid w:val="004058BD"/>
    <w:rsid w:val="004059EA"/>
    <w:rsid w:val="0040615C"/>
    <w:rsid w:val="00406515"/>
    <w:rsid w:val="00406793"/>
    <w:rsid w:val="00406827"/>
    <w:rsid w:val="00406F40"/>
    <w:rsid w:val="004072E2"/>
    <w:rsid w:val="00407CA2"/>
    <w:rsid w:val="00410106"/>
    <w:rsid w:val="0041061E"/>
    <w:rsid w:val="00411669"/>
    <w:rsid w:val="0041190E"/>
    <w:rsid w:val="00411B65"/>
    <w:rsid w:val="0041279E"/>
    <w:rsid w:val="00412E10"/>
    <w:rsid w:val="00412F6C"/>
    <w:rsid w:val="00412FE5"/>
    <w:rsid w:val="0041360F"/>
    <w:rsid w:val="0041386C"/>
    <w:rsid w:val="00413D63"/>
    <w:rsid w:val="00414173"/>
    <w:rsid w:val="004141A4"/>
    <w:rsid w:val="004142DE"/>
    <w:rsid w:val="00414346"/>
    <w:rsid w:val="004143F2"/>
    <w:rsid w:val="004144F8"/>
    <w:rsid w:val="00414925"/>
    <w:rsid w:val="00414A6B"/>
    <w:rsid w:val="00414B65"/>
    <w:rsid w:val="00414C57"/>
    <w:rsid w:val="00414C7C"/>
    <w:rsid w:val="00414EC6"/>
    <w:rsid w:val="00415758"/>
    <w:rsid w:val="00415B42"/>
    <w:rsid w:val="00415BB8"/>
    <w:rsid w:val="00415BBE"/>
    <w:rsid w:val="00415CE3"/>
    <w:rsid w:val="00415D67"/>
    <w:rsid w:val="00416211"/>
    <w:rsid w:val="0041664F"/>
    <w:rsid w:val="0041668E"/>
    <w:rsid w:val="004166D2"/>
    <w:rsid w:val="004169DC"/>
    <w:rsid w:val="00417041"/>
    <w:rsid w:val="00417058"/>
    <w:rsid w:val="00417106"/>
    <w:rsid w:val="0041738C"/>
    <w:rsid w:val="004175BC"/>
    <w:rsid w:val="00417854"/>
    <w:rsid w:val="004200A4"/>
    <w:rsid w:val="0042029B"/>
    <w:rsid w:val="0042080C"/>
    <w:rsid w:val="0042089A"/>
    <w:rsid w:val="004208B3"/>
    <w:rsid w:val="00420A47"/>
    <w:rsid w:val="00420B42"/>
    <w:rsid w:val="0042105C"/>
    <w:rsid w:val="004217BE"/>
    <w:rsid w:val="00421AF0"/>
    <w:rsid w:val="00421B32"/>
    <w:rsid w:val="00421E06"/>
    <w:rsid w:val="00421E09"/>
    <w:rsid w:val="004223AA"/>
    <w:rsid w:val="00423A03"/>
    <w:rsid w:val="00423A5C"/>
    <w:rsid w:val="00423A8E"/>
    <w:rsid w:val="00423C68"/>
    <w:rsid w:val="00423D73"/>
    <w:rsid w:val="00423DB3"/>
    <w:rsid w:val="00424474"/>
    <w:rsid w:val="004246D5"/>
    <w:rsid w:val="00425740"/>
    <w:rsid w:val="00425C50"/>
    <w:rsid w:val="00426232"/>
    <w:rsid w:val="00426349"/>
    <w:rsid w:val="00426644"/>
    <w:rsid w:val="00426741"/>
    <w:rsid w:val="00426B7F"/>
    <w:rsid w:val="00426CF5"/>
    <w:rsid w:val="00427131"/>
    <w:rsid w:val="0042723D"/>
    <w:rsid w:val="004273C8"/>
    <w:rsid w:val="00427583"/>
    <w:rsid w:val="00427905"/>
    <w:rsid w:val="00427E56"/>
    <w:rsid w:val="004304D2"/>
    <w:rsid w:val="004309B4"/>
    <w:rsid w:val="00430A9B"/>
    <w:rsid w:val="00430E40"/>
    <w:rsid w:val="0043109A"/>
    <w:rsid w:val="0043182C"/>
    <w:rsid w:val="00431E34"/>
    <w:rsid w:val="004328E3"/>
    <w:rsid w:val="00432C30"/>
    <w:rsid w:val="004340C8"/>
    <w:rsid w:val="00434577"/>
    <w:rsid w:val="004345A6"/>
    <w:rsid w:val="00435138"/>
    <w:rsid w:val="00435AE0"/>
    <w:rsid w:val="00435E68"/>
    <w:rsid w:val="00435E9B"/>
    <w:rsid w:val="00436396"/>
    <w:rsid w:val="00436A3E"/>
    <w:rsid w:val="00436CD4"/>
    <w:rsid w:val="00436D98"/>
    <w:rsid w:val="00437284"/>
    <w:rsid w:val="0044001D"/>
    <w:rsid w:val="004403CE"/>
    <w:rsid w:val="0044040C"/>
    <w:rsid w:val="0044075C"/>
    <w:rsid w:val="00441519"/>
    <w:rsid w:val="004417BD"/>
    <w:rsid w:val="00441AF4"/>
    <w:rsid w:val="00441C39"/>
    <w:rsid w:val="00441D7C"/>
    <w:rsid w:val="00442214"/>
    <w:rsid w:val="00442231"/>
    <w:rsid w:val="0044253E"/>
    <w:rsid w:val="004426F6"/>
    <w:rsid w:val="00442886"/>
    <w:rsid w:val="0044289A"/>
    <w:rsid w:val="00442A21"/>
    <w:rsid w:val="00442B60"/>
    <w:rsid w:val="00442F99"/>
    <w:rsid w:val="004433C4"/>
    <w:rsid w:val="00443499"/>
    <w:rsid w:val="004439A9"/>
    <w:rsid w:val="00443C25"/>
    <w:rsid w:val="004444AE"/>
    <w:rsid w:val="004445BB"/>
    <w:rsid w:val="0044479E"/>
    <w:rsid w:val="00444B6D"/>
    <w:rsid w:val="00444F10"/>
    <w:rsid w:val="00445479"/>
    <w:rsid w:val="0044555F"/>
    <w:rsid w:val="00445675"/>
    <w:rsid w:val="00445E13"/>
    <w:rsid w:val="0044616F"/>
    <w:rsid w:val="00446564"/>
    <w:rsid w:val="00446743"/>
    <w:rsid w:val="00446A56"/>
    <w:rsid w:val="0044760D"/>
    <w:rsid w:val="004478A4"/>
    <w:rsid w:val="00447BD4"/>
    <w:rsid w:val="00447EFF"/>
    <w:rsid w:val="00450567"/>
    <w:rsid w:val="004506CD"/>
    <w:rsid w:val="00450D17"/>
    <w:rsid w:val="00450D4B"/>
    <w:rsid w:val="00451A99"/>
    <w:rsid w:val="0045222B"/>
    <w:rsid w:val="00452355"/>
    <w:rsid w:val="00452DA0"/>
    <w:rsid w:val="00452F26"/>
    <w:rsid w:val="00453529"/>
    <w:rsid w:val="0045357B"/>
    <w:rsid w:val="004535C4"/>
    <w:rsid w:val="004537C3"/>
    <w:rsid w:val="004539EF"/>
    <w:rsid w:val="00453B0E"/>
    <w:rsid w:val="00453CE4"/>
    <w:rsid w:val="00453F2A"/>
    <w:rsid w:val="004544E6"/>
    <w:rsid w:val="004545D9"/>
    <w:rsid w:val="0045465F"/>
    <w:rsid w:val="0045468F"/>
    <w:rsid w:val="00454778"/>
    <w:rsid w:val="00454B7E"/>
    <w:rsid w:val="0045503F"/>
    <w:rsid w:val="00455152"/>
    <w:rsid w:val="004552C2"/>
    <w:rsid w:val="004565FD"/>
    <w:rsid w:val="0045663A"/>
    <w:rsid w:val="00456FFB"/>
    <w:rsid w:val="0045722F"/>
    <w:rsid w:val="00457393"/>
    <w:rsid w:val="0045765A"/>
    <w:rsid w:val="004576DC"/>
    <w:rsid w:val="00457814"/>
    <w:rsid w:val="00457E10"/>
    <w:rsid w:val="00461476"/>
    <w:rsid w:val="00461AAD"/>
    <w:rsid w:val="00461C36"/>
    <w:rsid w:val="00461C70"/>
    <w:rsid w:val="0046210C"/>
    <w:rsid w:val="00462A03"/>
    <w:rsid w:val="00462EC6"/>
    <w:rsid w:val="00463227"/>
    <w:rsid w:val="00463251"/>
    <w:rsid w:val="00463B13"/>
    <w:rsid w:val="004641C7"/>
    <w:rsid w:val="0046476C"/>
    <w:rsid w:val="00464777"/>
    <w:rsid w:val="00464E23"/>
    <w:rsid w:val="004654CE"/>
    <w:rsid w:val="00465CFA"/>
    <w:rsid w:val="00466267"/>
    <w:rsid w:val="0046644C"/>
    <w:rsid w:val="00466DE9"/>
    <w:rsid w:val="00466F6A"/>
    <w:rsid w:val="004676DC"/>
    <w:rsid w:val="004677A9"/>
    <w:rsid w:val="004678B8"/>
    <w:rsid w:val="00467B27"/>
    <w:rsid w:val="00467F9C"/>
    <w:rsid w:val="00470460"/>
    <w:rsid w:val="00470911"/>
    <w:rsid w:val="004709A3"/>
    <w:rsid w:val="00470CFB"/>
    <w:rsid w:val="00470F3A"/>
    <w:rsid w:val="004713B5"/>
    <w:rsid w:val="0047199C"/>
    <w:rsid w:val="00471D80"/>
    <w:rsid w:val="00471EA3"/>
    <w:rsid w:val="00472902"/>
    <w:rsid w:val="00472D32"/>
    <w:rsid w:val="00472FF8"/>
    <w:rsid w:val="004731DB"/>
    <w:rsid w:val="004735E1"/>
    <w:rsid w:val="004737DC"/>
    <w:rsid w:val="00473BF5"/>
    <w:rsid w:val="004742E1"/>
    <w:rsid w:val="00474ED4"/>
    <w:rsid w:val="00475068"/>
    <w:rsid w:val="0047542D"/>
    <w:rsid w:val="00475C36"/>
    <w:rsid w:val="0047604C"/>
    <w:rsid w:val="00476AC9"/>
    <w:rsid w:val="00476C47"/>
    <w:rsid w:val="00476D8D"/>
    <w:rsid w:val="00476E45"/>
    <w:rsid w:val="004770EF"/>
    <w:rsid w:val="0047741A"/>
    <w:rsid w:val="004774BE"/>
    <w:rsid w:val="00477BBF"/>
    <w:rsid w:val="00477EA0"/>
    <w:rsid w:val="0048009C"/>
    <w:rsid w:val="00480125"/>
    <w:rsid w:val="00480519"/>
    <w:rsid w:val="00480A7D"/>
    <w:rsid w:val="00480B25"/>
    <w:rsid w:val="004813D6"/>
    <w:rsid w:val="00481A01"/>
    <w:rsid w:val="004820A6"/>
    <w:rsid w:val="00482948"/>
    <w:rsid w:val="00482977"/>
    <w:rsid w:val="00482B8C"/>
    <w:rsid w:val="00482BDE"/>
    <w:rsid w:val="0048301C"/>
    <w:rsid w:val="00483061"/>
    <w:rsid w:val="0048335D"/>
    <w:rsid w:val="004834EA"/>
    <w:rsid w:val="00483BBC"/>
    <w:rsid w:val="00483E8A"/>
    <w:rsid w:val="00483FEA"/>
    <w:rsid w:val="00484357"/>
    <w:rsid w:val="00484587"/>
    <w:rsid w:val="004848A0"/>
    <w:rsid w:val="004854C5"/>
    <w:rsid w:val="0048564A"/>
    <w:rsid w:val="00485A94"/>
    <w:rsid w:val="00485B7C"/>
    <w:rsid w:val="00486660"/>
    <w:rsid w:val="00486887"/>
    <w:rsid w:val="0048781F"/>
    <w:rsid w:val="00487871"/>
    <w:rsid w:val="00487CC4"/>
    <w:rsid w:val="00487E3E"/>
    <w:rsid w:val="00487E87"/>
    <w:rsid w:val="00490967"/>
    <w:rsid w:val="00490C17"/>
    <w:rsid w:val="00490EEB"/>
    <w:rsid w:val="00491606"/>
    <w:rsid w:val="00491BF6"/>
    <w:rsid w:val="00491CC3"/>
    <w:rsid w:val="00491DE6"/>
    <w:rsid w:val="00491E92"/>
    <w:rsid w:val="00492620"/>
    <w:rsid w:val="00493DAE"/>
    <w:rsid w:val="00493E79"/>
    <w:rsid w:val="00493F5D"/>
    <w:rsid w:val="004940DD"/>
    <w:rsid w:val="00494522"/>
    <w:rsid w:val="0049480A"/>
    <w:rsid w:val="004951B0"/>
    <w:rsid w:val="0049580D"/>
    <w:rsid w:val="0049583E"/>
    <w:rsid w:val="00495A8D"/>
    <w:rsid w:val="00495C9C"/>
    <w:rsid w:val="00495D5D"/>
    <w:rsid w:val="00495E4F"/>
    <w:rsid w:val="00496396"/>
    <w:rsid w:val="004968F5"/>
    <w:rsid w:val="00496C2B"/>
    <w:rsid w:val="004970E6"/>
    <w:rsid w:val="00497599"/>
    <w:rsid w:val="00497730"/>
    <w:rsid w:val="004A0D69"/>
    <w:rsid w:val="004A0E83"/>
    <w:rsid w:val="004A0F6D"/>
    <w:rsid w:val="004A136A"/>
    <w:rsid w:val="004A181D"/>
    <w:rsid w:val="004A1CF1"/>
    <w:rsid w:val="004A1EE6"/>
    <w:rsid w:val="004A1FD0"/>
    <w:rsid w:val="004A2019"/>
    <w:rsid w:val="004A2669"/>
    <w:rsid w:val="004A26B3"/>
    <w:rsid w:val="004A2C9F"/>
    <w:rsid w:val="004A2DA5"/>
    <w:rsid w:val="004A312F"/>
    <w:rsid w:val="004A3421"/>
    <w:rsid w:val="004A380F"/>
    <w:rsid w:val="004A449D"/>
    <w:rsid w:val="004A44C3"/>
    <w:rsid w:val="004A4535"/>
    <w:rsid w:val="004A48D9"/>
    <w:rsid w:val="004A4DE8"/>
    <w:rsid w:val="004A5079"/>
    <w:rsid w:val="004A556D"/>
    <w:rsid w:val="004A563F"/>
    <w:rsid w:val="004A58D2"/>
    <w:rsid w:val="004A61B6"/>
    <w:rsid w:val="004A626A"/>
    <w:rsid w:val="004A635D"/>
    <w:rsid w:val="004A63CF"/>
    <w:rsid w:val="004A685F"/>
    <w:rsid w:val="004A6C05"/>
    <w:rsid w:val="004A724E"/>
    <w:rsid w:val="004A772F"/>
    <w:rsid w:val="004B07A8"/>
    <w:rsid w:val="004B0DBA"/>
    <w:rsid w:val="004B0F26"/>
    <w:rsid w:val="004B10D4"/>
    <w:rsid w:val="004B1126"/>
    <w:rsid w:val="004B206C"/>
    <w:rsid w:val="004B29A2"/>
    <w:rsid w:val="004B2BFE"/>
    <w:rsid w:val="004B2F84"/>
    <w:rsid w:val="004B3231"/>
    <w:rsid w:val="004B3E20"/>
    <w:rsid w:val="004B3E65"/>
    <w:rsid w:val="004B405F"/>
    <w:rsid w:val="004B41C8"/>
    <w:rsid w:val="004B4578"/>
    <w:rsid w:val="004B4A61"/>
    <w:rsid w:val="004B5104"/>
    <w:rsid w:val="004B556E"/>
    <w:rsid w:val="004B573D"/>
    <w:rsid w:val="004B5BA0"/>
    <w:rsid w:val="004B5D52"/>
    <w:rsid w:val="004B6058"/>
    <w:rsid w:val="004B6102"/>
    <w:rsid w:val="004B62F1"/>
    <w:rsid w:val="004B64FE"/>
    <w:rsid w:val="004B6A2E"/>
    <w:rsid w:val="004B6C7F"/>
    <w:rsid w:val="004B6D14"/>
    <w:rsid w:val="004B7383"/>
    <w:rsid w:val="004B7E5C"/>
    <w:rsid w:val="004B7EAB"/>
    <w:rsid w:val="004C00E1"/>
    <w:rsid w:val="004C00F2"/>
    <w:rsid w:val="004C0283"/>
    <w:rsid w:val="004C101C"/>
    <w:rsid w:val="004C107F"/>
    <w:rsid w:val="004C1117"/>
    <w:rsid w:val="004C1358"/>
    <w:rsid w:val="004C145F"/>
    <w:rsid w:val="004C2465"/>
    <w:rsid w:val="004C2A3F"/>
    <w:rsid w:val="004C2A53"/>
    <w:rsid w:val="004C2EA6"/>
    <w:rsid w:val="004C2EFB"/>
    <w:rsid w:val="004C31DE"/>
    <w:rsid w:val="004C331E"/>
    <w:rsid w:val="004C3501"/>
    <w:rsid w:val="004C3724"/>
    <w:rsid w:val="004C394A"/>
    <w:rsid w:val="004C3AFC"/>
    <w:rsid w:val="004C45B2"/>
    <w:rsid w:val="004C4600"/>
    <w:rsid w:val="004C4B53"/>
    <w:rsid w:val="004C4D5A"/>
    <w:rsid w:val="004C4F50"/>
    <w:rsid w:val="004C5158"/>
    <w:rsid w:val="004C516C"/>
    <w:rsid w:val="004C55A8"/>
    <w:rsid w:val="004C5776"/>
    <w:rsid w:val="004C5813"/>
    <w:rsid w:val="004C5991"/>
    <w:rsid w:val="004C5C30"/>
    <w:rsid w:val="004C5EE2"/>
    <w:rsid w:val="004C6527"/>
    <w:rsid w:val="004C6720"/>
    <w:rsid w:val="004C739E"/>
    <w:rsid w:val="004C74CE"/>
    <w:rsid w:val="004C7CFA"/>
    <w:rsid w:val="004D0282"/>
    <w:rsid w:val="004D02C3"/>
    <w:rsid w:val="004D0967"/>
    <w:rsid w:val="004D151C"/>
    <w:rsid w:val="004D1A2A"/>
    <w:rsid w:val="004D1AE9"/>
    <w:rsid w:val="004D1B1E"/>
    <w:rsid w:val="004D22DC"/>
    <w:rsid w:val="004D29D6"/>
    <w:rsid w:val="004D2BC7"/>
    <w:rsid w:val="004D37D3"/>
    <w:rsid w:val="004D3B59"/>
    <w:rsid w:val="004D3CDD"/>
    <w:rsid w:val="004D3FCF"/>
    <w:rsid w:val="004D40F4"/>
    <w:rsid w:val="004D4666"/>
    <w:rsid w:val="004D4743"/>
    <w:rsid w:val="004D4CE9"/>
    <w:rsid w:val="004D4EF2"/>
    <w:rsid w:val="004D5538"/>
    <w:rsid w:val="004D5824"/>
    <w:rsid w:val="004D5B27"/>
    <w:rsid w:val="004D5BA1"/>
    <w:rsid w:val="004D5F1F"/>
    <w:rsid w:val="004D6A2A"/>
    <w:rsid w:val="004D7463"/>
    <w:rsid w:val="004D77C2"/>
    <w:rsid w:val="004E034E"/>
    <w:rsid w:val="004E0544"/>
    <w:rsid w:val="004E0807"/>
    <w:rsid w:val="004E0980"/>
    <w:rsid w:val="004E0BE0"/>
    <w:rsid w:val="004E0DBC"/>
    <w:rsid w:val="004E0F75"/>
    <w:rsid w:val="004E128A"/>
    <w:rsid w:val="004E1596"/>
    <w:rsid w:val="004E19F0"/>
    <w:rsid w:val="004E1A3B"/>
    <w:rsid w:val="004E1AB9"/>
    <w:rsid w:val="004E1C5C"/>
    <w:rsid w:val="004E2099"/>
    <w:rsid w:val="004E2113"/>
    <w:rsid w:val="004E2116"/>
    <w:rsid w:val="004E256B"/>
    <w:rsid w:val="004E2613"/>
    <w:rsid w:val="004E304E"/>
    <w:rsid w:val="004E3108"/>
    <w:rsid w:val="004E337E"/>
    <w:rsid w:val="004E3678"/>
    <w:rsid w:val="004E3FFA"/>
    <w:rsid w:val="004E422E"/>
    <w:rsid w:val="004E4976"/>
    <w:rsid w:val="004E4E4F"/>
    <w:rsid w:val="004E558E"/>
    <w:rsid w:val="004E5BCC"/>
    <w:rsid w:val="004E5BEF"/>
    <w:rsid w:val="004E60A9"/>
    <w:rsid w:val="004E70E1"/>
    <w:rsid w:val="004E716B"/>
    <w:rsid w:val="004E7632"/>
    <w:rsid w:val="004E7684"/>
    <w:rsid w:val="004E7D64"/>
    <w:rsid w:val="004F0565"/>
    <w:rsid w:val="004F05F2"/>
    <w:rsid w:val="004F0BB4"/>
    <w:rsid w:val="004F0D41"/>
    <w:rsid w:val="004F1012"/>
    <w:rsid w:val="004F1B56"/>
    <w:rsid w:val="004F1FDF"/>
    <w:rsid w:val="004F2049"/>
    <w:rsid w:val="004F2429"/>
    <w:rsid w:val="004F2488"/>
    <w:rsid w:val="004F264B"/>
    <w:rsid w:val="004F2760"/>
    <w:rsid w:val="004F276C"/>
    <w:rsid w:val="004F27F1"/>
    <w:rsid w:val="004F28CD"/>
    <w:rsid w:val="004F2B76"/>
    <w:rsid w:val="004F2E3E"/>
    <w:rsid w:val="004F3046"/>
    <w:rsid w:val="004F35BB"/>
    <w:rsid w:val="004F35C4"/>
    <w:rsid w:val="004F3719"/>
    <w:rsid w:val="004F37D2"/>
    <w:rsid w:val="004F3FC6"/>
    <w:rsid w:val="004F4079"/>
    <w:rsid w:val="004F420A"/>
    <w:rsid w:val="004F4370"/>
    <w:rsid w:val="004F4584"/>
    <w:rsid w:val="004F47E3"/>
    <w:rsid w:val="004F48EC"/>
    <w:rsid w:val="004F552A"/>
    <w:rsid w:val="004F5B2D"/>
    <w:rsid w:val="004F609A"/>
    <w:rsid w:val="004F6652"/>
    <w:rsid w:val="004F6AD6"/>
    <w:rsid w:val="004F7F5C"/>
    <w:rsid w:val="0050014B"/>
    <w:rsid w:val="005002D8"/>
    <w:rsid w:val="00500499"/>
    <w:rsid w:val="0050065E"/>
    <w:rsid w:val="005007B1"/>
    <w:rsid w:val="005009C4"/>
    <w:rsid w:val="00500D58"/>
    <w:rsid w:val="00501737"/>
    <w:rsid w:val="00501878"/>
    <w:rsid w:val="0050191D"/>
    <w:rsid w:val="00501D68"/>
    <w:rsid w:val="00501F89"/>
    <w:rsid w:val="00502429"/>
    <w:rsid w:val="0050257F"/>
    <w:rsid w:val="00502A53"/>
    <w:rsid w:val="00502C30"/>
    <w:rsid w:val="00502D0E"/>
    <w:rsid w:val="00502F9A"/>
    <w:rsid w:val="00503094"/>
    <w:rsid w:val="005031A8"/>
    <w:rsid w:val="00503550"/>
    <w:rsid w:val="005041D3"/>
    <w:rsid w:val="00504B5B"/>
    <w:rsid w:val="00504F02"/>
    <w:rsid w:val="00505058"/>
    <w:rsid w:val="005051E2"/>
    <w:rsid w:val="0050526C"/>
    <w:rsid w:val="00505506"/>
    <w:rsid w:val="0050551C"/>
    <w:rsid w:val="005055E9"/>
    <w:rsid w:val="00505879"/>
    <w:rsid w:val="005058B7"/>
    <w:rsid w:val="00505A1A"/>
    <w:rsid w:val="00505F0F"/>
    <w:rsid w:val="00506633"/>
    <w:rsid w:val="005067EE"/>
    <w:rsid w:val="00506A1C"/>
    <w:rsid w:val="00506C65"/>
    <w:rsid w:val="00507011"/>
    <w:rsid w:val="005072C0"/>
    <w:rsid w:val="00507493"/>
    <w:rsid w:val="00510605"/>
    <w:rsid w:val="00510E54"/>
    <w:rsid w:val="00510FB0"/>
    <w:rsid w:val="005110DF"/>
    <w:rsid w:val="005112A6"/>
    <w:rsid w:val="0051142F"/>
    <w:rsid w:val="00511A13"/>
    <w:rsid w:val="00511C1A"/>
    <w:rsid w:val="0051212E"/>
    <w:rsid w:val="00512ADC"/>
    <w:rsid w:val="005136EE"/>
    <w:rsid w:val="00513C6F"/>
    <w:rsid w:val="00514275"/>
    <w:rsid w:val="00514403"/>
    <w:rsid w:val="00514774"/>
    <w:rsid w:val="00514BFD"/>
    <w:rsid w:val="00514C59"/>
    <w:rsid w:val="00515114"/>
    <w:rsid w:val="00515A74"/>
    <w:rsid w:val="00515B9A"/>
    <w:rsid w:val="0051641D"/>
    <w:rsid w:val="00516622"/>
    <w:rsid w:val="00516808"/>
    <w:rsid w:val="00516C35"/>
    <w:rsid w:val="00516C4D"/>
    <w:rsid w:val="00516EB9"/>
    <w:rsid w:val="005171E1"/>
    <w:rsid w:val="00517230"/>
    <w:rsid w:val="005175D3"/>
    <w:rsid w:val="00517ABA"/>
    <w:rsid w:val="00517C5F"/>
    <w:rsid w:val="0052012D"/>
    <w:rsid w:val="0052038A"/>
    <w:rsid w:val="00520A1B"/>
    <w:rsid w:val="005210BF"/>
    <w:rsid w:val="005215F0"/>
    <w:rsid w:val="0052174B"/>
    <w:rsid w:val="00521D11"/>
    <w:rsid w:val="00521DDF"/>
    <w:rsid w:val="0052314A"/>
    <w:rsid w:val="00523624"/>
    <w:rsid w:val="00523680"/>
    <w:rsid w:val="00523F55"/>
    <w:rsid w:val="005241FA"/>
    <w:rsid w:val="00524317"/>
    <w:rsid w:val="0052486C"/>
    <w:rsid w:val="00524BA0"/>
    <w:rsid w:val="00525734"/>
    <w:rsid w:val="00525759"/>
    <w:rsid w:val="005257F0"/>
    <w:rsid w:val="00525D6A"/>
    <w:rsid w:val="00526959"/>
    <w:rsid w:val="00526D23"/>
    <w:rsid w:val="005277C7"/>
    <w:rsid w:val="00530339"/>
    <w:rsid w:val="00530435"/>
    <w:rsid w:val="00531114"/>
    <w:rsid w:val="0053111A"/>
    <w:rsid w:val="005316D0"/>
    <w:rsid w:val="005317D2"/>
    <w:rsid w:val="00531CE0"/>
    <w:rsid w:val="005323F5"/>
    <w:rsid w:val="00532913"/>
    <w:rsid w:val="00532B45"/>
    <w:rsid w:val="005330DA"/>
    <w:rsid w:val="00533330"/>
    <w:rsid w:val="0053379D"/>
    <w:rsid w:val="005339A5"/>
    <w:rsid w:val="00533AF7"/>
    <w:rsid w:val="00533E26"/>
    <w:rsid w:val="005341E6"/>
    <w:rsid w:val="00534871"/>
    <w:rsid w:val="00534BF9"/>
    <w:rsid w:val="00534CEE"/>
    <w:rsid w:val="0053529D"/>
    <w:rsid w:val="0053551D"/>
    <w:rsid w:val="00535882"/>
    <w:rsid w:val="00536074"/>
    <w:rsid w:val="00536D97"/>
    <w:rsid w:val="00536FD1"/>
    <w:rsid w:val="005370BD"/>
    <w:rsid w:val="005374F0"/>
    <w:rsid w:val="00537817"/>
    <w:rsid w:val="00537BA1"/>
    <w:rsid w:val="00540BB0"/>
    <w:rsid w:val="00541941"/>
    <w:rsid w:val="005419EE"/>
    <w:rsid w:val="00541E45"/>
    <w:rsid w:val="00542167"/>
    <w:rsid w:val="005424DA"/>
    <w:rsid w:val="00542545"/>
    <w:rsid w:val="005425C3"/>
    <w:rsid w:val="005428CC"/>
    <w:rsid w:val="00542A85"/>
    <w:rsid w:val="00543A80"/>
    <w:rsid w:val="005440DB"/>
    <w:rsid w:val="005441FE"/>
    <w:rsid w:val="005446F3"/>
    <w:rsid w:val="00544BC8"/>
    <w:rsid w:val="00544F12"/>
    <w:rsid w:val="0054539D"/>
    <w:rsid w:val="0054539F"/>
    <w:rsid w:val="00545777"/>
    <w:rsid w:val="00545A62"/>
    <w:rsid w:val="00545C51"/>
    <w:rsid w:val="00545D95"/>
    <w:rsid w:val="005461C3"/>
    <w:rsid w:val="00546203"/>
    <w:rsid w:val="005469F2"/>
    <w:rsid w:val="00546D41"/>
    <w:rsid w:val="00546D89"/>
    <w:rsid w:val="00546FC2"/>
    <w:rsid w:val="0054733F"/>
    <w:rsid w:val="00547582"/>
    <w:rsid w:val="005475C6"/>
    <w:rsid w:val="00547764"/>
    <w:rsid w:val="00547B78"/>
    <w:rsid w:val="0055068D"/>
    <w:rsid w:val="00550BB5"/>
    <w:rsid w:val="005510B4"/>
    <w:rsid w:val="00551630"/>
    <w:rsid w:val="00551902"/>
    <w:rsid w:val="00551A7E"/>
    <w:rsid w:val="00551D89"/>
    <w:rsid w:val="00551D97"/>
    <w:rsid w:val="00551F24"/>
    <w:rsid w:val="00552357"/>
    <w:rsid w:val="005523F0"/>
    <w:rsid w:val="00552456"/>
    <w:rsid w:val="00552837"/>
    <w:rsid w:val="00552BC7"/>
    <w:rsid w:val="005531E4"/>
    <w:rsid w:val="005533BA"/>
    <w:rsid w:val="0055392C"/>
    <w:rsid w:val="00553A57"/>
    <w:rsid w:val="00553D3D"/>
    <w:rsid w:val="005540BA"/>
    <w:rsid w:val="005540FD"/>
    <w:rsid w:val="00554317"/>
    <w:rsid w:val="005544B6"/>
    <w:rsid w:val="00554AF7"/>
    <w:rsid w:val="00555396"/>
    <w:rsid w:val="005553DB"/>
    <w:rsid w:val="00555419"/>
    <w:rsid w:val="00555455"/>
    <w:rsid w:val="00555502"/>
    <w:rsid w:val="00555D55"/>
    <w:rsid w:val="00556509"/>
    <w:rsid w:val="005568E2"/>
    <w:rsid w:val="0055758A"/>
    <w:rsid w:val="0055784F"/>
    <w:rsid w:val="00557969"/>
    <w:rsid w:val="00557BDB"/>
    <w:rsid w:val="00557F34"/>
    <w:rsid w:val="005600B1"/>
    <w:rsid w:val="005600FC"/>
    <w:rsid w:val="00560449"/>
    <w:rsid w:val="00560474"/>
    <w:rsid w:val="00560A22"/>
    <w:rsid w:val="00560C0B"/>
    <w:rsid w:val="00561FE2"/>
    <w:rsid w:val="005621BB"/>
    <w:rsid w:val="00562271"/>
    <w:rsid w:val="005622D8"/>
    <w:rsid w:val="005622E7"/>
    <w:rsid w:val="00563357"/>
    <w:rsid w:val="00563BB1"/>
    <w:rsid w:val="00563FD0"/>
    <w:rsid w:val="00564055"/>
    <w:rsid w:val="0056420E"/>
    <w:rsid w:val="00564511"/>
    <w:rsid w:val="00564B0F"/>
    <w:rsid w:val="00564F97"/>
    <w:rsid w:val="005651D1"/>
    <w:rsid w:val="0056562A"/>
    <w:rsid w:val="00565B0C"/>
    <w:rsid w:val="00565BF7"/>
    <w:rsid w:val="00565F38"/>
    <w:rsid w:val="00565FA9"/>
    <w:rsid w:val="00566229"/>
    <w:rsid w:val="00566235"/>
    <w:rsid w:val="00566987"/>
    <w:rsid w:val="00567218"/>
    <w:rsid w:val="00567450"/>
    <w:rsid w:val="00567B11"/>
    <w:rsid w:val="005700D3"/>
    <w:rsid w:val="005707DB"/>
    <w:rsid w:val="00570BAA"/>
    <w:rsid w:val="00570D60"/>
    <w:rsid w:val="005710C2"/>
    <w:rsid w:val="0057120A"/>
    <w:rsid w:val="00572A5B"/>
    <w:rsid w:val="00572BC7"/>
    <w:rsid w:val="00572E10"/>
    <w:rsid w:val="00572F86"/>
    <w:rsid w:val="00573031"/>
    <w:rsid w:val="00573209"/>
    <w:rsid w:val="005737C2"/>
    <w:rsid w:val="00574597"/>
    <w:rsid w:val="00574961"/>
    <w:rsid w:val="00574DD0"/>
    <w:rsid w:val="00575089"/>
    <w:rsid w:val="00575A40"/>
    <w:rsid w:val="00576B48"/>
    <w:rsid w:val="00577008"/>
    <w:rsid w:val="0057718D"/>
    <w:rsid w:val="00577658"/>
    <w:rsid w:val="005776A9"/>
    <w:rsid w:val="00577A1D"/>
    <w:rsid w:val="00577BF5"/>
    <w:rsid w:val="00577D97"/>
    <w:rsid w:val="00577E87"/>
    <w:rsid w:val="00580206"/>
    <w:rsid w:val="0058041C"/>
    <w:rsid w:val="00580625"/>
    <w:rsid w:val="0058068E"/>
    <w:rsid w:val="00580707"/>
    <w:rsid w:val="005812E4"/>
    <w:rsid w:val="00581C6E"/>
    <w:rsid w:val="0058226E"/>
    <w:rsid w:val="00582389"/>
    <w:rsid w:val="005824C9"/>
    <w:rsid w:val="00582D9B"/>
    <w:rsid w:val="00582DEA"/>
    <w:rsid w:val="005832BC"/>
    <w:rsid w:val="005832FE"/>
    <w:rsid w:val="005837EF"/>
    <w:rsid w:val="0058405E"/>
    <w:rsid w:val="00584885"/>
    <w:rsid w:val="00584E75"/>
    <w:rsid w:val="00584F54"/>
    <w:rsid w:val="00585ABE"/>
    <w:rsid w:val="00585B25"/>
    <w:rsid w:val="00585BAF"/>
    <w:rsid w:val="00586A5E"/>
    <w:rsid w:val="00586B22"/>
    <w:rsid w:val="00587609"/>
    <w:rsid w:val="00587B64"/>
    <w:rsid w:val="00587E7A"/>
    <w:rsid w:val="00587F9C"/>
    <w:rsid w:val="00590415"/>
    <w:rsid w:val="00590655"/>
    <w:rsid w:val="00590ACC"/>
    <w:rsid w:val="00590E92"/>
    <w:rsid w:val="0059128B"/>
    <w:rsid w:val="00591691"/>
    <w:rsid w:val="00591806"/>
    <w:rsid w:val="00591B4B"/>
    <w:rsid w:val="00591D0B"/>
    <w:rsid w:val="00592551"/>
    <w:rsid w:val="00592965"/>
    <w:rsid w:val="00592B01"/>
    <w:rsid w:val="00592C6A"/>
    <w:rsid w:val="00592FAE"/>
    <w:rsid w:val="00593812"/>
    <w:rsid w:val="005941E4"/>
    <w:rsid w:val="005944C3"/>
    <w:rsid w:val="00594805"/>
    <w:rsid w:val="005956BF"/>
    <w:rsid w:val="00595E1A"/>
    <w:rsid w:val="00596CD6"/>
    <w:rsid w:val="00597362"/>
    <w:rsid w:val="005973F5"/>
    <w:rsid w:val="0059740C"/>
    <w:rsid w:val="0059745D"/>
    <w:rsid w:val="005A00DF"/>
    <w:rsid w:val="005A0D6B"/>
    <w:rsid w:val="005A12C2"/>
    <w:rsid w:val="005A1999"/>
    <w:rsid w:val="005A23BF"/>
    <w:rsid w:val="005A25EE"/>
    <w:rsid w:val="005A2FA4"/>
    <w:rsid w:val="005A30C2"/>
    <w:rsid w:val="005A3459"/>
    <w:rsid w:val="005A34A6"/>
    <w:rsid w:val="005A37C0"/>
    <w:rsid w:val="005A4144"/>
    <w:rsid w:val="005A5995"/>
    <w:rsid w:val="005A5A62"/>
    <w:rsid w:val="005A5C19"/>
    <w:rsid w:val="005A5DB0"/>
    <w:rsid w:val="005A5FC1"/>
    <w:rsid w:val="005A62E7"/>
    <w:rsid w:val="005A63BC"/>
    <w:rsid w:val="005A6B99"/>
    <w:rsid w:val="005A6C63"/>
    <w:rsid w:val="005A6DA7"/>
    <w:rsid w:val="005A6F26"/>
    <w:rsid w:val="005A78CC"/>
    <w:rsid w:val="005B054C"/>
    <w:rsid w:val="005B0EC5"/>
    <w:rsid w:val="005B14B3"/>
    <w:rsid w:val="005B1F94"/>
    <w:rsid w:val="005B2BDF"/>
    <w:rsid w:val="005B3236"/>
    <w:rsid w:val="005B378A"/>
    <w:rsid w:val="005B3A82"/>
    <w:rsid w:val="005B42F8"/>
    <w:rsid w:val="005B4638"/>
    <w:rsid w:val="005B46FC"/>
    <w:rsid w:val="005B4790"/>
    <w:rsid w:val="005B533A"/>
    <w:rsid w:val="005B5609"/>
    <w:rsid w:val="005B56E0"/>
    <w:rsid w:val="005B5ADD"/>
    <w:rsid w:val="005B5ED3"/>
    <w:rsid w:val="005B5ED7"/>
    <w:rsid w:val="005B604B"/>
    <w:rsid w:val="005B6391"/>
    <w:rsid w:val="005B6581"/>
    <w:rsid w:val="005B70B9"/>
    <w:rsid w:val="005B7964"/>
    <w:rsid w:val="005C02A1"/>
    <w:rsid w:val="005C0318"/>
    <w:rsid w:val="005C05A9"/>
    <w:rsid w:val="005C05F7"/>
    <w:rsid w:val="005C0DFB"/>
    <w:rsid w:val="005C0F2D"/>
    <w:rsid w:val="005C14DD"/>
    <w:rsid w:val="005C193C"/>
    <w:rsid w:val="005C19C6"/>
    <w:rsid w:val="005C24A1"/>
    <w:rsid w:val="005C27C5"/>
    <w:rsid w:val="005C2DD5"/>
    <w:rsid w:val="005C33E2"/>
    <w:rsid w:val="005C4030"/>
    <w:rsid w:val="005C5856"/>
    <w:rsid w:val="005C5D72"/>
    <w:rsid w:val="005C5F27"/>
    <w:rsid w:val="005C6019"/>
    <w:rsid w:val="005C60A4"/>
    <w:rsid w:val="005C6494"/>
    <w:rsid w:val="005C6BD6"/>
    <w:rsid w:val="005C71B2"/>
    <w:rsid w:val="005C72FD"/>
    <w:rsid w:val="005C7365"/>
    <w:rsid w:val="005C7440"/>
    <w:rsid w:val="005C78B3"/>
    <w:rsid w:val="005C7BEB"/>
    <w:rsid w:val="005D02CB"/>
    <w:rsid w:val="005D13AB"/>
    <w:rsid w:val="005D1DCA"/>
    <w:rsid w:val="005D26F6"/>
    <w:rsid w:val="005D2757"/>
    <w:rsid w:val="005D3577"/>
    <w:rsid w:val="005D37FC"/>
    <w:rsid w:val="005D3835"/>
    <w:rsid w:val="005D3E55"/>
    <w:rsid w:val="005D3EE6"/>
    <w:rsid w:val="005D47ED"/>
    <w:rsid w:val="005D4B1C"/>
    <w:rsid w:val="005D4EB9"/>
    <w:rsid w:val="005D4F03"/>
    <w:rsid w:val="005D5241"/>
    <w:rsid w:val="005D6066"/>
    <w:rsid w:val="005D634C"/>
    <w:rsid w:val="005D654D"/>
    <w:rsid w:val="005D6631"/>
    <w:rsid w:val="005D7139"/>
    <w:rsid w:val="005D76CF"/>
    <w:rsid w:val="005D7926"/>
    <w:rsid w:val="005D7A98"/>
    <w:rsid w:val="005D7FFD"/>
    <w:rsid w:val="005E00D5"/>
    <w:rsid w:val="005E0129"/>
    <w:rsid w:val="005E04E9"/>
    <w:rsid w:val="005E064C"/>
    <w:rsid w:val="005E0773"/>
    <w:rsid w:val="005E0851"/>
    <w:rsid w:val="005E1050"/>
    <w:rsid w:val="005E10F6"/>
    <w:rsid w:val="005E11F2"/>
    <w:rsid w:val="005E297D"/>
    <w:rsid w:val="005E2AAA"/>
    <w:rsid w:val="005E2BCC"/>
    <w:rsid w:val="005E352E"/>
    <w:rsid w:val="005E3684"/>
    <w:rsid w:val="005E38AD"/>
    <w:rsid w:val="005E4002"/>
    <w:rsid w:val="005E4828"/>
    <w:rsid w:val="005E4A48"/>
    <w:rsid w:val="005E5640"/>
    <w:rsid w:val="005E63D4"/>
    <w:rsid w:val="005E64D2"/>
    <w:rsid w:val="005E657E"/>
    <w:rsid w:val="005E70E7"/>
    <w:rsid w:val="005E7451"/>
    <w:rsid w:val="005E778F"/>
    <w:rsid w:val="005E7843"/>
    <w:rsid w:val="005E7FC3"/>
    <w:rsid w:val="005F0B89"/>
    <w:rsid w:val="005F0FCC"/>
    <w:rsid w:val="005F1018"/>
    <w:rsid w:val="005F10BD"/>
    <w:rsid w:val="005F1339"/>
    <w:rsid w:val="005F1776"/>
    <w:rsid w:val="005F1810"/>
    <w:rsid w:val="005F19DA"/>
    <w:rsid w:val="005F1BAA"/>
    <w:rsid w:val="005F280C"/>
    <w:rsid w:val="005F2B32"/>
    <w:rsid w:val="005F3008"/>
    <w:rsid w:val="005F39CF"/>
    <w:rsid w:val="005F3A79"/>
    <w:rsid w:val="005F3AA2"/>
    <w:rsid w:val="005F4010"/>
    <w:rsid w:val="005F4323"/>
    <w:rsid w:val="005F43BB"/>
    <w:rsid w:val="005F440C"/>
    <w:rsid w:val="005F47BC"/>
    <w:rsid w:val="005F48B9"/>
    <w:rsid w:val="005F4994"/>
    <w:rsid w:val="005F4B66"/>
    <w:rsid w:val="005F588A"/>
    <w:rsid w:val="005F609F"/>
    <w:rsid w:val="005F6331"/>
    <w:rsid w:val="005F6453"/>
    <w:rsid w:val="005F6886"/>
    <w:rsid w:val="005F6BE6"/>
    <w:rsid w:val="005F6F34"/>
    <w:rsid w:val="005F702F"/>
    <w:rsid w:val="005F7668"/>
    <w:rsid w:val="005F7831"/>
    <w:rsid w:val="005F799C"/>
    <w:rsid w:val="005F7C15"/>
    <w:rsid w:val="005F7F19"/>
    <w:rsid w:val="006001AF"/>
    <w:rsid w:val="006002EE"/>
    <w:rsid w:val="00600603"/>
    <w:rsid w:val="00600971"/>
    <w:rsid w:val="00600C0F"/>
    <w:rsid w:val="00600CD7"/>
    <w:rsid w:val="006010B0"/>
    <w:rsid w:val="006012D6"/>
    <w:rsid w:val="006013E3"/>
    <w:rsid w:val="006016F5"/>
    <w:rsid w:val="00601991"/>
    <w:rsid w:val="00601C88"/>
    <w:rsid w:val="00601D1A"/>
    <w:rsid w:val="0060230E"/>
    <w:rsid w:val="00603429"/>
    <w:rsid w:val="006035FE"/>
    <w:rsid w:val="0060375A"/>
    <w:rsid w:val="0060389B"/>
    <w:rsid w:val="00603CD8"/>
    <w:rsid w:val="0060443D"/>
    <w:rsid w:val="00604505"/>
    <w:rsid w:val="00604558"/>
    <w:rsid w:val="00604625"/>
    <w:rsid w:val="00604B26"/>
    <w:rsid w:val="00605320"/>
    <w:rsid w:val="00605649"/>
    <w:rsid w:val="0060578F"/>
    <w:rsid w:val="00605C33"/>
    <w:rsid w:val="00605F32"/>
    <w:rsid w:val="00606690"/>
    <w:rsid w:val="00606CC9"/>
    <w:rsid w:val="006076AF"/>
    <w:rsid w:val="006077D5"/>
    <w:rsid w:val="006078E9"/>
    <w:rsid w:val="00607937"/>
    <w:rsid w:val="00607A91"/>
    <w:rsid w:val="00607B8F"/>
    <w:rsid w:val="00607FE6"/>
    <w:rsid w:val="006105B6"/>
    <w:rsid w:val="00610AC3"/>
    <w:rsid w:val="00610EF0"/>
    <w:rsid w:val="00612494"/>
    <w:rsid w:val="00612799"/>
    <w:rsid w:val="00612A45"/>
    <w:rsid w:val="00612DAD"/>
    <w:rsid w:val="006130CE"/>
    <w:rsid w:val="00613127"/>
    <w:rsid w:val="00613382"/>
    <w:rsid w:val="00613B26"/>
    <w:rsid w:val="00614448"/>
    <w:rsid w:val="006145DA"/>
    <w:rsid w:val="006147B8"/>
    <w:rsid w:val="006148DE"/>
    <w:rsid w:val="00614D5D"/>
    <w:rsid w:val="00614F98"/>
    <w:rsid w:val="00614FEB"/>
    <w:rsid w:val="006157E1"/>
    <w:rsid w:val="0061619F"/>
    <w:rsid w:val="0061642F"/>
    <w:rsid w:val="006168CF"/>
    <w:rsid w:val="006169AB"/>
    <w:rsid w:val="00616DDA"/>
    <w:rsid w:val="006170F7"/>
    <w:rsid w:val="00617D4F"/>
    <w:rsid w:val="0062043F"/>
    <w:rsid w:val="006205ED"/>
    <w:rsid w:val="0062079B"/>
    <w:rsid w:val="0062127A"/>
    <w:rsid w:val="0062177D"/>
    <w:rsid w:val="00621DFC"/>
    <w:rsid w:val="00621E49"/>
    <w:rsid w:val="006220BB"/>
    <w:rsid w:val="00622780"/>
    <w:rsid w:val="00622781"/>
    <w:rsid w:val="00622AED"/>
    <w:rsid w:val="00622E07"/>
    <w:rsid w:val="0062318D"/>
    <w:rsid w:val="006239BF"/>
    <w:rsid w:val="00623A8E"/>
    <w:rsid w:val="00623EEB"/>
    <w:rsid w:val="00624559"/>
    <w:rsid w:val="00624C5F"/>
    <w:rsid w:val="00625990"/>
    <w:rsid w:val="006264DE"/>
    <w:rsid w:val="00626BF3"/>
    <w:rsid w:val="00626D0E"/>
    <w:rsid w:val="00626EC4"/>
    <w:rsid w:val="00626EF0"/>
    <w:rsid w:val="00626F6F"/>
    <w:rsid w:val="0062764B"/>
    <w:rsid w:val="00630305"/>
    <w:rsid w:val="00630720"/>
    <w:rsid w:val="00630724"/>
    <w:rsid w:val="00630A1B"/>
    <w:rsid w:val="0063165A"/>
    <w:rsid w:val="00632061"/>
    <w:rsid w:val="00632074"/>
    <w:rsid w:val="0063239B"/>
    <w:rsid w:val="00632496"/>
    <w:rsid w:val="006326BF"/>
    <w:rsid w:val="00632BF0"/>
    <w:rsid w:val="00632F88"/>
    <w:rsid w:val="00633940"/>
    <w:rsid w:val="006341F2"/>
    <w:rsid w:val="006348EA"/>
    <w:rsid w:val="006348EC"/>
    <w:rsid w:val="00634BA9"/>
    <w:rsid w:val="00634DB7"/>
    <w:rsid w:val="00634E16"/>
    <w:rsid w:val="0063517F"/>
    <w:rsid w:val="00635370"/>
    <w:rsid w:val="00635501"/>
    <w:rsid w:val="006359C7"/>
    <w:rsid w:val="00635A0A"/>
    <w:rsid w:val="00635AE1"/>
    <w:rsid w:val="00635BD0"/>
    <w:rsid w:val="00636192"/>
    <w:rsid w:val="006363DF"/>
    <w:rsid w:val="006365A1"/>
    <w:rsid w:val="006367BA"/>
    <w:rsid w:val="006370CE"/>
    <w:rsid w:val="006372E1"/>
    <w:rsid w:val="00637581"/>
    <w:rsid w:val="0063768F"/>
    <w:rsid w:val="00637A53"/>
    <w:rsid w:val="00637D8E"/>
    <w:rsid w:val="00637EC2"/>
    <w:rsid w:val="00637F7A"/>
    <w:rsid w:val="0064077A"/>
    <w:rsid w:val="00641CDB"/>
    <w:rsid w:val="00641E5E"/>
    <w:rsid w:val="00641F2C"/>
    <w:rsid w:val="00641FB1"/>
    <w:rsid w:val="006425AA"/>
    <w:rsid w:val="00642CF3"/>
    <w:rsid w:val="00642E9F"/>
    <w:rsid w:val="006430D5"/>
    <w:rsid w:val="006432AE"/>
    <w:rsid w:val="00643345"/>
    <w:rsid w:val="0064350B"/>
    <w:rsid w:val="006436F5"/>
    <w:rsid w:val="0064391A"/>
    <w:rsid w:val="00643971"/>
    <w:rsid w:val="00643FFF"/>
    <w:rsid w:val="00644E34"/>
    <w:rsid w:val="006454C1"/>
    <w:rsid w:val="00645859"/>
    <w:rsid w:val="00645D2D"/>
    <w:rsid w:val="00646478"/>
    <w:rsid w:val="006469F7"/>
    <w:rsid w:val="006478BC"/>
    <w:rsid w:val="00647D50"/>
    <w:rsid w:val="00647F00"/>
    <w:rsid w:val="00650048"/>
    <w:rsid w:val="006503C0"/>
    <w:rsid w:val="00650479"/>
    <w:rsid w:val="00650AE8"/>
    <w:rsid w:val="00650DF5"/>
    <w:rsid w:val="0065177C"/>
    <w:rsid w:val="00651D1B"/>
    <w:rsid w:val="00651D1D"/>
    <w:rsid w:val="00651DFB"/>
    <w:rsid w:val="00652209"/>
    <w:rsid w:val="00652255"/>
    <w:rsid w:val="00652AC7"/>
    <w:rsid w:val="00653576"/>
    <w:rsid w:val="00653B61"/>
    <w:rsid w:val="00653BA9"/>
    <w:rsid w:val="00654095"/>
    <w:rsid w:val="00654380"/>
    <w:rsid w:val="006543A5"/>
    <w:rsid w:val="00654FC1"/>
    <w:rsid w:val="006550C1"/>
    <w:rsid w:val="00655497"/>
    <w:rsid w:val="006554E1"/>
    <w:rsid w:val="00655551"/>
    <w:rsid w:val="006560D9"/>
    <w:rsid w:val="00656F31"/>
    <w:rsid w:val="006573D8"/>
    <w:rsid w:val="0065754A"/>
    <w:rsid w:val="006577C1"/>
    <w:rsid w:val="006601ED"/>
    <w:rsid w:val="006606F6"/>
    <w:rsid w:val="006608FF"/>
    <w:rsid w:val="0066098E"/>
    <w:rsid w:val="00660AEA"/>
    <w:rsid w:val="00660DA4"/>
    <w:rsid w:val="00660F39"/>
    <w:rsid w:val="00661074"/>
    <w:rsid w:val="00661265"/>
    <w:rsid w:val="0066209D"/>
    <w:rsid w:val="006621C9"/>
    <w:rsid w:val="006625CD"/>
    <w:rsid w:val="006627DD"/>
    <w:rsid w:val="00662D9C"/>
    <w:rsid w:val="00662EE2"/>
    <w:rsid w:val="006631B9"/>
    <w:rsid w:val="0066322C"/>
    <w:rsid w:val="00663921"/>
    <w:rsid w:val="0066396A"/>
    <w:rsid w:val="00664959"/>
    <w:rsid w:val="00664CA3"/>
    <w:rsid w:val="00665281"/>
    <w:rsid w:val="00665A77"/>
    <w:rsid w:val="00665C95"/>
    <w:rsid w:val="00665CB8"/>
    <w:rsid w:val="00666153"/>
    <w:rsid w:val="006661AF"/>
    <w:rsid w:val="00666788"/>
    <w:rsid w:val="00667163"/>
    <w:rsid w:val="00667FFE"/>
    <w:rsid w:val="00670155"/>
    <w:rsid w:val="006717FD"/>
    <w:rsid w:val="00671CBE"/>
    <w:rsid w:val="00671F51"/>
    <w:rsid w:val="006722F2"/>
    <w:rsid w:val="006724D9"/>
    <w:rsid w:val="00673662"/>
    <w:rsid w:val="00673725"/>
    <w:rsid w:val="00673E40"/>
    <w:rsid w:val="00673FBB"/>
    <w:rsid w:val="00674232"/>
    <w:rsid w:val="006742B7"/>
    <w:rsid w:val="00674F09"/>
    <w:rsid w:val="00675359"/>
    <w:rsid w:val="00675385"/>
    <w:rsid w:val="006754CA"/>
    <w:rsid w:val="006755B7"/>
    <w:rsid w:val="00676D11"/>
    <w:rsid w:val="00676DFE"/>
    <w:rsid w:val="0067721B"/>
    <w:rsid w:val="00677405"/>
    <w:rsid w:val="00677EF6"/>
    <w:rsid w:val="006803B9"/>
    <w:rsid w:val="006805FC"/>
    <w:rsid w:val="00680AAE"/>
    <w:rsid w:val="00680C2F"/>
    <w:rsid w:val="00680CC6"/>
    <w:rsid w:val="00680D19"/>
    <w:rsid w:val="00680EE7"/>
    <w:rsid w:val="006810B8"/>
    <w:rsid w:val="006811E9"/>
    <w:rsid w:val="006814D1"/>
    <w:rsid w:val="006817FB"/>
    <w:rsid w:val="006819C4"/>
    <w:rsid w:val="00681A08"/>
    <w:rsid w:val="00681D0A"/>
    <w:rsid w:val="00681E64"/>
    <w:rsid w:val="00681EFE"/>
    <w:rsid w:val="00682A5D"/>
    <w:rsid w:val="00682E2D"/>
    <w:rsid w:val="006831E1"/>
    <w:rsid w:val="00683F3A"/>
    <w:rsid w:val="0068441F"/>
    <w:rsid w:val="00684501"/>
    <w:rsid w:val="0068470E"/>
    <w:rsid w:val="00684CC4"/>
    <w:rsid w:val="006850BB"/>
    <w:rsid w:val="006850D9"/>
    <w:rsid w:val="006855DC"/>
    <w:rsid w:val="00685C5E"/>
    <w:rsid w:val="00685ECA"/>
    <w:rsid w:val="006860B7"/>
    <w:rsid w:val="00686427"/>
    <w:rsid w:val="006864EA"/>
    <w:rsid w:val="00686DD8"/>
    <w:rsid w:val="00687616"/>
    <w:rsid w:val="0068768A"/>
    <w:rsid w:val="00687860"/>
    <w:rsid w:val="0068799F"/>
    <w:rsid w:val="006879DD"/>
    <w:rsid w:val="00687E57"/>
    <w:rsid w:val="006901B8"/>
    <w:rsid w:val="00690392"/>
    <w:rsid w:val="006905EF"/>
    <w:rsid w:val="0069073C"/>
    <w:rsid w:val="006908C2"/>
    <w:rsid w:val="00690FA7"/>
    <w:rsid w:val="0069128F"/>
    <w:rsid w:val="006918B7"/>
    <w:rsid w:val="00691AF2"/>
    <w:rsid w:val="006922AC"/>
    <w:rsid w:val="00692574"/>
    <w:rsid w:val="006925F9"/>
    <w:rsid w:val="0069274E"/>
    <w:rsid w:val="0069285E"/>
    <w:rsid w:val="006929BA"/>
    <w:rsid w:val="006936AD"/>
    <w:rsid w:val="00693A78"/>
    <w:rsid w:val="00693B78"/>
    <w:rsid w:val="0069437F"/>
    <w:rsid w:val="00694E3E"/>
    <w:rsid w:val="0069533E"/>
    <w:rsid w:val="0069618B"/>
    <w:rsid w:val="00696199"/>
    <w:rsid w:val="006963BD"/>
    <w:rsid w:val="006965FC"/>
    <w:rsid w:val="006966B9"/>
    <w:rsid w:val="00696C9F"/>
    <w:rsid w:val="00696DE7"/>
    <w:rsid w:val="00696EE9"/>
    <w:rsid w:val="0069722F"/>
    <w:rsid w:val="00697278"/>
    <w:rsid w:val="00697324"/>
    <w:rsid w:val="006973D3"/>
    <w:rsid w:val="006978D4"/>
    <w:rsid w:val="006A021B"/>
    <w:rsid w:val="006A021F"/>
    <w:rsid w:val="006A022E"/>
    <w:rsid w:val="006A0478"/>
    <w:rsid w:val="006A0591"/>
    <w:rsid w:val="006A07D9"/>
    <w:rsid w:val="006A0F51"/>
    <w:rsid w:val="006A1EAE"/>
    <w:rsid w:val="006A2083"/>
    <w:rsid w:val="006A20C1"/>
    <w:rsid w:val="006A2520"/>
    <w:rsid w:val="006A276D"/>
    <w:rsid w:val="006A27B6"/>
    <w:rsid w:val="006A29D3"/>
    <w:rsid w:val="006A30BC"/>
    <w:rsid w:val="006A310E"/>
    <w:rsid w:val="006A3372"/>
    <w:rsid w:val="006A346E"/>
    <w:rsid w:val="006A3565"/>
    <w:rsid w:val="006A37EF"/>
    <w:rsid w:val="006A3CA0"/>
    <w:rsid w:val="006A3FC3"/>
    <w:rsid w:val="006A4482"/>
    <w:rsid w:val="006A4E55"/>
    <w:rsid w:val="006A4F2E"/>
    <w:rsid w:val="006A5065"/>
    <w:rsid w:val="006A51A7"/>
    <w:rsid w:val="006A5273"/>
    <w:rsid w:val="006A5364"/>
    <w:rsid w:val="006A5B8C"/>
    <w:rsid w:val="006A64A9"/>
    <w:rsid w:val="006A661A"/>
    <w:rsid w:val="006A69C7"/>
    <w:rsid w:val="006A6D19"/>
    <w:rsid w:val="006A6D40"/>
    <w:rsid w:val="006A7136"/>
    <w:rsid w:val="006A765C"/>
    <w:rsid w:val="006B0AEB"/>
    <w:rsid w:val="006B0B6F"/>
    <w:rsid w:val="006B10C0"/>
    <w:rsid w:val="006B16B2"/>
    <w:rsid w:val="006B1CD3"/>
    <w:rsid w:val="006B2CA4"/>
    <w:rsid w:val="006B3468"/>
    <w:rsid w:val="006B358C"/>
    <w:rsid w:val="006B36D6"/>
    <w:rsid w:val="006B37D9"/>
    <w:rsid w:val="006B38CE"/>
    <w:rsid w:val="006B43D9"/>
    <w:rsid w:val="006B4487"/>
    <w:rsid w:val="006B490A"/>
    <w:rsid w:val="006B4B6D"/>
    <w:rsid w:val="006B4CDB"/>
    <w:rsid w:val="006B4D7F"/>
    <w:rsid w:val="006B4E94"/>
    <w:rsid w:val="006B6183"/>
    <w:rsid w:val="006B73B6"/>
    <w:rsid w:val="006B74D1"/>
    <w:rsid w:val="006B795A"/>
    <w:rsid w:val="006B7CE3"/>
    <w:rsid w:val="006C005F"/>
    <w:rsid w:val="006C0394"/>
    <w:rsid w:val="006C0573"/>
    <w:rsid w:val="006C0BFD"/>
    <w:rsid w:val="006C0E45"/>
    <w:rsid w:val="006C0ED6"/>
    <w:rsid w:val="006C1225"/>
    <w:rsid w:val="006C1347"/>
    <w:rsid w:val="006C1482"/>
    <w:rsid w:val="006C15E4"/>
    <w:rsid w:val="006C16B3"/>
    <w:rsid w:val="006C1BFA"/>
    <w:rsid w:val="006C1DFE"/>
    <w:rsid w:val="006C2234"/>
    <w:rsid w:val="006C2310"/>
    <w:rsid w:val="006C26C9"/>
    <w:rsid w:val="006C2A65"/>
    <w:rsid w:val="006C31F7"/>
    <w:rsid w:val="006C3830"/>
    <w:rsid w:val="006C3953"/>
    <w:rsid w:val="006C3F0E"/>
    <w:rsid w:val="006C4088"/>
    <w:rsid w:val="006C41CA"/>
    <w:rsid w:val="006C4396"/>
    <w:rsid w:val="006C4676"/>
    <w:rsid w:val="006C4AA8"/>
    <w:rsid w:val="006C51DD"/>
    <w:rsid w:val="006C558C"/>
    <w:rsid w:val="006C573F"/>
    <w:rsid w:val="006C5BE8"/>
    <w:rsid w:val="006C6093"/>
    <w:rsid w:val="006C6662"/>
    <w:rsid w:val="006C698E"/>
    <w:rsid w:val="006C6ADF"/>
    <w:rsid w:val="006C721A"/>
    <w:rsid w:val="006C7246"/>
    <w:rsid w:val="006C7289"/>
    <w:rsid w:val="006C7C17"/>
    <w:rsid w:val="006C7EDD"/>
    <w:rsid w:val="006D0578"/>
    <w:rsid w:val="006D08AE"/>
    <w:rsid w:val="006D0985"/>
    <w:rsid w:val="006D0ED5"/>
    <w:rsid w:val="006D0F06"/>
    <w:rsid w:val="006D1393"/>
    <w:rsid w:val="006D1523"/>
    <w:rsid w:val="006D1597"/>
    <w:rsid w:val="006D26A3"/>
    <w:rsid w:val="006D2722"/>
    <w:rsid w:val="006D2A29"/>
    <w:rsid w:val="006D2B85"/>
    <w:rsid w:val="006D30E2"/>
    <w:rsid w:val="006D3366"/>
    <w:rsid w:val="006D35C8"/>
    <w:rsid w:val="006D3EA8"/>
    <w:rsid w:val="006D444F"/>
    <w:rsid w:val="006D449D"/>
    <w:rsid w:val="006D45CF"/>
    <w:rsid w:val="006D491C"/>
    <w:rsid w:val="006D4D21"/>
    <w:rsid w:val="006D5358"/>
    <w:rsid w:val="006D57C0"/>
    <w:rsid w:val="006D5AE1"/>
    <w:rsid w:val="006D6123"/>
    <w:rsid w:val="006D6528"/>
    <w:rsid w:val="006D6C0C"/>
    <w:rsid w:val="006D709D"/>
    <w:rsid w:val="006D71D6"/>
    <w:rsid w:val="006D741B"/>
    <w:rsid w:val="006D74A4"/>
    <w:rsid w:val="006D7AFE"/>
    <w:rsid w:val="006E0003"/>
    <w:rsid w:val="006E087B"/>
    <w:rsid w:val="006E095B"/>
    <w:rsid w:val="006E09EA"/>
    <w:rsid w:val="006E0F1A"/>
    <w:rsid w:val="006E1659"/>
    <w:rsid w:val="006E1A27"/>
    <w:rsid w:val="006E1F76"/>
    <w:rsid w:val="006E216F"/>
    <w:rsid w:val="006E22C5"/>
    <w:rsid w:val="006E24D9"/>
    <w:rsid w:val="006E2FFF"/>
    <w:rsid w:val="006E3170"/>
    <w:rsid w:val="006E31C2"/>
    <w:rsid w:val="006E3DDB"/>
    <w:rsid w:val="006E43EB"/>
    <w:rsid w:val="006E443F"/>
    <w:rsid w:val="006E45F2"/>
    <w:rsid w:val="006E551A"/>
    <w:rsid w:val="006E562B"/>
    <w:rsid w:val="006E59FF"/>
    <w:rsid w:val="006E5AB2"/>
    <w:rsid w:val="006E63DC"/>
    <w:rsid w:val="006E750E"/>
    <w:rsid w:val="006E7E99"/>
    <w:rsid w:val="006E7EB8"/>
    <w:rsid w:val="006F0002"/>
    <w:rsid w:val="006F04F5"/>
    <w:rsid w:val="006F0824"/>
    <w:rsid w:val="006F093D"/>
    <w:rsid w:val="006F142D"/>
    <w:rsid w:val="006F1974"/>
    <w:rsid w:val="006F1D57"/>
    <w:rsid w:val="006F1EC9"/>
    <w:rsid w:val="006F282C"/>
    <w:rsid w:val="006F2923"/>
    <w:rsid w:val="006F2FE5"/>
    <w:rsid w:val="006F309F"/>
    <w:rsid w:val="006F3949"/>
    <w:rsid w:val="006F3C8F"/>
    <w:rsid w:val="006F3E2D"/>
    <w:rsid w:val="006F48E5"/>
    <w:rsid w:val="006F4A34"/>
    <w:rsid w:val="006F50A6"/>
    <w:rsid w:val="006F53B6"/>
    <w:rsid w:val="006F556F"/>
    <w:rsid w:val="006F5917"/>
    <w:rsid w:val="006F6465"/>
    <w:rsid w:val="006F6499"/>
    <w:rsid w:val="006F6544"/>
    <w:rsid w:val="006F664B"/>
    <w:rsid w:val="006F68FB"/>
    <w:rsid w:val="006F6C6B"/>
    <w:rsid w:val="006F6D16"/>
    <w:rsid w:val="006F6FA8"/>
    <w:rsid w:val="006F7090"/>
    <w:rsid w:val="006F75B3"/>
    <w:rsid w:val="006F7B8C"/>
    <w:rsid w:val="006F7DF5"/>
    <w:rsid w:val="007006B2"/>
    <w:rsid w:val="00700706"/>
    <w:rsid w:val="00700CD8"/>
    <w:rsid w:val="007013A6"/>
    <w:rsid w:val="007018E1"/>
    <w:rsid w:val="00701D45"/>
    <w:rsid w:val="00701F54"/>
    <w:rsid w:val="00702AD8"/>
    <w:rsid w:val="00702F4E"/>
    <w:rsid w:val="00703150"/>
    <w:rsid w:val="00703206"/>
    <w:rsid w:val="00703417"/>
    <w:rsid w:val="007036E4"/>
    <w:rsid w:val="007037CA"/>
    <w:rsid w:val="00703906"/>
    <w:rsid w:val="00703A21"/>
    <w:rsid w:val="00703B9E"/>
    <w:rsid w:val="007043AF"/>
    <w:rsid w:val="007043E9"/>
    <w:rsid w:val="00704E72"/>
    <w:rsid w:val="007052F8"/>
    <w:rsid w:val="00705428"/>
    <w:rsid w:val="0070557A"/>
    <w:rsid w:val="0070559E"/>
    <w:rsid w:val="007058CE"/>
    <w:rsid w:val="00706329"/>
    <w:rsid w:val="00707094"/>
    <w:rsid w:val="0070756A"/>
    <w:rsid w:val="0070768C"/>
    <w:rsid w:val="007077EF"/>
    <w:rsid w:val="007078EA"/>
    <w:rsid w:val="00707D68"/>
    <w:rsid w:val="00710108"/>
    <w:rsid w:val="0071051A"/>
    <w:rsid w:val="00710549"/>
    <w:rsid w:val="00710782"/>
    <w:rsid w:val="00710BCA"/>
    <w:rsid w:val="00711111"/>
    <w:rsid w:val="00711380"/>
    <w:rsid w:val="00711901"/>
    <w:rsid w:val="00712199"/>
    <w:rsid w:val="0071226F"/>
    <w:rsid w:val="007123B4"/>
    <w:rsid w:val="00712AB7"/>
    <w:rsid w:val="007135C6"/>
    <w:rsid w:val="0071384B"/>
    <w:rsid w:val="00713C98"/>
    <w:rsid w:val="0071428A"/>
    <w:rsid w:val="0071431F"/>
    <w:rsid w:val="007144E3"/>
    <w:rsid w:val="00714CA6"/>
    <w:rsid w:val="00714EF4"/>
    <w:rsid w:val="00714F06"/>
    <w:rsid w:val="00715098"/>
    <w:rsid w:val="007152CD"/>
    <w:rsid w:val="007152F5"/>
    <w:rsid w:val="007159CD"/>
    <w:rsid w:val="00715C55"/>
    <w:rsid w:val="007160B2"/>
    <w:rsid w:val="00716159"/>
    <w:rsid w:val="0071651F"/>
    <w:rsid w:val="00716730"/>
    <w:rsid w:val="00716A2A"/>
    <w:rsid w:val="00716B5A"/>
    <w:rsid w:val="00716C3D"/>
    <w:rsid w:val="00716D42"/>
    <w:rsid w:val="007170E8"/>
    <w:rsid w:val="0071763A"/>
    <w:rsid w:val="007179E4"/>
    <w:rsid w:val="00717A85"/>
    <w:rsid w:val="00717E91"/>
    <w:rsid w:val="00720D63"/>
    <w:rsid w:val="00721107"/>
    <w:rsid w:val="007213B0"/>
    <w:rsid w:val="007213E7"/>
    <w:rsid w:val="00721EE9"/>
    <w:rsid w:val="00722008"/>
    <w:rsid w:val="00722032"/>
    <w:rsid w:val="007220A0"/>
    <w:rsid w:val="00722DF6"/>
    <w:rsid w:val="007234C7"/>
    <w:rsid w:val="00723BD9"/>
    <w:rsid w:val="00723F4E"/>
    <w:rsid w:val="007241DB"/>
    <w:rsid w:val="007243A6"/>
    <w:rsid w:val="00724BC2"/>
    <w:rsid w:val="007252ED"/>
    <w:rsid w:val="0072578A"/>
    <w:rsid w:val="00725890"/>
    <w:rsid w:val="007259DD"/>
    <w:rsid w:val="00726281"/>
    <w:rsid w:val="0072641C"/>
    <w:rsid w:val="00726749"/>
    <w:rsid w:val="0072677D"/>
    <w:rsid w:val="00726A18"/>
    <w:rsid w:val="00726BD8"/>
    <w:rsid w:val="00726CFF"/>
    <w:rsid w:val="00726DF4"/>
    <w:rsid w:val="00726EA5"/>
    <w:rsid w:val="00727270"/>
    <w:rsid w:val="007272E2"/>
    <w:rsid w:val="0073000B"/>
    <w:rsid w:val="007306F7"/>
    <w:rsid w:val="00730CFE"/>
    <w:rsid w:val="00730D09"/>
    <w:rsid w:val="00730D3E"/>
    <w:rsid w:val="0073169D"/>
    <w:rsid w:val="00731A68"/>
    <w:rsid w:val="00731EA0"/>
    <w:rsid w:val="007320CB"/>
    <w:rsid w:val="00732D31"/>
    <w:rsid w:val="0073324F"/>
    <w:rsid w:val="0073359C"/>
    <w:rsid w:val="00733AF6"/>
    <w:rsid w:val="00733D8B"/>
    <w:rsid w:val="00733E07"/>
    <w:rsid w:val="007340D2"/>
    <w:rsid w:val="007341A3"/>
    <w:rsid w:val="00734A0E"/>
    <w:rsid w:val="00735057"/>
    <w:rsid w:val="007357B6"/>
    <w:rsid w:val="00735D96"/>
    <w:rsid w:val="00735F08"/>
    <w:rsid w:val="00735F63"/>
    <w:rsid w:val="00736504"/>
    <w:rsid w:val="00736FF8"/>
    <w:rsid w:val="007370C1"/>
    <w:rsid w:val="007371AE"/>
    <w:rsid w:val="00737576"/>
    <w:rsid w:val="007376A0"/>
    <w:rsid w:val="00737891"/>
    <w:rsid w:val="007406DB"/>
    <w:rsid w:val="007406E0"/>
    <w:rsid w:val="00740A96"/>
    <w:rsid w:val="00741F89"/>
    <w:rsid w:val="007420F1"/>
    <w:rsid w:val="00742316"/>
    <w:rsid w:val="00742569"/>
    <w:rsid w:val="00742591"/>
    <w:rsid w:val="0074282E"/>
    <w:rsid w:val="00742A4A"/>
    <w:rsid w:val="00742B2F"/>
    <w:rsid w:val="00742D37"/>
    <w:rsid w:val="00742FEC"/>
    <w:rsid w:val="00743111"/>
    <w:rsid w:val="007438E8"/>
    <w:rsid w:val="0074399A"/>
    <w:rsid w:val="00743DF2"/>
    <w:rsid w:val="00743F79"/>
    <w:rsid w:val="007443DE"/>
    <w:rsid w:val="007444E8"/>
    <w:rsid w:val="00744F21"/>
    <w:rsid w:val="00744F7C"/>
    <w:rsid w:val="00745A0B"/>
    <w:rsid w:val="00745AFE"/>
    <w:rsid w:val="00745D41"/>
    <w:rsid w:val="00745DBB"/>
    <w:rsid w:val="00746662"/>
    <w:rsid w:val="00746686"/>
    <w:rsid w:val="007468EE"/>
    <w:rsid w:val="00746957"/>
    <w:rsid w:val="007469FA"/>
    <w:rsid w:val="007474FF"/>
    <w:rsid w:val="00747689"/>
    <w:rsid w:val="007479D4"/>
    <w:rsid w:val="00747A59"/>
    <w:rsid w:val="00747C2F"/>
    <w:rsid w:val="00750C54"/>
    <w:rsid w:val="00751D99"/>
    <w:rsid w:val="00752778"/>
    <w:rsid w:val="007529E5"/>
    <w:rsid w:val="00752D31"/>
    <w:rsid w:val="00752F26"/>
    <w:rsid w:val="00752F47"/>
    <w:rsid w:val="00752F92"/>
    <w:rsid w:val="0075304B"/>
    <w:rsid w:val="007530CC"/>
    <w:rsid w:val="00753370"/>
    <w:rsid w:val="00753E1E"/>
    <w:rsid w:val="00754A2B"/>
    <w:rsid w:val="0075529F"/>
    <w:rsid w:val="0075544E"/>
    <w:rsid w:val="00755756"/>
    <w:rsid w:val="00755E0E"/>
    <w:rsid w:val="00755EBE"/>
    <w:rsid w:val="00756DF5"/>
    <w:rsid w:val="007605C0"/>
    <w:rsid w:val="00760796"/>
    <w:rsid w:val="00760859"/>
    <w:rsid w:val="00760926"/>
    <w:rsid w:val="00760F14"/>
    <w:rsid w:val="007616AF"/>
    <w:rsid w:val="00761B4E"/>
    <w:rsid w:val="007621FC"/>
    <w:rsid w:val="00762508"/>
    <w:rsid w:val="0076292F"/>
    <w:rsid w:val="007629E8"/>
    <w:rsid w:val="00762FB8"/>
    <w:rsid w:val="00763940"/>
    <w:rsid w:val="00763AEB"/>
    <w:rsid w:val="00763D28"/>
    <w:rsid w:val="00764007"/>
    <w:rsid w:val="007640B5"/>
    <w:rsid w:val="007642C1"/>
    <w:rsid w:val="007643E8"/>
    <w:rsid w:val="00764492"/>
    <w:rsid w:val="00764C23"/>
    <w:rsid w:val="00764FD5"/>
    <w:rsid w:val="007652F7"/>
    <w:rsid w:val="0076557F"/>
    <w:rsid w:val="007660EE"/>
    <w:rsid w:val="007662D8"/>
    <w:rsid w:val="007665E6"/>
    <w:rsid w:val="007677DE"/>
    <w:rsid w:val="007679A7"/>
    <w:rsid w:val="00767A37"/>
    <w:rsid w:val="00767E65"/>
    <w:rsid w:val="00770374"/>
    <w:rsid w:val="00770438"/>
    <w:rsid w:val="007705BB"/>
    <w:rsid w:val="00770B01"/>
    <w:rsid w:val="00770B79"/>
    <w:rsid w:val="00770E3E"/>
    <w:rsid w:val="007713BE"/>
    <w:rsid w:val="0077156E"/>
    <w:rsid w:val="0077159C"/>
    <w:rsid w:val="00771AF6"/>
    <w:rsid w:val="00771BCE"/>
    <w:rsid w:val="00771DBD"/>
    <w:rsid w:val="00772653"/>
    <w:rsid w:val="0077295E"/>
    <w:rsid w:val="00772CAC"/>
    <w:rsid w:val="00773124"/>
    <w:rsid w:val="0077323B"/>
    <w:rsid w:val="007734CC"/>
    <w:rsid w:val="00773D04"/>
    <w:rsid w:val="0077466B"/>
    <w:rsid w:val="007748BB"/>
    <w:rsid w:val="007751A8"/>
    <w:rsid w:val="00775433"/>
    <w:rsid w:val="00775467"/>
    <w:rsid w:val="0077558E"/>
    <w:rsid w:val="00775815"/>
    <w:rsid w:val="0077596E"/>
    <w:rsid w:val="00775D5A"/>
    <w:rsid w:val="007769EB"/>
    <w:rsid w:val="007770BD"/>
    <w:rsid w:val="0077714B"/>
    <w:rsid w:val="00777B6C"/>
    <w:rsid w:val="00780016"/>
    <w:rsid w:val="0078022B"/>
    <w:rsid w:val="007804C4"/>
    <w:rsid w:val="0078059A"/>
    <w:rsid w:val="00780B69"/>
    <w:rsid w:val="00780B77"/>
    <w:rsid w:val="00780BDC"/>
    <w:rsid w:val="00780EBD"/>
    <w:rsid w:val="007811AF"/>
    <w:rsid w:val="0078121C"/>
    <w:rsid w:val="00781335"/>
    <w:rsid w:val="007813DF"/>
    <w:rsid w:val="0078185C"/>
    <w:rsid w:val="00781937"/>
    <w:rsid w:val="0078224E"/>
    <w:rsid w:val="00782D95"/>
    <w:rsid w:val="0078316B"/>
    <w:rsid w:val="00783A59"/>
    <w:rsid w:val="00784064"/>
    <w:rsid w:val="00784292"/>
    <w:rsid w:val="00784877"/>
    <w:rsid w:val="00784B44"/>
    <w:rsid w:val="00784C86"/>
    <w:rsid w:val="00784FEC"/>
    <w:rsid w:val="00785C86"/>
    <w:rsid w:val="00786191"/>
    <w:rsid w:val="007876CF"/>
    <w:rsid w:val="007879F9"/>
    <w:rsid w:val="00787A0C"/>
    <w:rsid w:val="00787F81"/>
    <w:rsid w:val="007900EB"/>
    <w:rsid w:val="0079029D"/>
    <w:rsid w:val="007906BA"/>
    <w:rsid w:val="00790960"/>
    <w:rsid w:val="00790ABB"/>
    <w:rsid w:val="00790B83"/>
    <w:rsid w:val="00790D92"/>
    <w:rsid w:val="00790F0C"/>
    <w:rsid w:val="0079121B"/>
    <w:rsid w:val="007915D7"/>
    <w:rsid w:val="00791846"/>
    <w:rsid w:val="00791910"/>
    <w:rsid w:val="00791A6D"/>
    <w:rsid w:val="00791BBA"/>
    <w:rsid w:val="0079244D"/>
    <w:rsid w:val="007928CF"/>
    <w:rsid w:val="00792B9C"/>
    <w:rsid w:val="00792FBF"/>
    <w:rsid w:val="00793695"/>
    <w:rsid w:val="0079373A"/>
    <w:rsid w:val="00793CC2"/>
    <w:rsid w:val="00793DFB"/>
    <w:rsid w:val="007943E1"/>
    <w:rsid w:val="0079449A"/>
    <w:rsid w:val="00794968"/>
    <w:rsid w:val="0079525F"/>
    <w:rsid w:val="007954AF"/>
    <w:rsid w:val="0079583A"/>
    <w:rsid w:val="00795D30"/>
    <w:rsid w:val="007961CA"/>
    <w:rsid w:val="0079653B"/>
    <w:rsid w:val="00796551"/>
    <w:rsid w:val="0079657C"/>
    <w:rsid w:val="0079701A"/>
    <w:rsid w:val="00797021"/>
    <w:rsid w:val="00797561"/>
    <w:rsid w:val="00797751"/>
    <w:rsid w:val="00797771"/>
    <w:rsid w:val="00797C4E"/>
    <w:rsid w:val="007A02F7"/>
    <w:rsid w:val="007A038F"/>
    <w:rsid w:val="007A0887"/>
    <w:rsid w:val="007A0BA8"/>
    <w:rsid w:val="007A0CDA"/>
    <w:rsid w:val="007A0FD4"/>
    <w:rsid w:val="007A1239"/>
    <w:rsid w:val="007A15BF"/>
    <w:rsid w:val="007A1C34"/>
    <w:rsid w:val="007A203E"/>
    <w:rsid w:val="007A2078"/>
    <w:rsid w:val="007A23F2"/>
    <w:rsid w:val="007A2962"/>
    <w:rsid w:val="007A2969"/>
    <w:rsid w:val="007A2D60"/>
    <w:rsid w:val="007A2DF7"/>
    <w:rsid w:val="007A348B"/>
    <w:rsid w:val="007A34C9"/>
    <w:rsid w:val="007A3877"/>
    <w:rsid w:val="007A39E9"/>
    <w:rsid w:val="007A3D2C"/>
    <w:rsid w:val="007A3EF3"/>
    <w:rsid w:val="007A41CF"/>
    <w:rsid w:val="007A461B"/>
    <w:rsid w:val="007A4888"/>
    <w:rsid w:val="007A4BA1"/>
    <w:rsid w:val="007A4E67"/>
    <w:rsid w:val="007A5038"/>
    <w:rsid w:val="007A5399"/>
    <w:rsid w:val="007A5718"/>
    <w:rsid w:val="007A589D"/>
    <w:rsid w:val="007A5AF5"/>
    <w:rsid w:val="007A5D03"/>
    <w:rsid w:val="007A644B"/>
    <w:rsid w:val="007A64EE"/>
    <w:rsid w:val="007A676B"/>
    <w:rsid w:val="007A69E9"/>
    <w:rsid w:val="007A7678"/>
    <w:rsid w:val="007A7E4F"/>
    <w:rsid w:val="007B05E9"/>
    <w:rsid w:val="007B07B5"/>
    <w:rsid w:val="007B1042"/>
    <w:rsid w:val="007B1399"/>
    <w:rsid w:val="007B1629"/>
    <w:rsid w:val="007B1999"/>
    <w:rsid w:val="007B1A70"/>
    <w:rsid w:val="007B1D06"/>
    <w:rsid w:val="007B22D9"/>
    <w:rsid w:val="007B22E6"/>
    <w:rsid w:val="007B2547"/>
    <w:rsid w:val="007B2557"/>
    <w:rsid w:val="007B2B7B"/>
    <w:rsid w:val="007B322C"/>
    <w:rsid w:val="007B3E3E"/>
    <w:rsid w:val="007B41FB"/>
    <w:rsid w:val="007B444B"/>
    <w:rsid w:val="007B4EA4"/>
    <w:rsid w:val="007B56A4"/>
    <w:rsid w:val="007B5718"/>
    <w:rsid w:val="007B5E63"/>
    <w:rsid w:val="007B6A2F"/>
    <w:rsid w:val="007B6E2F"/>
    <w:rsid w:val="007B6F1A"/>
    <w:rsid w:val="007B7170"/>
    <w:rsid w:val="007B7BA2"/>
    <w:rsid w:val="007B7C02"/>
    <w:rsid w:val="007C027E"/>
    <w:rsid w:val="007C042D"/>
    <w:rsid w:val="007C0B8C"/>
    <w:rsid w:val="007C115B"/>
    <w:rsid w:val="007C1A8A"/>
    <w:rsid w:val="007C2B5E"/>
    <w:rsid w:val="007C2BB8"/>
    <w:rsid w:val="007C2BC4"/>
    <w:rsid w:val="007C33C6"/>
    <w:rsid w:val="007C36E8"/>
    <w:rsid w:val="007C4029"/>
    <w:rsid w:val="007C4336"/>
    <w:rsid w:val="007C4453"/>
    <w:rsid w:val="007C4AE6"/>
    <w:rsid w:val="007C4B41"/>
    <w:rsid w:val="007C578F"/>
    <w:rsid w:val="007C58C9"/>
    <w:rsid w:val="007C5A36"/>
    <w:rsid w:val="007C5C03"/>
    <w:rsid w:val="007C64DD"/>
    <w:rsid w:val="007C66FB"/>
    <w:rsid w:val="007C6C43"/>
    <w:rsid w:val="007C72A0"/>
    <w:rsid w:val="007C7343"/>
    <w:rsid w:val="007C7487"/>
    <w:rsid w:val="007C7668"/>
    <w:rsid w:val="007C7895"/>
    <w:rsid w:val="007D024C"/>
    <w:rsid w:val="007D07EE"/>
    <w:rsid w:val="007D0A83"/>
    <w:rsid w:val="007D1581"/>
    <w:rsid w:val="007D1CCE"/>
    <w:rsid w:val="007D1EAE"/>
    <w:rsid w:val="007D33A9"/>
    <w:rsid w:val="007D3CFC"/>
    <w:rsid w:val="007D3D98"/>
    <w:rsid w:val="007D3DE9"/>
    <w:rsid w:val="007D3E0D"/>
    <w:rsid w:val="007D41DB"/>
    <w:rsid w:val="007D4283"/>
    <w:rsid w:val="007D42B7"/>
    <w:rsid w:val="007D4A66"/>
    <w:rsid w:val="007D4A95"/>
    <w:rsid w:val="007D4C8C"/>
    <w:rsid w:val="007D4D15"/>
    <w:rsid w:val="007D4E54"/>
    <w:rsid w:val="007D4FCD"/>
    <w:rsid w:val="007D52E7"/>
    <w:rsid w:val="007D575E"/>
    <w:rsid w:val="007D60A3"/>
    <w:rsid w:val="007D6540"/>
    <w:rsid w:val="007D6AB2"/>
    <w:rsid w:val="007D6C45"/>
    <w:rsid w:val="007D6DD6"/>
    <w:rsid w:val="007D71DB"/>
    <w:rsid w:val="007D7208"/>
    <w:rsid w:val="007D7269"/>
    <w:rsid w:val="007D77A1"/>
    <w:rsid w:val="007D77E6"/>
    <w:rsid w:val="007D7A8B"/>
    <w:rsid w:val="007D7BF7"/>
    <w:rsid w:val="007D7C7B"/>
    <w:rsid w:val="007E008B"/>
    <w:rsid w:val="007E00BC"/>
    <w:rsid w:val="007E011B"/>
    <w:rsid w:val="007E027A"/>
    <w:rsid w:val="007E0398"/>
    <w:rsid w:val="007E093C"/>
    <w:rsid w:val="007E0AC4"/>
    <w:rsid w:val="007E184B"/>
    <w:rsid w:val="007E18C1"/>
    <w:rsid w:val="007E18C6"/>
    <w:rsid w:val="007E1935"/>
    <w:rsid w:val="007E1A68"/>
    <w:rsid w:val="007E1AB0"/>
    <w:rsid w:val="007E1D09"/>
    <w:rsid w:val="007E1D11"/>
    <w:rsid w:val="007E1E4F"/>
    <w:rsid w:val="007E2252"/>
    <w:rsid w:val="007E2BC9"/>
    <w:rsid w:val="007E307E"/>
    <w:rsid w:val="007E3237"/>
    <w:rsid w:val="007E32DC"/>
    <w:rsid w:val="007E3484"/>
    <w:rsid w:val="007E3716"/>
    <w:rsid w:val="007E3A22"/>
    <w:rsid w:val="007E3A68"/>
    <w:rsid w:val="007E43F9"/>
    <w:rsid w:val="007E45B8"/>
    <w:rsid w:val="007E45E1"/>
    <w:rsid w:val="007E472A"/>
    <w:rsid w:val="007E4A08"/>
    <w:rsid w:val="007E5027"/>
    <w:rsid w:val="007E5089"/>
    <w:rsid w:val="007E57EA"/>
    <w:rsid w:val="007E65CF"/>
    <w:rsid w:val="007E704E"/>
    <w:rsid w:val="007E74E9"/>
    <w:rsid w:val="007F024D"/>
    <w:rsid w:val="007F02E0"/>
    <w:rsid w:val="007F0313"/>
    <w:rsid w:val="007F0492"/>
    <w:rsid w:val="007F1696"/>
    <w:rsid w:val="007F174B"/>
    <w:rsid w:val="007F1E4F"/>
    <w:rsid w:val="007F1EBA"/>
    <w:rsid w:val="007F1FC3"/>
    <w:rsid w:val="007F22E3"/>
    <w:rsid w:val="007F302C"/>
    <w:rsid w:val="007F3662"/>
    <w:rsid w:val="007F3858"/>
    <w:rsid w:val="007F3B31"/>
    <w:rsid w:val="007F3D56"/>
    <w:rsid w:val="007F4719"/>
    <w:rsid w:val="007F4D48"/>
    <w:rsid w:val="007F4FC0"/>
    <w:rsid w:val="007F5093"/>
    <w:rsid w:val="007F50E1"/>
    <w:rsid w:val="007F5135"/>
    <w:rsid w:val="007F52B3"/>
    <w:rsid w:val="007F685E"/>
    <w:rsid w:val="007F6B92"/>
    <w:rsid w:val="007F6BBA"/>
    <w:rsid w:val="007F6FC8"/>
    <w:rsid w:val="007F73D8"/>
    <w:rsid w:val="007F74B4"/>
    <w:rsid w:val="007F7601"/>
    <w:rsid w:val="007F767E"/>
    <w:rsid w:val="007F7C1F"/>
    <w:rsid w:val="007F7F07"/>
    <w:rsid w:val="0080000F"/>
    <w:rsid w:val="008014F2"/>
    <w:rsid w:val="00801501"/>
    <w:rsid w:val="00801836"/>
    <w:rsid w:val="00801B7B"/>
    <w:rsid w:val="00801C36"/>
    <w:rsid w:val="00801DE6"/>
    <w:rsid w:val="00802299"/>
    <w:rsid w:val="008022D7"/>
    <w:rsid w:val="00802474"/>
    <w:rsid w:val="00802840"/>
    <w:rsid w:val="00802843"/>
    <w:rsid w:val="00802A5D"/>
    <w:rsid w:val="00803214"/>
    <w:rsid w:val="008032A8"/>
    <w:rsid w:val="0080334F"/>
    <w:rsid w:val="00803B4F"/>
    <w:rsid w:val="008041B0"/>
    <w:rsid w:val="00804538"/>
    <w:rsid w:val="0080497A"/>
    <w:rsid w:val="0080589A"/>
    <w:rsid w:val="008065E6"/>
    <w:rsid w:val="008072ED"/>
    <w:rsid w:val="0080731F"/>
    <w:rsid w:val="00807340"/>
    <w:rsid w:val="00807729"/>
    <w:rsid w:val="008108B8"/>
    <w:rsid w:val="00810FC3"/>
    <w:rsid w:val="008121DA"/>
    <w:rsid w:val="00812575"/>
    <w:rsid w:val="00812900"/>
    <w:rsid w:val="00812A2B"/>
    <w:rsid w:val="00812AA2"/>
    <w:rsid w:val="00812B9A"/>
    <w:rsid w:val="008131BC"/>
    <w:rsid w:val="00814149"/>
    <w:rsid w:val="00814230"/>
    <w:rsid w:val="008147D0"/>
    <w:rsid w:val="0081499B"/>
    <w:rsid w:val="00815105"/>
    <w:rsid w:val="008157CF"/>
    <w:rsid w:val="00815B1F"/>
    <w:rsid w:val="00815C8A"/>
    <w:rsid w:val="00815FFB"/>
    <w:rsid w:val="008160EC"/>
    <w:rsid w:val="008161C1"/>
    <w:rsid w:val="0081673A"/>
    <w:rsid w:val="008168A8"/>
    <w:rsid w:val="008170D7"/>
    <w:rsid w:val="00817E01"/>
    <w:rsid w:val="00820049"/>
    <w:rsid w:val="008200FE"/>
    <w:rsid w:val="008203BE"/>
    <w:rsid w:val="008204DF"/>
    <w:rsid w:val="00820F2E"/>
    <w:rsid w:val="00821632"/>
    <w:rsid w:val="008219B7"/>
    <w:rsid w:val="00821BE7"/>
    <w:rsid w:val="00822635"/>
    <w:rsid w:val="00822DDC"/>
    <w:rsid w:val="00822FE5"/>
    <w:rsid w:val="008233E1"/>
    <w:rsid w:val="00823997"/>
    <w:rsid w:val="00823C11"/>
    <w:rsid w:val="0082400A"/>
    <w:rsid w:val="008243F3"/>
    <w:rsid w:val="008244B1"/>
    <w:rsid w:val="00824526"/>
    <w:rsid w:val="008245D9"/>
    <w:rsid w:val="00824620"/>
    <w:rsid w:val="008247E2"/>
    <w:rsid w:val="00824B6C"/>
    <w:rsid w:val="0082556F"/>
    <w:rsid w:val="00825B94"/>
    <w:rsid w:val="00825D7F"/>
    <w:rsid w:val="00825EF3"/>
    <w:rsid w:val="008260BC"/>
    <w:rsid w:val="00826B4D"/>
    <w:rsid w:val="00826FBC"/>
    <w:rsid w:val="00827531"/>
    <w:rsid w:val="00827BB4"/>
    <w:rsid w:val="00827F37"/>
    <w:rsid w:val="00830181"/>
    <w:rsid w:val="00830368"/>
    <w:rsid w:val="00830B23"/>
    <w:rsid w:val="00830B5B"/>
    <w:rsid w:val="00830BBD"/>
    <w:rsid w:val="00830BF6"/>
    <w:rsid w:val="00830DD7"/>
    <w:rsid w:val="00830EF7"/>
    <w:rsid w:val="008311D9"/>
    <w:rsid w:val="00831529"/>
    <w:rsid w:val="008316FC"/>
    <w:rsid w:val="0083171C"/>
    <w:rsid w:val="00831E04"/>
    <w:rsid w:val="008322C3"/>
    <w:rsid w:val="008322EC"/>
    <w:rsid w:val="00832325"/>
    <w:rsid w:val="00832807"/>
    <w:rsid w:val="0083316F"/>
    <w:rsid w:val="00833485"/>
    <w:rsid w:val="0083376C"/>
    <w:rsid w:val="00833866"/>
    <w:rsid w:val="00833AA3"/>
    <w:rsid w:val="00833B11"/>
    <w:rsid w:val="00833B43"/>
    <w:rsid w:val="00833B7F"/>
    <w:rsid w:val="00833EC4"/>
    <w:rsid w:val="0083513C"/>
    <w:rsid w:val="00835571"/>
    <w:rsid w:val="008357F3"/>
    <w:rsid w:val="00835D93"/>
    <w:rsid w:val="00836E98"/>
    <w:rsid w:val="00837448"/>
    <w:rsid w:val="00837661"/>
    <w:rsid w:val="00837A4F"/>
    <w:rsid w:val="00837A76"/>
    <w:rsid w:val="00840247"/>
    <w:rsid w:val="00840A3A"/>
    <w:rsid w:val="00840B3E"/>
    <w:rsid w:val="00840E3D"/>
    <w:rsid w:val="00840F34"/>
    <w:rsid w:val="0084168C"/>
    <w:rsid w:val="0084169F"/>
    <w:rsid w:val="00841B2F"/>
    <w:rsid w:val="00842ABB"/>
    <w:rsid w:val="00842FA2"/>
    <w:rsid w:val="00843F27"/>
    <w:rsid w:val="008442BE"/>
    <w:rsid w:val="008445C5"/>
    <w:rsid w:val="008446A8"/>
    <w:rsid w:val="008447BF"/>
    <w:rsid w:val="0084492E"/>
    <w:rsid w:val="00844ADE"/>
    <w:rsid w:val="00844B6A"/>
    <w:rsid w:val="00844D57"/>
    <w:rsid w:val="00845207"/>
    <w:rsid w:val="0084553E"/>
    <w:rsid w:val="00845588"/>
    <w:rsid w:val="00845F5B"/>
    <w:rsid w:val="0084639E"/>
    <w:rsid w:val="00846AE7"/>
    <w:rsid w:val="008473AF"/>
    <w:rsid w:val="00850458"/>
    <w:rsid w:val="00850D20"/>
    <w:rsid w:val="00851439"/>
    <w:rsid w:val="00851E8D"/>
    <w:rsid w:val="0085203E"/>
    <w:rsid w:val="008520DB"/>
    <w:rsid w:val="0085246F"/>
    <w:rsid w:val="00853A6C"/>
    <w:rsid w:val="00853BDF"/>
    <w:rsid w:val="00853E2C"/>
    <w:rsid w:val="00853EF8"/>
    <w:rsid w:val="008542A7"/>
    <w:rsid w:val="00855524"/>
    <w:rsid w:val="0085561C"/>
    <w:rsid w:val="008556B4"/>
    <w:rsid w:val="008556F9"/>
    <w:rsid w:val="0085590F"/>
    <w:rsid w:val="00855C98"/>
    <w:rsid w:val="00855CAF"/>
    <w:rsid w:val="00856642"/>
    <w:rsid w:val="00856DE5"/>
    <w:rsid w:val="00857153"/>
    <w:rsid w:val="00857BA1"/>
    <w:rsid w:val="00857F11"/>
    <w:rsid w:val="00857FBD"/>
    <w:rsid w:val="00860027"/>
    <w:rsid w:val="008600CE"/>
    <w:rsid w:val="008618E8"/>
    <w:rsid w:val="00861BFD"/>
    <w:rsid w:val="00861CE9"/>
    <w:rsid w:val="00862112"/>
    <w:rsid w:val="0086261E"/>
    <w:rsid w:val="00862BEE"/>
    <w:rsid w:val="008637D7"/>
    <w:rsid w:val="008638AE"/>
    <w:rsid w:val="00863B46"/>
    <w:rsid w:val="00863EFC"/>
    <w:rsid w:val="008643C3"/>
    <w:rsid w:val="0086444F"/>
    <w:rsid w:val="00864549"/>
    <w:rsid w:val="00864EBE"/>
    <w:rsid w:val="00864FD8"/>
    <w:rsid w:val="00865079"/>
    <w:rsid w:val="00865257"/>
    <w:rsid w:val="0086540F"/>
    <w:rsid w:val="00865544"/>
    <w:rsid w:val="008659F1"/>
    <w:rsid w:val="00865D57"/>
    <w:rsid w:val="00865F68"/>
    <w:rsid w:val="00866243"/>
    <w:rsid w:val="0086640E"/>
    <w:rsid w:val="008665B7"/>
    <w:rsid w:val="00866BA7"/>
    <w:rsid w:val="0086715E"/>
    <w:rsid w:val="008675C1"/>
    <w:rsid w:val="0086786B"/>
    <w:rsid w:val="00867D53"/>
    <w:rsid w:val="00867F31"/>
    <w:rsid w:val="008710C7"/>
    <w:rsid w:val="0087189D"/>
    <w:rsid w:val="00871DCC"/>
    <w:rsid w:val="00872126"/>
    <w:rsid w:val="0087270E"/>
    <w:rsid w:val="00872823"/>
    <w:rsid w:val="00872C14"/>
    <w:rsid w:val="00872C8D"/>
    <w:rsid w:val="00872D03"/>
    <w:rsid w:val="00872FF4"/>
    <w:rsid w:val="008733E4"/>
    <w:rsid w:val="00873BD5"/>
    <w:rsid w:val="00873E4B"/>
    <w:rsid w:val="0087481F"/>
    <w:rsid w:val="00874903"/>
    <w:rsid w:val="00875C29"/>
    <w:rsid w:val="00875D69"/>
    <w:rsid w:val="00875DA3"/>
    <w:rsid w:val="00875E08"/>
    <w:rsid w:val="00875F9F"/>
    <w:rsid w:val="008760D9"/>
    <w:rsid w:val="008767F5"/>
    <w:rsid w:val="00876E71"/>
    <w:rsid w:val="008771B8"/>
    <w:rsid w:val="008775BF"/>
    <w:rsid w:val="00877897"/>
    <w:rsid w:val="00877968"/>
    <w:rsid w:val="00877A41"/>
    <w:rsid w:val="00877B09"/>
    <w:rsid w:val="008800E6"/>
    <w:rsid w:val="008808CE"/>
    <w:rsid w:val="00880C29"/>
    <w:rsid w:val="00880CE1"/>
    <w:rsid w:val="00880F93"/>
    <w:rsid w:val="00881271"/>
    <w:rsid w:val="00881429"/>
    <w:rsid w:val="00881550"/>
    <w:rsid w:val="00881A46"/>
    <w:rsid w:val="00881DD3"/>
    <w:rsid w:val="008822C2"/>
    <w:rsid w:val="0088315D"/>
    <w:rsid w:val="008836D7"/>
    <w:rsid w:val="008836E8"/>
    <w:rsid w:val="00883A5A"/>
    <w:rsid w:val="00883AF5"/>
    <w:rsid w:val="00883BC9"/>
    <w:rsid w:val="00883C76"/>
    <w:rsid w:val="008843B5"/>
    <w:rsid w:val="0088458D"/>
    <w:rsid w:val="008845B9"/>
    <w:rsid w:val="008846E9"/>
    <w:rsid w:val="00884C3D"/>
    <w:rsid w:val="00884DFE"/>
    <w:rsid w:val="008851B6"/>
    <w:rsid w:val="0088538E"/>
    <w:rsid w:val="00885727"/>
    <w:rsid w:val="008860B7"/>
    <w:rsid w:val="008863C1"/>
    <w:rsid w:val="00886CD0"/>
    <w:rsid w:val="00886F13"/>
    <w:rsid w:val="00887073"/>
    <w:rsid w:val="00887B77"/>
    <w:rsid w:val="00887D5D"/>
    <w:rsid w:val="00887DED"/>
    <w:rsid w:val="008901F1"/>
    <w:rsid w:val="00890300"/>
    <w:rsid w:val="0089033B"/>
    <w:rsid w:val="00890504"/>
    <w:rsid w:val="0089056E"/>
    <w:rsid w:val="008905A4"/>
    <w:rsid w:val="00890684"/>
    <w:rsid w:val="008906BC"/>
    <w:rsid w:val="00890D88"/>
    <w:rsid w:val="00890FC1"/>
    <w:rsid w:val="008912E7"/>
    <w:rsid w:val="00891587"/>
    <w:rsid w:val="0089177F"/>
    <w:rsid w:val="00891801"/>
    <w:rsid w:val="0089197E"/>
    <w:rsid w:val="00891995"/>
    <w:rsid w:val="00891D90"/>
    <w:rsid w:val="00891FE9"/>
    <w:rsid w:val="008922A5"/>
    <w:rsid w:val="00892962"/>
    <w:rsid w:val="00893124"/>
    <w:rsid w:val="008937A9"/>
    <w:rsid w:val="00893A71"/>
    <w:rsid w:val="00893FBF"/>
    <w:rsid w:val="00894463"/>
    <w:rsid w:val="00894B1C"/>
    <w:rsid w:val="00894B98"/>
    <w:rsid w:val="00894CAA"/>
    <w:rsid w:val="00895265"/>
    <w:rsid w:val="0089552E"/>
    <w:rsid w:val="00895660"/>
    <w:rsid w:val="00895C88"/>
    <w:rsid w:val="00895E78"/>
    <w:rsid w:val="0089698A"/>
    <w:rsid w:val="008969CC"/>
    <w:rsid w:val="0089726D"/>
    <w:rsid w:val="008972F9"/>
    <w:rsid w:val="00897EF3"/>
    <w:rsid w:val="008A014B"/>
    <w:rsid w:val="008A0278"/>
    <w:rsid w:val="008A11AE"/>
    <w:rsid w:val="008A1429"/>
    <w:rsid w:val="008A1509"/>
    <w:rsid w:val="008A15FC"/>
    <w:rsid w:val="008A1BBF"/>
    <w:rsid w:val="008A1D18"/>
    <w:rsid w:val="008A2281"/>
    <w:rsid w:val="008A2C00"/>
    <w:rsid w:val="008A2FFD"/>
    <w:rsid w:val="008A318B"/>
    <w:rsid w:val="008A343F"/>
    <w:rsid w:val="008A4134"/>
    <w:rsid w:val="008A413C"/>
    <w:rsid w:val="008A41C9"/>
    <w:rsid w:val="008A44CE"/>
    <w:rsid w:val="008A471F"/>
    <w:rsid w:val="008A4C63"/>
    <w:rsid w:val="008A4EE7"/>
    <w:rsid w:val="008A4FAF"/>
    <w:rsid w:val="008A4FC8"/>
    <w:rsid w:val="008A52FB"/>
    <w:rsid w:val="008A5371"/>
    <w:rsid w:val="008A551E"/>
    <w:rsid w:val="008A5A51"/>
    <w:rsid w:val="008A5C7D"/>
    <w:rsid w:val="008A5FF2"/>
    <w:rsid w:val="008A6048"/>
    <w:rsid w:val="008A6261"/>
    <w:rsid w:val="008A62DD"/>
    <w:rsid w:val="008A6324"/>
    <w:rsid w:val="008A6BC0"/>
    <w:rsid w:val="008A6D19"/>
    <w:rsid w:val="008A71C0"/>
    <w:rsid w:val="008A754E"/>
    <w:rsid w:val="008A75C6"/>
    <w:rsid w:val="008A786E"/>
    <w:rsid w:val="008A793E"/>
    <w:rsid w:val="008A79A8"/>
    <w:rsid w:val="008A7DA8"/>
    <w:rsid w:val="008A7DF6"/>
    <w:rsid w:val="008A7E7A"/>
    <w:rsid w:val="008B070C"/>
    <w:rsid w:val="008B07E3"/>
    <w:rsid w:val="008B1168"/>
    <w:rsid w:val="008B12B9"/>
    <w:rsid w:val="008B131D"/>
    <w:rsid w:val="008B1992"/>
    <w:rsid w:val="008B19DA"/>
    <w:rsid w:val="008B1CDB"/>
    <w:rsid w:val="008B1E88"/>
    <w:rsid w:val="008B2252"/>
    <w:rsid w:val="008B233A"/>
    <w:rsid w:val="008B25B7"/>
    <w:rsid w:val="008B26CE"/>
    <w:rsid w:val="008B27E5"/>
    <w:rsid w:val="008B29B6"/>
    <w:rsid w:val="008B29CD"/>
    <w:rsid w:val="008B30F8"/>
    <w:rsid w:val="008B34A7"/>
    <w:rsid w:val="008B37FF"/>
    <w:rsid w:val="008B40EB"/>
    <w:rsid w:val="008B4111"/>
    <w:rsid w:val="008B443E"/>
    <w:rsid w:val="008B4A14"/>
    <w:rsid w:val="008B4A6A"/>
    <w:rsid w:val="008B4B10"/>
    <w:rsid w:val="008B4F1F"/>
    <w:rsid w:val="008B5298"/>
    <w:rsid w:val="008B58DB"/>
    <w:rsid w:val="008B5CF8"/>
    <w:rsid w:val="008B6097"/>
    <w:rsid w:val="008B61CC"/>
    <w:rsid w:val="008B69FA"/>
    <w:rsid w:val="008B6B18"/>
    <w:rsid w:val="008B6B60"/>
    <w:rsid w:val="008B7198"/>
    <w:rsid w:val="008B77D1"/>
    <w:rsid w:val="008B78BD"/>
    <w:rsid w:val="008C09EB"/>
    <w:rsid w:val="008C0AD8"/>
    <w:rsid w:val="008C0DB0"/>
    <w:rsid w:val="008C0E65"/>
    <w:rsid w:val="008C1660"/>
    <w:rsid w:val="008C168C"/>
    <w:rsid w:val="008C169E"/>
    <w:rsid w:val="008C1AD9"/>
    <w:rsid w:val="008C21B5"/>
    <w:rsid w:val="008C2488"/>
    <w:rsid w:val="008C2ECF"/>
    <w:rsid w:val="008C31E8"/>
    <w:rsid w:val="008C31FB"/>
    <w:rsid w:val="008C336F"/>
    <w:rsid w:val="008C3AAF"/>
    <w:rsid w:val="008C419A"/>
    <w:rsid w:val="008C4607"/>
    <w:rsid w:val="008C476A"/>
    <w:rsid w:val="008C49F0"/>
    <w:rsid w:val="008C4CFD"/>
    <w:rsid w:val="008C4DF0"/>
    <w:rsid w:val="008C52E7"/>
    <w:rsid w:val="008C540D"/>
    <w:rsid w:val="008C5506"/>
    <w:rsid w:val="008C56F5"/>
    <w:rsid w:val="008C64A7"/>
    <w:rsid w:val="008C6747"/>
    <w:rsid w:val="008C6F1F"/>
    <w:rsid w:val="008C77FB"/>
    <w:rsid w:val="008C7AE2"/>
    <w:rsid w:val="008C7E96"/>
    <w:rsid w:val="008D01A0"/>
    <w:rsid w:val="008D0757"/>
    <w:rsid w:val="008D0F76"/>
    <w:rsid w:val="008D167D"/>
    <w:rsid w:val="008D18D0"/>
    <w:rsid w:val="008D1A3A"/>
    <w:rsid w:val="008D1B94"/>
    <w:rsid w:val="008D1BFD"/>
    <w:rsid w:val="008D1E37"/>
    <w:rsid w:val="008D1E41"/>
    <w:rsid w:val="008D1FE2"/>
    <w:rsid w:val="008D27D8"/>
    <w:rsid w:val="008D2AB8"/>
    <w:rsid w:val="008D2E7B"/>
    <w:rsid w:val="008D3959"/>
    <w:rsid w:val="008D397C"/>
    <w:rsid w:val="008D3FE6"/>
    <w:rsid w:val="008D46DF"/>
    <w:rsid w:val="008D493B"/>
    <w:rsid w:val="008D4B72"/>
    <w:rsid w:val="008D4BDE"/>
    <w:rsid w:val="008D5069"/>
    <w:rsid w:val="008D5351"/>
    <w:rsid w:val="008D588C"/>
    <w:rsid w:val="008D5B5F"/>
    <w:rsid w:val="008D5EFE"/>
    <w:rsid w:val="008D615C"/>
    <w:rsid w:val="008D653C"/>
    <w:rsid w:val="008D6F29"/>
    <w:rsid w:val="008D7726"/>
    <w:rsid w:val="008E0077"/>
    <w:rsid w:val="008E05D0"/>
    <w:rsid w:val="008E0C88"/>
    <w:rsid w:val="008E18DF"/>
    <w:rsid w:val="008E1A95"/>
    <w:rsid w:val="008E1DD3"/>
    <w:rsid w:val="008E1F74"/>
    <w:rsid w:val="008E2187"/>
    <w:rsid w:val="008E273D"/>
    <w:rsid w:val="008E2765"/>
    <w:rsid w:val="008E2AA9"/>
    <w:rsid w:val="008E2C9E"/>
    <w:rsid w:val="008E2D00"/>
    <w:rsid w:val="008E3188"/>
    <w:rsid w:val="008E32CA"/>
    <w:rsid w:val="008E3338"/>
    <w:rsid w:val="008E337C"/>
    <w:rsid w:val="008E3A18"/>
    <w:rsid w:val="008E3BC7"/>
    <w:rsid w:val="008E413A"/>
    <w:rsid w:val="008E4A5D"/>
    <w:rsid w:val="008E4BCF"/>
    <w:rsid w:val="008E4C31"/>
    <w:rsid w:val="008E51FC"/>
    <w:rsid w:val="008E5258"/>
    <w:rsid w:val="008E53DF"/>
    <w:rsid w:val="008E6CBC"/>
    <w:rsid w:val="008E73E8"/>
    <w:rsid w:val="008E75CE"/>
    <w:rsid w:val="008E7C82"/>
    <w:rsid w:val="008E7F01"/>
    <w:rsid w:val="008F0228"/>
    <w:rsid w:val="008F0B13"/>
    <w:rsid w:val="008F0CFF"/>
    <w:rsid w:val="008F0E5C"/>
    <w:rsid w:val="008F0E6B"/>
    <w:rsid w:val="008F0FA1"/>
    <w:rsid w:val="008F1513"/>
    <w:rsid w:val="008F1E67"/>
    <w:rsid w:val="008F2010"/>
    <w:rsid w:val="008F3352"/>
    <w:rsid w:val="008F38B9"/>
    <w:rsid w:val="008F3B02"/>
    <w:rsid w:val="008F3C1C"/>
    <w:rsid w:val="008F3ED7"/>
    <w:rsid w:val="008F3EF5"/>
    <w:rsid w:val="008F4046"/>
    <w:rsid w:val="008F44A4"/>
    <w:rsid w:val="008F4581"/>
    <w:rsid w:val="008F45C0"/>
    <w:rsid w:val="008F52B8"/>
    <w:rsid w:val="008F53DC"/>
    <w:rsid w:val="008F5462"/>
    <w:rsid w:val="008F6093"/>
    <w:rsid w:val="008F6831"/>
    <w:rsid w:val="009000DA"/>
    <w:rsid w:val="00900280"/>
    <w:rsid w:val="009005E2"/>
    <w:rsid w:val="00900A62"/>
    <w:rsid w:val="00900F87"/>
    <w:rsid w:val="009016AB"/>
    <w:rsid w:val="0090193F"/>
    <w:rsid w:val="00901F22"/>
    <w:rsid w:val="00902FD5"/>
    <w:rsid w:val="00903147"/>
    <w:rsid w:val="00903207"/>
    <w:rsid w:val="009032F0"/>
    <w:rsid w:val="00903403"/>
    <w:rsid w:val="009036B2"/>
    <w:rsid w:val="00903708"/>
    <w:rsid w:val="0090398C"/>
    <w:rsid w:val="00903B30"/>
    <w:rsid w:val="00903B37"/>
    <w:rsid w:val="0090405A"/>
    <w:rsid w:val="009043FF"/>
    <w:rsid w:val="0090492E"/>
    <w:rsid w:val="00904DB5"/>
    <w:rsid w:val="00904DD8"/>
    <w:rsid w:val="00905200"/>
    <w:rsid w:val="00905749"/>
    <w:rsid w:val="00905781"/>
    <w:rsid w:val="009057FF"/>
    <w:rsid w:val="00905B47"/>
    <w:rsid w:val="00905EA8"/>
    <w:rsid w:val="00905EDA"/>
    <w:rsid w:val="00906209"/>
    <w:rsid w:val="00906443"/>
    <w:rsid w:val="0090645D"/>
    <w:rsid w:val="0090648F"/>
    <w:rsid w:val="00906AB4"/>
    <w:rsid w:val="0090743E"/>
    <w:rsid w:val="009078D2"/>
    <w:rsid w:val="00907D7D"/>
    <w:rsid w:val="00907DA0"/>
    <w:rsid w:val="0091051A"/>
    <w:rsid w:val="009107CF"/>
    <w:rsid w:val="009109EF"/>
    <w:rsid w:val="00910A09"/>
    <w:rsid w:val="009111AF"/>
    <w:rsid w:val="0091129F"/>
    <w:rsid w:val="009123E4"/>
    <w:rsid w:val="0091282D"/>
    <w:rsid w:val="0091291E"/>
    <w:rsid w:val="00912B65"/>
    <w:rsid w:val="009132FB"/>
    <w:rsid w:val="00913810"/>
    <w:rsid w:val="00913E18"/>
    <w:rsid w:val="00914109"/>
    <w:rsid w:val="0091419B"/>
    <w:rsid w:val="00914319"/>
    <w:rsid w:val="0091442E"/>
    <w:rsid w:val="009147AA"/>
    <w:rsid w:val="00914834"/>
    <w:rsid w:val="00914918"/>
    <w:rsid w:val="009150B5"/>
    <w:rsid w:val="00915891"/>
    <w:rsid w:val="009159DB"/>
    <w:rsid w:val="00915B5A"/>
    <w:rsid w:val="00915DB0"/>
    <w:rsid w:val="009163F1"/>
    <w:rsid w:val="0091643C"/>
    <w:rsid w:val="009164E8"/>
    <w:rsid w:val="009169A3"/>
    <w:rsid w:val="00916A32"/>
    <w:rsid w:val="00917081"/>
    <w:rsid w:val="00917199"/>
    <w:rsid w:val="00917827"/>
    <w:rsid w:val="009178C4"/>
    <w:rsid w:val="009178EB"/>
    <w:rsid w:val="00917AFA"/>
    <w:rsid w:val="00917D40"/>
    <w:rsid w:val="00920186"/>
    <w:rsid w:val="00920197"/>
    <w:rsid w:val="00920385"/>
    <w:rsid w:val="00920951"/>
    <w:rsid w:val="00920D8D"/>
    <w:rsid w:val="00920E8E"/>
    <w:rsid w:val="00921473"/>
    <w:rsid w:val="00921DEF"/>
    <w:rsid w:val="0092201E"/>
    <w:rsid w:val="0092205A"/>
    <w:rsid w:val="0092242C"/>
    <w:rsid w:val="0092247A"/>
    <w:rsid w:val="009225E7"/>
    <w:rsid w:val="009228C0"/>
    <w:rsid w:val="00922DBB"/>
    <w:rsid w:val="00922DF7"/>
    <w:rsid w:val="00923385"/>
    <w:rsid w:val="00923594"/>
    <w:rsid w:val="00923AD4"/>
    <w:rsid w:val="0092484F"/>
    <w:rsid w:val="00924989"/>
    <w:rsid w:val="00924B2E"/>
    <w:rsid w:val="00924E2E"/>
    <w:rsid w:val="009251AC"/>
    <w:rsid w:val="009252F1"/>
    <w:rsid w:val="00925560"/>
    <w:rsid w:val="00925FFD"/>
    <w:rsid w:val="00926A77"/>
    <w:rsid w:val="00926AEE"/>
    <w:rsid w:val="00926BDA"/>
    <w:rsid w:val="00926BFA"/>
    <w:rsid w:val="00926C02"/>
    <w:rsid w:val="0092718E"/>
    <w:rsid w:val="00927624"/>
    <w:rsid w:val="0092785E"/>
    <w:rsid w:val="009279E9"/>
    <w:rsid w:val="00927DB0"/>
    <w:rsid w:val="00927E13"/>
    <w:rsid w:val="009300B4"/>
    <w:rsid w:val="00930100"/>
    <w:rsid w:val="009306F1"/>
    <w:rsid w:val="0093099A"/>
    <w:rsid w:val="009309EE"/>
    <w:rsid w:val="00930F66"/>
    <w:rsid w:val="009311CB"/>
    <w:rsid w:val="00931480"/>
    <w:rsid w:val="00931843"/>
    <w:rsid w:val="00931ABA"/>
    <w:rsid w:val="00932B69"/>
    <w:rsid w:val="00932BCA"/>
    <w:rsid w:val="00932EA5"/>
    <w:rsid w:val="00932F20"/>
    <w:rsid w:val="009337B6"/>
    <w:rsid w:val="009338A1"/>
    <w:rsid w:val="00933DA7"/>
    <w:rsid w:val="009347F3"/>
    <w:rsid w:val="00934A5F"/>
    <w:rsid w:val="00934AC8"/>
    <w:rsid w:val="00934FD6"/>
    <w:rsid w:val="00935224"/>
    <w:rsid w:val="00936660"/>
    <w:rsid w:val="00936F47"/>
    <w:rsid w:val="009370B1"/>
    <w:rsid w:val="0093788C"/>
    <w:rsid w:val="0094003C"/>
    <w:rsid w:val="009400CA"/>
    <w:rsid w:val="00940D3B"/>
    <w:rsid w:val="00940D76"/>
    <w:rsid w:val="00941863"/>
    <w:rsid w:val="009422E9"/>
    <w:rsid w:val="009425D3"/>
    <w:rsid w:val="00942657"/>
    <w:rsid w:val="0094291A"/>
    <w:rsid w:val="009429F7"/>
    <w:rsid w:val="00942FBA"/>
    <w:rsid w:val="00942FE3"/>
    <w:rsid w:val="00943283"/>
    <w:rsid w:val="0094377E"/>
    <w:rsid w:val="009439EB"/>
    <w:rsid w:val="009446C4"/>
    <w:rsid w:val="00944CB7"/>
    <w:rsid w:val="0094503F"/>
    <w:rsid w:val="0094528A"/>
    <w:rsid w:val="00945D26"/>
    <w:rsid w:val="0094639B"/>
    <w:rsid w:val="00946692"/>
    <w:rsid w:val="0094672C"/>
    <w:rsid w:val="00946B86"/>
    <w:rsid w:val="00946E09"/>
    <w:rsid w:val="00947083"/>
    <w:rsid w:val="009475C4"/>
    <w:rsid w:val="00947989"/>
    <w:rsid w:val="00947C3B"/>
    <w:rsid w:val="00947F6F"/>
    <w:rsid w:val="009500B3"/>
    <w:rsid w:val="009504E5"/>
    <w:rsid w:val="0095127A"/>
    <w:rsid w:val="00951336"/>
    <w:rsid w:val="009513AA"/>
    <w:rsid w:val="00951A7E"/>
    <w:rsid w:val="00952227"/>
    <w:rsid w:val="009528BE"/>
    <w:rsid w:val="00952AE3"/>
    <w:rsid w:val="00952B68"/>
    <w:rsid w:val="00953108"/>
    <w:rsid w:val="00953D55"/>
    <w:rsid w:val="00953FC3"/>
    <w:rsid w:val="00954080"/>
    <w:rsid w:val="009540A8"/>
    <w:rsid w:val="00954190"/>
    <w:rsid w:val="009547C9"/>
    <w:rsid w:val="009549EE"/>
    <w:rsid w:val="00955421"/>
    <w:rsid w:val="00955707"/>
    <w:rsid w:val="00955763"/>
    <w:rsid w:val="00956076"/>
    <w:rsid w:val="00956138"/>
    <w:rsid w:val="00956846"/>
    <w:rsid w:val="0095698A"/>
    <w:rsid w:val="009569A9"/>
    <w:rsid w:val="00957179"/>
    <w:rsid w:val="009571A8"/>
    <w:rsid w:val="00957343"/>
    <w:rsid w:val="00957666"/>
    <w:rsid w:val="00957B05"/>
    <w:rsid w:val="00957E00"/>
    <w:rsid w:val="00957E41"/>
    <w:rsid w:val="0096007C"/>
    <w:rsid w:val="00960BA4"/>
    <w:rsid w:val="00960D87"/>
    <w:rsid w:val="00960EA1"/>
    <w:rsid w:val="00960EF5"/>
    <w:rsid w:val="0096148E"/>
    <w:rsid w:val="009614EF"/>
    <w:rsid w:val="00961557"/>
    <w:rsid w:val="009620D5"/>
    <w:rsid w:val="0096283B"/>
    <w:rsid w:val="00963200"/>
    <w:rsid w:val="0096347D"/>
    <w:rsid w:val="00963537"/>
    <w:rsid w:val="00963851"/>
    <w:rsid w:val="00963C4D"/>
    <w:rsid w:val="00965901"/>
    <w:rsid w:val="00965B9F"/>
    <w:rsid w:val="00965CAD"/>
    <w:rsid w:val="00965E3F"/>
    <w:rsid w:val="009660D7"/>
    <w:rsid w:val="00966279"/>
    <w:rsid w:val="00966846"/>
    <w:rsid w:val="00966EAC"/>
    <w:rsid w:val="00967230"/>
    <w:rsid w:val="009677AB"/>
    <w:rsid w:val="009678B8"/>
    <w:rsid w:val="00967A3A"/>
    <w:rsid w:val="00967A4B"/>
    <w:rsid w:val="00967BCF"/>
    <w:rsid w:val="00967D1B"/>
    <w:rsid w:val="00967D22"/>
    <w:rsid w:val="00967E20"/>
    <w:rsid w:val="00970059"/>
    <w:rsid w:val="009701F5"/>
    <w:rsid w:val="0097021C"/>
    <w:rsid w:val="00970B52"/>
    <w:rsid w:val="00970BB7"/>
    <w:rsid w:val="00970DA1"/>
    <w:rsid w:val="0097124B"/>
    <w:rsid w:val="0097180A"/>
    <w:rsid w:val="00971C65"/>
    <w:rsid w:val="0097214B"/>
    <w:rsid w:val="0097279B"/>
    <w:rsid w:val="009729D5"/>
    <w:rsid w:val="00972C7A"/>
    <w:rsid w:val="00972D02"/>
    <w:rsid w:val="00972F9B"/>
    <w:rsid w:val="009732A6"/>
    <w:rsid w:val="00973413"/>
    <w:rsid w:val="009734F9"/>
    <w:rsid w:val="00973559"/>
    <w:rsid w:val="00974CBD"/>
    <w:rsid w:val="00975BBB"/>
    <w:rsid w:val="00975E68"/>
    <w:rsid w:val="00975E79"/>
    <w:rsid w:val="00976448"/>
    <w:rsid w:val="009766D8"/>
    <w:rsid w:val="009766EC"/>
    <w:rsid w:val="00976746"/>
    <w:rsid w:val="00976F5D"/>
    <w:rsid w:val="009771A1"/>
    <w:rsid w:val="009772EB"/>
    <w:rsid w:val="00977B45"/>
    <w:rsid w:val="00977E67"/>
    <w:rsid w:val="00977F14"/>
    <w:rsid w:val="00980037"/>
    <w:rsid w:val="00980662"/>
    <w:rsid w:val="009808CC"/>
    <w:rsid w:val="009809C1"/>
    <w:rsid w:val="00980EF6"/>
    <w:rsid w:val="00981075"/>
    <w:rsid w:val="00981B75"/>
    <w:rsid w:val="00982276"/>
    <w:rsid w:val="0098281C"/>
    <w:rsid w:val="00982CA8"/>
    <w:rsid w:val="00983BBD"/>
    <w:rsid w:val="00983BEA"/>
    <w:rsid w:val="009842F5"/>
    <w:rsid w:val="00985268"/>
    <w:rsid w:val="009852AB"/>
    <w:rsid w:val="00985400"/>
    <w:rsid w:val="00985A16"/>
    <w:rsid w:val="00986123"/>
    <w:rsid w:val="009861F2"/>
    <w:rsid w:val="0098679B"/>
    <w:rsid w:val="009869E4"/>
    <w:rsid w:val="00986C3A"/>
    <w:rsid w:val="009872B3"/>
    <w:rsid w:val="009873B4"/>
    <w:rsid w:val="00987463"/>
    <w:rsid w:val="00987739"/>
    <w:rsid w:val="009879F6"/>
    <w:rsid w:val="00987B79"/>
    <w:rsid w:val="00987BD4"/>
    <w:rsid w:val="00987FF9"/>
    <w:rsid w:val="009908CC"/>
    <w:rsid w:val="00990C73"/>
    <w:rsid w:val="00991238"/>
    <w:rsid w:val="00991CE8"/>
    <w:rsid w:val="00991DD8"/>
    <w:rsid w:val="0099261C"/>
    <w:rsid w:val="0099293A"/>
    <w:rsid w:val="00992ED3"/>
    <w:rsid w:val="00992FD1"/>
    <w:rsid w:val="009932D2"/>
    <w:rsid w:val="00993C5B"/>
    <w:rsid w:val="00993C7D"/>
    <w:rsid w:val="0099454F"/>
    <w:rsid w:val="00994B4F"/>
    <w:rsid w:val="00994D79"/>
    <w:rsid w:val="009957B3"/>
    <w:rsid w:val="00995967"/>
    <w:rsid w:val="00995F17"/>
    <w:rsid w:val="009962F1"/>
    <w:rsid w:val="0099643B"/>
    <w:rsid w:val="00996A64"/>
    <w:rsid w:val="00996E26"/>
    <w:rsid w:val="00996F5D"/>
    <w:rsid w:val="0099713F"/>
    <w:rsid w:val="0099731E"/>
    <w:rsid w:val="00997503"/>
    <w:rsid w:val="00997667"/>
    <w:rsid w:val="009A02B3"/>
    <w:rsid w:val="009A03A9"/>
    <w:rsid w:val="009A0E30"/>
    <w:rsid w:val="009A1015"/>
    <w:rsid w:val="009A1967"/>
    <w:rsid w:val="009A19E8"/>
    <w:rsid w:val="009A1FB7"/>
    <w:rsid w:val="009A21B3"/>
    <w:rsid w:val="009A27C1"/>
    <w:rsid w:val="009A32E5"/>
    <w:rsid w:val="009A3732"/>
    <w:rsid w:val="009A38F7"/>
    <w:rsid w:val="009A3EF2"/>
    <w:rsid w:val="009A3F4E"/>
    <w:rsid w:val="009A43B9"/>
    <w:rsid w:val="009A44CF"/>
    <w:rsid w:val="009A4DCF"/>
    <w:rsid w:val="009A5105"/>
    <w:rsid w:val="009A59CD"/>
    <w:rsid w:val="009A5B76"/>
    <w:rsid w:val="009A64F6"/>
    <w:rsid w:val="009A6D64"/>
    <w:rsid w:val="009A7585"/>
    <w:rsid w:val="009A78F8"/>
    <w:rsid w:val="009B0177"/>
    <w:rsid w:val="009B04FD"/>
    <w:rsid w:val="009B07E9"/>
    <w:rsid w:val="009B0CFD"/>
    <w:rsid w:val="009B0F02"/>
    <w:rsid w:val="009B1012"/>
    <w:rsid w:val="009B107D"/>
    <w:rsid w:val="009B1123"/>
    <w:rsid w:val="009B1178"/>
    <w:rsid w:val="009B18B3"/>
    <w:rsid w:val="009B1B2F"/>
    <w:rsid w:val="009B20CE"/>
    <w:rsid w:val="009B2173"/>
    <w:rsid w:val="009B2310"/>
    <w:rsid w:val="009B258B"/>
    <w:rsid w:val="009B279B"/>
    <w:rsid w:val="009B2BA9"/>
    <w:rsid w:val="009B314E"/>
    <w:rsid w:val="009B3473"/>
    <w:rsid w:val="009B3AA2"/>
    <w:rsid w:val="009B3AAA"/>
    <w:rsid w:val="009B3C97"/>
    <w:rsid w:val="009B3E0B"/>
    <w:rsid w:val="009B4393"/>
    <w:rsid w:val="009B449B"/>
    <w:rsid w:val="009B4916"/>
    <w:rsid w:val="009B50A2"/>
    <w:rsid w:val="009B51BC"/>
    <w:rsid w:val="009B59D0"/>
    <w:rsid w:val="009B5A06"/>
    <w:rsid w:val="009B63BA"/>
    <w:rsid w:val="009B6FC9"/>
    <w:rsid w:val="009B7575"/>
    <w:rsid w:val="009B7796"/>
    <w:rsid w:val="009B796F"/>
    <w:rsid w:val="009B7DA8"/>
    <w:rsid w:val="009C050D"/>
    <w:rsid w:val="009C0545"/>
    <w:rsid w:val="009C05C4"/>
    <w:rsid w:val="009C0776"/>
    <w:rsid w:val="009C09F0"/>
    <w:rsid w:val="009C0D7D"/>
    <w:rsid w:val="009C1029"/>
    <w:rsid w:val="009C1090"/>
    <w:rsid w:val="009C110B"/>
    <w:rsid w:val="009C1199"/>
    <w:rsid w:val="009C15E7"/>
    <w:rsid w:val="009C171E"/>
    <w:rsid w:val="009C18C2"/>
    <w:rsid w:val="009C1CA5"/>
    <w:rsid w:val="009C26AC"/>
    <w:rsid w:val="009C30CC"/>
    <w:rsid w:val="009C30EB"/>
    <w:rsid w:val="009C3ECC"/>
    <w:rsid w:val="009C3FC5"/>
    <w:rsid w:val="009C442F"/>
    <w:rsid w:val="009C464C"/>
    <w:rsid w:val="009C4681"/>
    <w:rsid w:val="009C4F0B"/>
    <w:rsid w:val="009C51E6"/>
    <w:rsid w:val="009C5606"/>
    <w:rsid w:val="009C5627"/>
    <w:rsid w:val="009C59CC"/>
    <w:rsid w:val="009C5F55"/>
    <w:rsid w:val="009C639F"/>
    <w:rsid w:val="009C68E9"/>
    <w:rsid w:val="009C7400"/>
    <w:rsid w:val="009C7722"/>
    <w:rsid w:val="009C7A93"/>
    <w:rsid w:val="009D02F4"/>
    <w:rsid w:val="009D0539"/>
    <w:rsid w:val="009D0561"/>
    <w:rsid w:val="009D0DDD"/>
    <w:rsid w:val="009D0FEE"/>
    <w:rsid w:val="009D1920"/>
    <w:rsid w:val="009D19DF"/>
    <w:rsid w:val="009D19EF"/>
    <w:rsid w:val="009D1B46"/>
    <w:rsid w:val="009D1DC5"/>
    <w:rsid w:val="009D2301"/>
    <w:rsid w:val="009D27B5"/>
    <w:rsid w:val="009D2830"/>
    <w:rsid w:val="009D2A2F"/>
    <w:rsid w:val="009D2A85"/>
    <w:rsid w:val="009D2B2E"/>
    <w:rsid w:val="009D2C82"/>
    <w:rsid w:val="009D2F7D"/>
    <w:rsid w:val="009D31AB"/>
    <w:rsid w:val="009D350C"/>
    <w:rsid w:val="009D3CE4"/>
    <w:rsid w:val="009D3E4A"/>
    <w:rsid w:val="009D41C1"/>
    <w:rsid w:val="009D42A1"/>
    <w:rsid w:val="009D43F6"/>
    <w:rsid w:val="009D45A9"/>
    <w:rsid w:val="009D48B7"/>
    <w:rsid w:val="009D4AF8"/>
    <w:rsid w:val="009D5596"/>
    <w:rsid w:val="009D5AD5"/>
    <w:rsid w:val="009D5BDA"/>
    <w:rsid w:val="009D5F0F"/>
    <w:rsid w:val="009D69FA"/>
    <w:rsid w:val="009D6B49"/>
    <w:rsid w:val="009D6F03"/>
    <w:rsid w:val="009D72D2"/>
    <w:rsid w:val="009D730F"/>
    <w:rsid w:val="009D7BC6"/>
    <w:rsid w:val="009E0AAF"/>
    <w:rsid w:val="009E1159"/>
    <w:rsid w:val="009E1234"/>
    <w:rsid w:val="009E1623"/>
    <w:rsid w:val="009E171A"/>
    <w:rsid w:val="009E220B"/>
    <w:rsid w:val="009E242F"/>
    <w:rsid w:val="009E291F"/>
    <w:rsid w:val="009E2BD2"/>
    <w:rsid w:val="009E2EB5"/>
    <w:rsid w:val="009E3132"/>
    <w:rsid w:val="009E3156"/>
    <w:rsid w:val="009E3434"/>
    <w:rsid w:val="009E3466"/>
    <w:rsid w:val="009E41BF"/>
    <w:rsid w:val="009E47A5"/>
    <w:rsid w:val="009E4BC8"/>
    <w:rsid w:val="009E4CED"/>
    <w:rsid w:val="009E528B"/>
    <w:rsid w:val="009E541E"/>
    <w:rsid w:val="009E5441"/>
    <w:rsid w:val="009E5A8B"/>
    <w:rsid w:val="009E5B3A"/>
    <w:rsid w:val="009E5E32"/>
    <w:rsid w:val="009E6540"/>
    <w:rsid w:val="009E670F"/>
    <w:rsid w:val="009E6BB4"/>
    <w:rsid w:val="009E702C"/>
    <w:rsid w:val="009E72B3"/>
    <w:rsid w:val="009E746E"/>
    <w:rsid w:val="009E756D"/>
    <w:rsid w:val="009E758F"/>
    <w:rsid w:val="009E761A"/>
    <w:rsid w:val="009E7630"/>
    <w:rsid w:val="009E7BE0"/>
    <w:rsid w:val="009F0818"/>
    <w:rsid w:val="009F0964"/>
    <w:rsid w:val="009F0A03"/>
    <w:rsid w:val="009F0DA9"/>
    <w:rsid w:val="009F0E12"/>
    <w:rsid w:val="009F1105"/>
    <w:rsid w:val="009F20A2"/>
    <w:rsid w:val="009F2797"/>
    <w:rsid w:val="009F2BD7"/>
    <w:rsid w:val="009F2E88"/>
    <w:rsid w:val="009F2F67"/>
    <w:rsid w:val="009F3039"/>
    <w:rsid w:val="009F3064"/>
    <w:rsid w:val="009F306C"/>
    <w:rsid w:val="009F4637"/>
    <w:rsid w:val="009F48E0"/>
    <w:rsid w:val="009F4F93"/>
    <w:rsid w:val="009F5124"/>
    <w:rsid w:val="009F5305"/>
    <w:rsid w:val="009F66D9"/>
    <w:rsid w:val="009F6839"/>
    <w:rsid w:val="009F6DA0"/>
    <w:rsid w:val="009F7BE4"/>
    <w:rsid w:val="009F7C3A"/>
    <w:rsid w:val="009F7EB6"/>
    <w:rsid w:val="00A00404"/>
    <w:rsid w:val="00A0122E"/>
    <w:rsid w:val="00A01385"/>
    <w:rsid w:val="00A01728"/>
    <w:rsid w:val="00A0177F"/>
    <w:rsid w:val="00A01D5F"/>
    <w:rsid w:val="00A021D4"/>
    <w:rsid w:val="00A024FD"/>
    <w:rsid w:val="00A02ECA"/>
    <w:rsid w:val="00A0371D"/>
    <w:rsid w:val="00A0441E"/>
    <w:rsid w:val="00A0445F"/>
    <w:rsid w:val="00A0457E"/>
    <w:rsid w:val="00A055CE"/>
    <w:rsid w:val="00A0577C"/>
    <w:rsid w:val="00A0603F"/>
    <w:rsid w:val="00A06339"/>
    <w:rsid w:val="00A06B21"/>
    <w:rsid w:val="00A06B9C"/>
    <w:rsid w:val="00A072B8"/>
    <w:rsid w:val="00A072E2"/>
    <w:rsid w:val="00A075B6"/>
    <w:rsid w:val="00A07CCB"/>
    <w:rsid w:val="00A07EE2"/>
    <w:rsid w:val="00A10964"/>
    <w:rsid w:val="00A10B31"/>
    <w:rsid w:val="00A10C24"/>
    <w:rsid w:val="00A10D62"/>
    <w:rsid w:val="00A11CF1"/>
    <w:rsid w:val="00A11F25"/>
    <w:rsid w:val="00A12142"/>
    <w:rsid w:val="00A129BB"/>
    <w:rsid w:val="00A12AC6"/>
    <w:rsid w:val="00A12D77"/>
    <w:rsid w:val="00A12EBD"/>
    <w:rsid w:val="00A12EF9"/>
    <w:rsid w:val="00A13158"/>
    <w:rsid w:val="00A138A5"/>
    <w:rsid w:val="00A139EE"/>
    <w:rsid w:val="00A13AEA"/>
    <w:rsid w:val="00A147F2"/>
    <w:rsid w:val="00A149A0"/>
    <w:rsid w:val="00A14CB2"/>
    <w:rsid w:val="00A1581A"/>
    <w:rsid w:val="00A15A18"/>
    <w:rsid w:val="00A15EB3"/>
    <w:rsid w:val="00A166EB"/>
    <w:rsid w:val="00A16AC7"/>
    <w:rsid w:val="00A1784F"/>
    <w:rsid w:val="00A20433"/>
    <w:rsid w:val="00A20D24"/>
    <w:rsid w:val="00A2100A"/>
    <w:rsid w:val="00A21896"/>
    <w:rsid w:val="00A21C5A"/>
    <w:rsid w:val="00A22C97"/>
    <w:rsid w:val="00A22EBD"/>
    <w:rsid w:val="00A22FA3"/>
    <w:rsid w:val="00A239D4"/>
    <w:rsid w:val="00A23A37"/>
    <w:rsid w:val="00A23DE5"/>
    <w:rsid w:val="00A23FDA"/>
    <w:rsid w:val="00A24617"/>
    <w:rsid w:val="00A24940"/>
    <w:rsid w:val="00A25131"/>
    <w:rsid w:val="00A25213"/>
    <w:rsid w:val="00A256F4"/>
    <w:rsid w:val="00A25BA4"/>
    <w:rsid w:val="00A25BF6"/>
    <w:rsid w:val="00A25EA4"/>
    <w:rsid w:val="00A26A31"/>
    <w:rsid w:val="00A26A8B"/>
    <w:rsid w:val="00A26E44"/>
    <w:rsid w:val="00A30AAB"/>
    <w:rsid w:val="00A31568"/>
    <w:rsid w:val="00A318D9"/>
    <w:rsid w:val="00A31A1D"/>
    <w:rsid w:val="00A31DB8"/>
    <w:rsid w:val="00A3244E"/>
    <w:rsid w:val="00A32645"/>
    <w:rsid w:val="00A32655"/>
    <w:rsid w:val="00A32689"/>
    <w:rsid w:val="00A32F1E"/>
    <w:rsid w:val="00A33348"/>
    <w:rsid w:val="00A3360B"/>
    <w:rsid w:val="00A336CE"/>
    <w:rsid w:val="00A33885"/>
    <w:rsid w:val="00A33944"/>
    <w:rsid w:val="00A33C5B"/>
    <w:rsid w:val="00A33DB0"/>
    <w:rsid w:val="00A345FD"/>
    <w:rsid w:val="00A34B40"/>
    <w:rsid w:val="00A34BFC"/>
    <w:rsid w:val="00A34F1D"/>
    <w:rsid w:val="00A351AF"/>
    <w:rsid w:val="00A3582B"/>
    <w:rsid w:val="00A35A5F"/>
    <w:rsid w:val="00A35B93"/>
    <w:rsid w:val="00A361D3"/>
    <w:rsid w:val="00A36747"/>
    <w:rsid w:val="00A36AB3"/>
    <w:rsid w:val="00A36AC6"/>
    <w:rsid w:val="00A37616"/>
    <w:rsid w:val="00A37B4B"/>
    <w:rsid w:val="00A4008E"/>
    <w:rsid w:val="00A40235"/>
    <w:rsid w:val="00A40282"/>
    <w:rsid w:val="00A40401"/>
    <w:rsid w:val="00A40600"/>
    <w:rsid w:val="00A4207F"/>
    <w:rsid w:val="00A4253E"/>
    <w:rsid w:val="00A4257A"/>
    <w:rsid w:val="00A42A72"/>
    <w:rsid w:val="00A42D28"/>
    <w:rsid w:val="00A42F7E"/>
    <w:rsid w:val="00A4351B"/>
    <w:rsid w:val="00A4390B"/>
    <w:rsid w:val="00A4391A"/>
    <w:rsid w:val="00A43EF9"/>
    <w:rsid w:val="00A449B2"/>
    <w:rsid w:val="00A4544E"/>
    <w:rsid w:val="00A4563A"/>
    <w:rsid w:val="00A45880"/>
    <w:rsid w:val="00A458B4"/>
    <w:rsid w:val="00A4661E"/>
    <w:rsid w:val="00A5011E"/>
    <w:rsid w:val="00A50235"/>
    <w:rsid w:val="00A50412"/>
    <w:rsid w:val="00A504DA"/>
    <w:rsid w:val="00A508D8"/>
    <w:rsid w:val="00A50908"/>
    <w:rsid w:val="00A50ABF"/>
    <w:rsid w:val="00A50F1E"/>
    <w:rsid w:val="00A514A5"/>
    <w:rsid w:val="00A515A9"/>
    <w:rsid w:val="00A518AE"/>
    <w:rsid w:val="00A51AC7"/>
    <w:rsid w:val="00A51C0A"/>
    <w:rsid w:val="00A51DDD"/>
    <w:rsid w:val="00A52682"/>
    <w:rsid w:val="00A5299D"/>
    <w:rsid w:val="00A529B1"/>
    <w:rsid w:val="00A52C02"/>
    <w:rsid w:val="00A52D9C"/>
    <w:rsid w:val="00A52EFD"/>
    <w:rsid w:val="00A535E2"/>
    <w:rsid w:val="00A5470A"/>
    <w:rsid w:val="00A54BAB"/>
    <w:rsid w:val="00A54DEA"/>
    <w:rsid w:val="00A55051"/>
    <w:rsid w:val="00A55301"/>
    <w:rsid w:val="00A5533D"/>
    <w:rsid w:val="00A5535E"/>
    <w:rsid w:val="00A556BE"/>
    <w:rsid w:val="00A56570"/>
    <w:rsid w:val="00A566C7"/>
    <w:rsid w:val="00A56B5D"/>
    <w:rsid w:val="00A573D8"/>
    <w:rsid w:val="00A57C0F"/>
    <w:rsid w:val="00A6005E"/>
    <w:rsid w:val="00A60FD8"/>
    <w:rsid w:val="00A613BC"/>
    <w:rsid w:val="00A6158D"/>
    <w:rsid w:val="00A61960"/>
    <w:rsid w:val="00A61C91"/>
    <w:rsid w:val="00A61E6C"/>
    <w:rsid w:val="00A61E87"/>
    <w:rsid w:val="00A6207C"/>
    <w:rsid w:val="00A624FF"/>
    <w:rsid w:val="00A6309C"/>
    <w:rsid w:val="00A63371"/>
    <w:rsid w:val="00A63392"/>
    <w:rsid w:val="00A63D95"/>
    <w:rsid w:val="00A64076"/>
    <w:rsid w:val="00A64434"/>
    <w:rsid w:val="00A64B2A"/>
    <w:rsid w:val="00A6654F"/>
    <w:rsid w:val="00A666F6"/>
    <w:rsid w:val="00A669BD"/>
    <w:rsid w:val="00A704EC"/>
    <w:rsid w:val="00A71082"/>
    <w:rsid w:val="00A71626"/>
    <w:rsid w:val="00A71980"/>
    <w:rsid w:val="00A71E5D"/>
    <w:rsid w:val="00A723F2"/>
    <w:rsid w:val="00A72950"/>
    <w:rsid w:val="00A72AC4"/>
    <w:rsid w:val="00A72B4E"/>
    <w:rsid w:val="00A73258"/>
    <w:rsid w:val="00A73E80"/>
    <w:rsid w:val="00A73FD9"/>
    <w:rsid w:val="00A74ABA"/>
    <w:rsid w:val="00A74AE6"/>
    <w:rsid w:val="00A74B22"/>
    <w:rsid w:val="00A74FF9"/>
    <w:rsid w:val="00A7544E"/>
    <w:rsid w:val="00A7559C"/>
    <w:rsid w:val="00A757FD"/>
    <w:rsid w:val="00A761FF"/>
    <w:rsid w:val="00A76AE9"/>
    <w:rsid w:val="00A76E25"/>
    <w:rsid w:val="00A7722B"/>
    <w:rsid w:val="00A77301"/>
    <w:rsid w:val="00A773E8"/>
    <w:rsid w:val="00A776C4"/>
    <w:rsid w:val="00A77769"/>
    <w:rsid w:val="00A77849"/>
    <w:rsid w:val="00A778B6"/>
    <w:rsid w:val="00A77D75"/>
    <w:rsid w:val="00A803B7"/>
    <w:rsid w:val="00A80523"/>
    <w:rsid w:val="00A8076E"/>
    <w:rsid w:val="00A809FC"/>
    <w:rsid w:val="00A81179"/>
    <w:rsid w:val="00A8117E"/>
    <w:rsid w:val="00A81417"/>
    <w:rsid w:val="00A8157C"/>
    <w:rsid w:val="00A8178D"/>
    <w:rsid w:val="00A81B69"/>
    <w:rsid w:val="00A81CAD"/>
    <w:rsid w:val="00A822DB"/>
    <w:rsid w:val="00A82E1F"/>
    <w:rsid w:val="00A83218"/>
    <w:rsid w:val="00A8398F"/>
    <w:rsid w:val="00A83F8C"/>
    <w:rsid w:val="00A83FA8"/>
    <w:rsid w:val="00A83FE0"/>
    <w:rsid w:val="00A842A6"/>
    <w:rsid w:val="00A8451B"/>
    <w:rsid w:val="00A8462D"/>
    <w:rsid w:val="00A850C2"/>
    <w:rsid w:val="00A85729"/>
    <w:rsid w:val="00A85A22"/>
    <w:rsid w:val="00A85C4B"/>
    <w:rsid w:val="00A86053"/>
    <w:rsid w:val="00A8607F"/>
    <w:rsid w:val="00A86283"/>
    <w:rsid w:val="00A86443"/>
    <w:rsid w:val="00A869EA"/>
    <w:rsid w:val="00A86DCE"/>
    <w:rsid w:val="00A87602"/>
    <w:rsid w:val="00A87A96"/>
    <w:rsid w:val="00A90023"/>
    <w:rsid w:val="00A90114"/>
    <w:rsid w:val="00A90265"/>
    <w:rsid w:val="00A90346"/>
    <w:rsid w:val="00A915E6"/>
    <w:rsid w:val="00A91EAE"/>
    <w:rsid w:val="00A92106"/>
    <w:rsid w:val="00A9252E"/>
    <w:rsid w:val="00A92556"/>
    <w:rsid w:val="00A92741"/>
    <w:rsid w:val="00A92D31"/>
    <w:rsid w:val="00A92F5A"/>
    <w:rsid w:val="00A9343D"/>
    <w:rsid w:val="00A94120"/>
    <w:rsid w:val="00A94254"/>
    <w:rsid w:val="00A9440D"/>
    <w:rsid w:val="00A94539"/>
    <w:rsid w:val="00A94EA8"/>
    <w:rsid w:val="00A95CE2"/>
    <w:rsid w:val="00A95E41"/>
    <w:rsid w:val="00A961B6"/>
    <w:rsid w:val="00A96FD9"/>
    <w:rsid w:val="00A97502"/>
    <w:rsid w:val="00A97D76"/>
    <w:rsid w:val="00AA01FC"/>
    <w:rsid w:val="00AA0403"/>
    <w:rsid w:val="00AA0A48"/>
    <w:rsid w:val="00AA0C6A"/>
    <w:rsid w:val="00AA0EB7"/>
    <w:rsid w:val="00AA1150"/>
    <w:rsid w:val="00AA2496"/>
    <w:rsid w:val="00AA2C86"/>
    <w:rsid w:val="00AA33ED"/>
    <w:rsid w:val="00AA3663"/>
    <w:rsid w:val="00AA36D0"/>
    <w:rsid w:val="00AA3ACC"/>
    <w:rsid w:val="00AA43DC"/>
    <w:rsid w:val="00AA4E87"/>
    <w:rsid w:val="00AA5030"/>
    <w:rsid w:val="00AA52C3"/>
    <w:rsid w:val="00AA5A24"/>
    <w:rsid w:val="00AA6333"/>
    <w:rsid w:val="00AA670B"/>
    <w:rsid w:val="00AA6E7F"/>
    <w:rsid w:val="00AA6E8F"/>
    <w:rsid w:val="00AA7290"/>
    <w:rsid w:val="00AA7601"/>
    <w:rsid w:val="00AA7E0B"/>
    <w:rsid w:val="00AB0249"/>
    <w:rsid w:val="00AB0AD7"/>
    <w:rsid w:val="00AB1109"/>
    <w:rsid w:val="00AB13F0"/>
    <w:rsid w:val="00AB1A8C"/>
    <w:rsid w:val="00AB1ED6"/>
    <w:rsid w:val="00AB210D"/>
    <w:rsid w:val="00AB2445"/>
    <w:rsid w:val="00AB26B2"/>
    <w:rsid w:val="00AB2DD2"/>
    <w:rsid w:val="00AB300C"/>
    <w:rsid w:val="00AB31EF"/>
    <w:rsid w:val="00AB34B2"/>
    <w:rsid w:val="00AB3ED2"/>
    <w:rsid w:val="00AB4204"/>
    <w:rsid w:val="00AB42C9"/>
    <w:rsid w:val="00AB5595"/>
    <w:rsid w:val="00AB56AF"/>
    <w:rsid w:val="00AB5DAE"/>
    <w:rsid w:val="00AB6E2D"/>
    <w:rsid w:val="00AB7022"/>
    <w:rsid w:val="00AB71AF"/>
    <w:rsid w:val="00AB7DE3"/>
    <w:rsid w:val="00AB7E77"/>
    <w:rsid w:val="00AB7E94"/>
    <w:rsid w:val="00AC009D"/>
    <w:rsid w:val="00AC020B"/>
    <w:rsid w:val="00AC040B"/>
    <w:rsid w:val="00AC1777"/>
    <w:rsid w:val="00AC1938"/>
    <w:rsid w:val="00AC2241"/>
    <w:rsid w:val="00AC2243"/>
    <w:rsid w:val="00AC2F96"/>
    <w:rsid w:val="00AC3147"/>
    <w:rsid w:val="00AC328B"/>
    <w:rsid w:val="00AC3454"/>
    <w:rsid w:val="00AC3745"/>
    <w:rsid w:val="00AC3F3B"/>
    <w:rsid w:val="00AC4332"/>
    <w:rsid w:val="00AC46CA"/>
    <w:rsid w:val="00AC46CF"/>
    <w:rsid w:val="00AC47D3"/>
    <w:rsid w:val="00AC4B85"/>
    <w:rsid w:val="00AC5004"/>
    <w:rsid w:val="00AC51C9"/>
    <w:rsid w:val="00AC5502"/>
    <w:rsid w:val="00AC555D"/>
    <w:rsid w:val="00AC58A7"/>
    <w:rsid w:val="00AC58B3"/>
    <w:rsid w:val="00AC58CC"/>
    <w:rsid w:val="00AC5DCE"/>
    <w:rsid w:val="00AC6CD9"/>
    <w:rsid w:val="00AC6DDE"/>
    <w:rsid w:val="00AC705D"/>
    <w:rsid w:val="00AC7178"/>
    <w:rsid w:val="00AC7BE6"/>
    <w:rsid w:val="00AC7BEE"/>
    <w:rsid w:val="00AD06E2"/>
    <w:rsid w:val="00AD0B09"/>
    <w:rsid w:val="00AD0C6F"/>
    <w:rsid w:val="00AD11E4"/>
    <w:rsid w:val="00AD1495"/>
    <w:rsid w:val="00AD1F58"/>
    <w:rsid w:val="00AD2733"/>
    <w:rsid w:val="00AD2737"/>
    <w:rsid w:val="00AD2981"/>
    <w:rsid w:val="00AD3539"/>
    <w:rsid w:val="00AD3C1E"/>
    <w:rsid w:val="00AD4248"/>
    <w:rsid w:val="00AD46A0"/>
    <w:rsid w:val="00AD4C0F"/>
    <w:rsid w:val="00AD4E1D"/>
    <w:rsid w:val="00AD52EB"/>
    <w:rsid w:val="00AD596C"/>
    <w:rsid w:val="00AD631C"/>
    <w:rsid w:val="00AD6325"/>
    <w:rsid w:val="00AD6743"/>
    <w:rsid w:val="00AD6761"/>
    <w:rsid w:val="00AD6AF4"/>
    <w:rsid w:val="00AD7084"/>
    <w:rsid w:val="00AD73C5"/>
    <w:rsid w:val="00AD7422"/>
    <w:rsid w:val="00AD780A"/>
    <w:rsid w:val="00AD7AD0"/>
    <w:rsid w:val="00AD7BEA"/>
    <w:rsid w:val="00AD7CFE"/>
    <w:rsid w:val="00AD7E91"/>
    <w:rsid w:val="00AE06C5"/>
    <w:rsid w:val="00AE0A63"/>
    <w:rsid w:val="00AE0BCA"/>
    <w:rsid w:val="00AE1DF1"/>
    <w:rsid w:val="00AE1EEB"/>
    <w:rsid w:val="00AE23E2"/>
    <w:rsid w:val="00AE286C"/>
    <w:rsid w:val="00AE288C"/>
    <w:rsid w:val="00AE2B44"/>
    <w:rsid w:val="00AE3A06"/>
    <w:rsid w:val="00AE3D5A"/>
    <w:rsid w:val="00AE3D75"/>
    <w:rsid w:val="00AE3D76"/>
    <w:rsid w:val="00AE41B5"/>
    <w:rsid w:val="00AE44C7"/>
    <w:rsid w:val="00AE4F52"/>
    <w:rsid w:val="00AE5203"/>
    <w:rsid w:val="00AE5B26"/>
    <w:rsid w:val="00AE5E91"/>
    <w:rsid w:val="00AE609C"/>
    <w:rsid w:val="00AE6390"/>
    <w:rsid w:val="00AE6398"/>
    <w:rsid w:val="00AE7242"/>
    <w:rsid w:val="00AE74EC"/>
    <w:rsid w:val="00AE7606"/>
    <w:rsid w:val="00AE7638"/>
    <w:rsid w:val="00AE7A1F"/>
    <w:rsid w:val="00AE7EC1"/>
    <w:rsid w:val="00AF0006"/>
    <w:rsid w:val="00AF04D0"/>
    <w:rsid w:val="00AF08ED"/>
    <w:rsid w:val="00AF0A19"/>
    <w:rsid w:val="00AF0DBC"/>
    <w:rsid w:val="00AF12F1"/>
    <w:rsid w:val="00AF16C6"/>
    <w:rsid w:val="00AF2759"/>
    <w:rsid w:val="00AF2D08"/>
    <w:rsid w:val="00AF2D84"/>
    <w:rsid w:val="00AF2D8D"/>
    <w:rsid w:val="00AF308A"/>
    <w:rsid w:val="00AF3832"/>
    <w:rsid w:val="00AF3B39"/>
    <w:rsid w:val="00AF4A60"/>
    <w:rsid w:val="00AF502B"/>
    <w:rsid w:val="00AF5120"/>
    <w:rsid w:val="00AF5A7A"/>
    <w:rsid w:val="00AF5AC8"/>
    <w:rsid w:val="00AF5D95"/>
    <w:rsid w:val="00AF61F5"/>
    <w:rsid w:val="00AF623D"/>
    <w:rsid w:val="00AF6292"/>
    <w:rsid w:val="00AF6330"/>
    <w:rsid w:val="00AF6412"/>
    <w:rsid w:val="00AF6514"/>
    <w:rsid w:val="00AF7002"/>
    <w:rsid w:val="00AF7BE4"/>
    <w:rsid w:val="00B009A8"/>
    <w:rsid w:val="00B01724"/>
    <w:rsid w:val="00B02807"/>
    <w:rsid w:val="00B0284A"/>
    <w:rsid w:val="00B02CE0"/>
    <w:rsid w:val="00B02D7F"/>
    <w:rsid w:val="00B02F86"/>
    <w:rsid w:val="00B03146"/>
    <w:rsid w:val="00B03358"/>
    <w:rsid w:val="00B033AC"/>
    <w:rsid w:val="00B03EB4"/>
    <w:rsid w:val="00B04053"/>
    <w:rsid w:val="00B040F1"/>
    <w:rsid w:val="00B043FB"/>
    <w:rsid w:val="00B04A82"/>
    <w:rsid w:val="00B050CD"/>
    <w:rsid w:val="00B051BC"/>
    <w:rsid w:val="00B05277"/>
    <w:rsid w:val="00B053B6"/>
    <w:rsid w:val="00B05719"/>
    <w:rsid w:val="00B058DD"/>
    <w:rsid w:val="00B05ABA"/>
    <w:rsid w:val="00B05BF8"/>
    <w:rsid w:val="00B060A9"/>
    <w:rsid w:val="00B06B20"/>
    <w:rsid w:val="00B07B2F"/>
    <w:rsid w:val="00B07CE3"/>
    <w:rsid w:val="00B07D62"/>
    <w:rsid w:val="00B10999"/>
    <w:rsid w:val="00B10D8B"/>
    <w:rsid w:val="00B11327"/>
    <w:rsid w:val="00B11FAB"/>
    <w:rsid w:val="00B121CF"/>
    <w:rsid w:val="00B124C4"/>
    <w:rsid w:val="00B12DBA"/>
    <w:rsid w:val="00B12E52"/>
    <w:rsid w:val="00B13001"/>
    <w:rsid w:val="00B133BE"/>
    <w:rsid w:val="00B13605"/>
    <w:rsid w:val="00B13D34"/>
    <w:rsid w:val="00B14176"/>
    <w:rsid w:val="00B14645"/>
    <w:rsid w:val="00B148E4"/>
    <w:rsid w:val="00B14AFD"/>
    <w:rsid w:val="00B150CE"/>
    <w:rsid w:val="00B155EC"/>
    <w:rsid w:val="00B156BE"/>
    <w:rsid w:val="00B169D0"/>
    <w:rsid w:val="00B17026"/>
    <w:rsid w:val="00B1712E"/>
    <w:rsid w:val="00B202C4"/>
    <w:rsid w:val="00B20EA4"/>
    <w:rsid w:val="00B20FD0"/>
    <w:rsid w:val="00B2204E"/>
    <w:rsid w:val="00B220F9"/>
    <w:rsid w:val="00B22458"/>
    <w:rsid w:val="00B2253E"/>
    <w:rsid w:val="00B22B1B"/>
    <w:rsid w:val="00B2333F"/>
    <w:rsid w:val="00B2340F"/>
    <w:rsid w:val="00B2342C"/>
    <w:rsid w:val="00B234EA"/>
    <w:rsid w:val="00B239CA"/>
    <w:rsid w:val="00B24719"/>
    <w:rsid w:val="00B248FC"/>
    <w:rsid w:val="00B25721"/>
    <w:rsid w:val="00B25876"/>
    <w:rsid w:val="00B266E5"/>
    <w:rsid w:val="00B26C90"/>
    <w:rsid w:val="00B26F44"/>
    <w:rsid w:val="00B26F84"/>
    <w:rsid w:val="00B27020"/>
    <w:rsid w:val="00B27609"/>
    <w:rsid w:val="00B2780A"/>
    <w:rsid w:val="00B2797B"/>
    <w:rsid w:val="00B27D6F"/>
    <w:rsid w:val="00B30147"/>
    <w:rsid w:val="00B30F78"/>
    <w:rsid w:val="00B31232"/>
    <w:rsid w:val="00B31AB0"/>
    <w:rsid w:val="00B326FE"/>
    <w:rsid w:val="00B32BC2"/>
    <w:rsid w:val="00B32C84"/>
    <w:rsid w:val="00B33082"/>
    <w:rsid w:val="00B3311A"/>
    <w:rsid w:val="00B3338A"/>
    <w:rsid w:val="00B33BB3"/>
    <w:rsid w:val="00B3424D"/>
    <w:rsid w:val="00B344AF"/>
    <w:rsid w:val="00B3458E"/>
    <w:rsid w:val="00B347D8"/>
    <w:rsid w:val="00B34F9E"/>
    <w:rsid w:val="00B356F7"/>
    <w:rsid w:val="00B359BA"/>
    <w:rsid w:val="00B359F4"/>
    <w:rsid w:val="00B361D9"/>
    <w:rsid w:val="00B3654C"/>
    <w:rsid w:val="00B367E2"/>
    <w:rsid w:val="00B36D96"/>
    <w:rsid w:val="00B37545"/>
    <w:rsid w:val="00B401B0"/>
    <w:rsid w:val="00B409CF"/>
    <w:rsid w:val="00B41773"/>
    <w:rsid w:val="00B41DCD"/>
    <w:rsid w:val="00B42337"/>
    <w:rsid w:val="00B425EC"/>
    <w:rsid w:val="00B42761"/>
    <w:rsid w:val="00B42852"/>
    <w:rsid w:val="00B429F4"/>
    <w:rsid w:val="00B42CC9"/>
    <w:rsid w:val="00B43113"/>
    <w:rsid w:val="00B433FB"/>
    <w:rsid w:val="00B43647"/>
    <w:rsid w:val="00B43F31"/>
    <w:rsid w:val="00B4426F"/>
    <w:rsid w:val="00B443F3"/>
    <w:rsid w:val="00B44646"/>
    <w:rsid w:val="00B44904"/>
    <w:rsid w:val="00B449EF"/>
    <w:rsid w:val="00B44FA0"/>
    <w:rsid w:val="00B454AA"/>
    <w:rsid w:val="00B456D7"/>
    <w:rsid w:val="00B45BF5"/>
    <w:rsid w:val="00B45C27"/>
    <w:rsid w:val="00B45EE5"/>
    <w:rsid w:val="00B46569"/>
    <w:rsid w:val="00B46904"/>
    <w:rsid w:val="00B4699F"/>
    <w:rsid w:val="00B46A7D"/>
    <w:rsid w:val="00B473A6"/>
    <w:rsid w:val="00B473B6"/>
    <w:rsid w:val="00B476C2"/>
    <w:rsid w:val="00B47C09"/>
    <w:rsid w:val="00B500BB"/>
    <w:rsid w:val="00B505CC"/>
    <w:rsid w:val="00B5083B"/>
    <w:rsid w:val="00B50D04"/>
    <w:rsid w:val="00B50F1E"/>
    <w:rsid w:val="00B515F9"/>
    <w:rsid w:val="00B51F40"/>
    <w:rsid w:val="00B53276"/>
    <w:rsid w:val="00B534F8"/>
    <w:rsid w:val="00B53E23"/>
    <w:rsid w:val="00B53F5A"/>
    <w:rsid w:val="00B54151"/>
    <w:rsid w:val="00B54C43"/>
    <w:rsid w:val="00B54EB5"/>
    <w:rsid w:val="00B54EFA"/>
    <w:rsid w:val="00B54F73"/>
    <w:rsid w:val="00B5542E"/>
    <w:rsid w:val="00B55E19"/>
    <w:rsid w:val="00B55EAA"/>
    <w:rsid w:val="00B5655F"/>
    <w:rsid w:val="00B56D2D"/>
    <w:rsid w:val="00B57979"/>
    <w:rsid w:val="00B57B78"/>
    <w:rsid w:val="00B57C1C"/>
    <w:rsid w:val="00B57C2F"/>
    <w:rsid w:val="00B57C89"/>
    <w:rsid w:val="00B57D99"/>
    <w:rsid w:val="00B57E8F"/>
    <w:rsid w:val="00B6012D"/>
    <w:rsid w:val="00B60810"/>
    <w:rsid w:val="00B608CD"/>
    <w:rsid w:val="00B60966"/>
    <w:rsid w:val="00B61137"/>
    <w:rsid w:val="00B6116E"/>
    <w:rsid w:val="00B61C78"/>
    <w:rsid w:val="00B61F16"/>
    <w:rsid w:val="00B6214A"/>
    <w:rsid w:val="00B62F78"/>
    <w:rsid w:val="00B63508"/>
    <w:rsid w:val="00B63557"/>
    <w:rsid w:val="00B63C33"/>
    <w:rsid w:val="00B63E12"/>
    <w:rsid w:val="00B641AF"/>
    <w:rsid w:val="00B64721"/>
    <w:rsid w:val="00B6483E"/>
    <w:rsid w:val="00B64B7E"/>
    <w:rsid w:val="00B65040"/>
    <w:rsid w:val="00B65068"/>
    <w:rsid w:val="00B65B01"/>
    <w:rsid w:val="00B65BA4"/>
    <w:rsid w:val="00B664D2"/>
    <w:rsid w:val="00B6661C"/>
    <w:rsid w:val="00B666FC"/>
    <w:rsid w:val="00B66758"/>
    <w:rsid w:val="00B66C55"/>
    <w:rsid w:val="00B66EE4"/>
    <w:rsid w:val="00B674AC"/>
    <w:rsid w:val="00B675F6"/>
    <w:rsid w:val="00B67646"/>
    <w:rsid w:val="00B67E1A"/>
    <w:rsid w:val="00B704D4"/>
    <w:rsid w:val="00B70768"/>
    <w:rsid w:val="00B71AC4"/>
    <w:rsid w:val="00B720CE"/>
    <w:rsid w:val="00B72A4A"/>
    <w:rsid w:val="00B72FA9"/>
    <w:rsid w:val="00B7330B"/>
    <w:rsid w:val="00B735AF"/>
    <w:rsid w:val="00B737E0"/>
    <w:rsid w:val="00B73A98"/>
    <w:rsid w:val="00B73B0B"/>
    <w:rsid w:val="00B73BEB"/>
    <w:rsid w:val="00B740E7"/>
    <w:rsid w:val="00B7423B"/>
    <w:rsid w:val="00B743BB"/>
    <w:rsid w:val="00B74A23"/>
    <w:rsid w:val="00B74CC9"/>
    <w:rsid w:val="00B7500E"/>
    <w:rsid w:val="00B75403"/>
    <w:rsid w:val="00B755CF"/>
    <w:rsid w:val="00B756DB"/>
    <w:rsid w:val="00B757BB"/>
    <w:rsid w:val="00B75A7E"/>
    <w:rsid w:val="00B75C3A"/>
    <w:rsid w:val="00B75C56"/>
    <w:rsid w:val="00B765A3"/>
    <w:rsid w:val="00B76661"/>
    <w:rsid w:val="00B77847"/>
    <w:rsid w:val="00B77A6B"/>
    <w:rsid w:val="00B77C2F"/>
    <w:rsid w:val="00B77C3E"/>
    <w:rsid w:val="00B80204"/>
    <w:rsid w:val="00B8025C"/>
    <w:rsid w:val="00B80620"/>
    <w:rsid w:val="00B80E41"/>
    <w:rsid w:val="00B81EF6"/>
    <w:rsid w:val="00B8212D"/>
    <w:rsid w:val="00B8253D"/>
    <w:rsid w:val="00B82704"/>
    <w:rsid w:val="00B8289C"/>
    <w:rsid w:val="00B82B36"/>
    <w:rsid w:val="00B82BE0"/>
    <w:rsid w:val="00B82E22"/>
    <w:rsid w:val="00B8313C"/>
    <w:rsid w:val="00B8362C"/>
    <w:rsid w:val="00B8392B"/>
    <w:rsid w:val="00B83960"/>
    <w:rsid w:val="00B83E52"/>
    <w:rsid w:val="00B8475D"/>
    <w:rsid w:val="00B84C6A"/>
    <w:rsid w:val="00B862B3"/>
    <w:rsid w:val="00B86629"/>
    <w:rsid w:val="00B86DD7"/>
    <w:rsid w:val="00B87215"/>
    <w:rsid w:val="00B90140"/>
    <w:rsid w:val="00B903D2"/>
    <w:rsid w:val="00B90A71"/>
    <w:rsid w:val="00B90FE0"/>
    <w:rsid w:val="00B91080"/>
    <w:rsid w:val="00B917C6"/>
    <w:rsid w:val="00B91ABC"/>
    <w:rsid w:val="00B92200"/>
    <w:rsid w:val="00B9220F"/>
    <w:rsid w:val="00B9227C"/>
    <w:rsid w:val="00B922E1"/>
    <w:rsid w:val="00B924A3"/>
    <w:rsid w:val="00B93338"/>
    <w:rsid w:val="00B9335A"/>
    <w:rsid w:val="00B93936"/>
    <w:rsid w:val="00B93B3F"/>
    <w:rsid w:val="00B945F3"/>
    <w:rsid w:val="00B94A9C"/>
    <w:rsid w:val="00B95507"/>
    <w:rsid w:val="00B96226"/>
    <w:rsid w:val="00B964DD"/>
    <w:rsid w:val="00B9657D"/>
    <w:rsid w:val="00B96CC2"/>
    <w:rsid w:val="00B9726C"/>
    <w:rsid w:val="00B9752B"/>
    <w:rsid w:val="00B975B8"/>
    <w:rsid w:val="00B9787B"/>
    <w:rsid w:val="00B97A69"/>
    <w:rsid w:val="00BA031A"/>
    <w:rsid w:val="00BA05F3"/>
    <w:rsid w:val="00BA0D55"/>
    <w:rsid w:val="00BA0FCF"/>
    <w:rsid w:val="00BA0FEB"/>
    <w:rsid w:val="00BA12A1"/>
    <w:rsid w:val="00BA2048"/>
    <w:rsid w:val="00BA240A"/>
    <w:rsid w:val="00BA2AB7"/>
    <w:rsid w:val="00BA3115"/>
    <w:rsid w:val="00BA398F"/>
    <w:rsid w:val="00BA3B79"/>
    <w:rsid w:val="00BA40A3"/>
    <w:rsid w:val="00BA49AD"/>
    <w:rsid w:val="00BA4CD1"/>
    <w:rsid w:val="00BA4D30"/>
    <w:rsid w:val="00BA4FC0"/>
    <w:rsid w:val="00BA511C"/>
    <w:rsid w:val="00BA5173"/>
    <w:rsid w:val="00BA5383"/>
    <w:rsid w:val="00BA551F"/>
    <w:rsid w:val="00BA57A6"/>
    <w:rsid w:val="00BA5855"/>
    <w:rsid w:val="00BA5874"/>
    <w:rsid w:val="00BA5DD0"/>
    <w:rsid w:val="00BA6067"/>
    <w:rsid w:val="00BA61DC"/>
    <w:rsid w:val="00BA6344"/>
    <w:rsid w:val="00BA6B19"/>
    <w:rsid w:val="00BA71DA"/>
    <w:rsid w:val="00BA729A"/>
    <w:rsid w:val="00BA739B"/>
    <w:rsid w:val="00BA7497"/>
    <w:rsid w:val="00BA765C"/>
    <w:rsid w:val="00BA7B15"/>
    <w:rsid w:val="00BB04D3"/>
    <w:rsid w:val="00BB05D3"/>
    <w:rsid w:val="00BB05E9"/>
    <w:rsid w:val="00BB0795"/>
    <w:rsid w:val="00BB0931"/>
    <w:rsid w:val="00BB0CF2"/>
    <w:rsid w:val="00BB141F"/>
    <w:rsid w:val="00BB144A"/>
    <w:rsid w:val="00BB1746"/>
    <w:rsid w:val="00BB1813"/>
    <w:rsid w:val="00BB192F"/>
    <w:rsid w:val="00BB2235"/>
    <w:rsid w:val="00BB22E6"/>
    <w:rsid w:val="00BB29E1"/>
    <w:rsid w:val="00BB2AF0"/>
    <w:rsid w:val="00BB2F9E"/>
    <w:rsid w:val="00BB3008"/>
    <w:rsid w:val="00BB30AE"/>
    <w:rsid w:val="00BB3370"/>
    <w:rsid w:val="00BB3AB6"/>
    <w:rsid w:val="00BB3B82"/>
    <w:rsid w:val="00BB3DF4"/>
    <w:rsid w:val="00BB3F95"/>
    <w:rsid w:val="00BB414C"/>
    <w:rsid w:val="00BB48DA"/>
    <w:rsid w:val="00BB4BD3"/>
    <w:rsid w:val="00BB537C"/>
    <w:rsid w:val="00BB539A"/>
    <w:rsid w:val="00BB5954"/>
    <w:rsid w:val="00BB5CAC"/>
    <w:rsid w:val="00BB5D1A"/>
    <w:rsid w:val="00BB61EB"/>
    <w:rsid w:val="00BB6B0C"/>
    <w:rsid w:val="00BB731C"/>
    <w:rsid w:val="00BB7436"/>
    <w:rsid w:val="00BB748E"/>
    <w:rsid w:val="00BB7608"/>
    <w:rsid w:val="00BB774F"/>
    <w:rsid w:val="00BB7E99"/>
    <w:rsid w:val="00BC0004"/>
    <w:rsid w:val="00BC024D"/>
    <w:rsid w:val="00BC0378"/>
    <w:rsid w:val="00BC038D"/>
    <w:rsid w:val="00BC03BD"/>
    <w:rsid w:val="00BC0460"/>
    <w:rsid w:val="00BC09CC"/>
    <w:rsid w:val="00BC0D36"/>
    <w:rsid w:val="00BC0D54"/>
    <w:rsid w:val="00BC0DD8"/>
    <w:rsid w:val="00BC0E87"/>
    <w:rsid w:val="00BC10BC"/>
    <w:rsid w:val="00BC127B"/>
    <w:rsid w:val="00BC13FC"/>
    <w:rsid w:val="00BC248B"/>
    <w:rsid w:val="00BC24B2"/>
    <w:rsid w:val="00BC25BB"/>
    <w:rsid w:val="00BC270F"/>
    <w:rsid w:val="00BC2C21"/>
    <w:rsid w:val="00BC3155"/>
    <w:rsid w:val="00BC3275"/>
    <w:rsid w:val="00BC37FA"/>
    <w:rsid w:val="00BC4018"/>
    <w:rsid w:val="00BC4515"/>
    <w:rsid w:val="00BC49EC"/>
    <w:rsid w:val="00BC4D6C"/>
    <w:rsid w:val="00BC51BF"/>
    <w:rsid w:val="00BC529E"/>
    <w:rsid w:val="00BC5401"/>
    <w:rsid w:val="00BC62A8"/>
    <w:rsid w:val="00BC66B1"/>
    <w:rsid w:val="00BC6967"/>
    <w:rsid w:val="00BC6AC9"/>
    <w:rsid w:val="00BC6C78"/>
    <w:rsid w:val="00BC703D"/>
    <w:rsid w:val="00BC705F"/>
    <w:rsid w:val="00BC70FA"/>
    <w:rsid w:val="00BC718A"/>
    <w:rsid w:val="00BC78D0"/>
    <w:rsid w:val="00BC7A5E"/>
    <w:rsid w:val="00BC7A8D"/>
    <w:rsid w:val="00BC7A8E"/>
    <w:rsid w:val="00BC7F36"/>
    <w:rsid w:val="00BD02F0"/>
    <w:rsid w:val="00BD05FD"/>
    <w:rsid w:val="00BD085C"/>
    <w:rsid w:val="00BD0B4D"/>
    <w:rsid w:val="00BD1929"/>
    <w:rsid w:val="00BD1CE2"/>
    <w:rsid w:val="00BD1FA4"/>
    <w:rsid w:val="00BD2158"/>
    <w:rsid w:val="00BD23A8"/>
    <w:rsid w:val="00BD262D"/>
    <w:rsid w:val="00BD3539"/>
    <w:rsid w:val="00BD3615"/>
    <w:rsid w:val="00BD4402"/>
    <w:rsid w:val="00BD459C"/>
    <w:rsid w:val="00BD4A59"/>
    <w:rsid w:val="00BD587F"/>
    <w:rsid w:val="00BD5F5A"/>
    <w:rsid w:val="00BD640D"/>
    <w:rsid w:val="00BD7290"/>
    <w:rsid w:val="00BD79BC"/>
    <w:rsid w:val="00BD7CCB"/>
    <w:rsid w:val="00BE02D5"/>
    <w:rsid w:val="00BE056B"/>
    <w:rsid w:val="00BE079F"/>
    <w:rsid w:val="00BE0A9B"/>
    <w:rsid w:val="00BE0AA1"/>
    <w:rsid w:val="00BE0B39"/>
    <w:rsid w:val="00BE0EF0"/>
    <w:rsid w:val="00BE166E"/>
    <w:rsid w:val="00BE1782"/>
    <w:rsid w:val="00BE1F09"/>
    <w:rsid w:val="00BE30EA"/>
    <w:rsid w:val="00BE38B5"/>
    <w:rsid w:val="00BE3D91"/>
    <w:rsid w:val="00BE3F97"/>
    <w:rsid w:val="00BE4059"/>
    <w:rsid w:val="00BE40FB"/>
    <w:rsid w:val="00BE411A"/>
    <w:rsid w:val="00BE4151"/>
    <w:rsid w:val="00BE435F"/>
    <w:rsid w:val="00BE44B6"/>
    <w:rsid w:val="00BE4653"/>
    <w:rsid w:val="00BE4E49"/>
    <w:rsid w:val="00BE4FFB"/>
    <w:rsid w:val="00BE50A3"/>
    <w:rsid w:val="00BE59F1"/>
    <w:rsid w:val="00BE5B9B"/>
    <w:rsid w:val="00BE6CBC"/>
    <w:rsid w:val="00BE78DE"/>
    <w:rsid w:val="00BE7A42"/>
    <w:rsid w:val="00BE7C0B"/>
    <w:rsid w:val="00BE7C90"/>
    <w:rsid w:val="00BE7D0C"/>
    <w:rsid w:val="00BF0A96"/>
    <w:rsid w:val="00BF1080"/>
    <w:rsid w:val="00BF173A"/>
    <w:rsid w:val="00BF178C"/>
    <w:rsid w:val="00BF39DB"/>
    <w:rsid w:val="00BF3AE6"/>
    <w:rsid w:val="00BF408B"/>
    <w:rsid w:val="00BF486C"/>
    <w:rsid w:val="00BF49DC"/>
    <w:rsid w:val="00BF4ED8"/>
    <w:rsid w:val="00BF56DF"/>
    <w:rsid w:val="00BF5AEC"/>
    <w:rsid w:val="00BF60B8"/>
    <w:rsid w:val="00BF61B2"/>
    <w:rsid w:val="00BF6C8E"/>
    <w:rsid w:val="00BF6E43"/>
    <w:rsid w:val="00BF6ED7"/>
    <w:rsid w:val="00BF7257"/>
    <w:rsid w:val="00BF75DA"/>
    <w:rsid w:val="00BF76A4"/>
    <w:rsid w:val="00BF7782"/>
    <w:rsid w:val="00BF7B13"/>
    <w:rsid w:val="00C00775"/>
    <w:rsid w:val="00C01397"/>
    <w:rsid w:val="00C0168A"/>
    <w:rsid w:val="00C019DA"/>
    <w:rsid w:val="00C01E7F"/>
    <w:rsid w:val="00C01F08"/>
    <w:rsid w:val="00C021DF"/>
    <w:rsid w:val="00C0275B"/>
    <w:rsid w:val="00C02A90"/>
    <w:rsid w:val="00C02E35"/>
    <w:rsid w:val="00C035ED"/>
    <w:rsid w:val="00C03C8E"/>
    <w:rsid w:val="00C040E8"/>
    <w:rsid w:val="00C0412B"/>
    <w:rsid w:val="00C0439A"/>
    <w:rsid w:val="00C04495"/>
    <w:rsid w:val="00C04C3C"/>
    <w:rsid w:val="00C04E4F"/>
    <w:rsid w:val="00C04FEF"/>
    <w:rsid w:val="00C05044"/>
    <w:rsid w:val="00C05949"/>
    <w:rsid w:val="00C06242"/>
    <w:rsid w:val="00C06442"/>
    <w:rsid w:val="00C06804"/>
    <w:rsid w:val="00C06EAD"/>
    <w:rsid w:val="00C06F67"/>
    <w:rsid w:val="00C071F6"/>
    <w:rsid w:val="00C10F39"/>
    <w:rsid w:val="00C1155D"/>
    <w:rsid w:val="00C12220"/>
    <w:rsid w:val="00C12429"/>
    <w:rsid w:val="00C128B2"/>
    <w:rsid w:val="00C128D9"/>
    <w:rsid w:val="00C12F02"/>
    <w:rsid w:val="00C135EB"/>
    <w:rsid w:val="00C1398B"/>
    <w:rsid w:val="00C139AD"/>
    <w:rsid w:val="00C13DC1"/>
    <w:rsid w:val="00C14635"/>
    <w:rsid w:val="00C14887"/>
    <w:rsid w:val="00C149C0"/>
    <w:rsid w:val="00C14A9B"/>
    <w:rsid w:val="00C14B0B"/>
    <w:rsid w:val="00C14EB3"/>
    <w:rsid w:val="00C14EBD"/>
    <w:rsid w:val="00C14FF8"/>
    <w:rsid w:val="00C155E7"/>
    <w:rsid w:val="00C1563B"/>
    <w:rsid w:val="00C159FF"/>
    <w:rsid w:val="00C15A9C"/>
    <w:rsid w:val="00C15ED1"/>
    <w:rsid w:val="00C16003"/>
    <w:rsid w:val="00C1619F"/>
    <w:rsid w:val="00C169BC"/>
    <w:rsid w:val="00C16F8B"/>
    <w:rsid w:val="00C174AF"/>
    <w:rsid w:val="00C17A66"/>
    <w:rsid w:val="00C2029E"/>
    <w:rsid w:val="00C208A8"/>
    <w:rsid w:val="00C20ACE"/>
    <w:rsid w:val="00C21969"/>
    <w:rsid w:val="00C2197B"/>
    <w:rsid w:val="00C21AD3"/>
    <w:rsid w:val="00C21E67"/>
    <w:rsid w:val="00C21F15"/>
    <w:rsid w:val="00C22084"/>
    <w:rsid w:val="00C22453"/>
    <w:rsid w:val="00C22604"/>
    <w:rsid w:val="00C227A8"/>
    <w:rsid w:val="00C22D62"/>
    <w:rsid w:val="00C232FA"/>
    <w:rsid w:val="00C23439"/>
    <w:rsid w:val="00C23B33"/>
    <w:rsid w:val="00C23CF8"/>
    <w:rsid w:val="00C24503"/>
    <w:rsid w:val="00C2460E"/>
    <w:rsid w:val="00C24923"/>
    <w:rsid w:val="00C2496A"/>
    <w:rsid w:val="00C24A0C"/>
    <w:rsid w:val="00C24DDB"/>
    <w:rsid w:val="00C2541F"/>
    <w:rsid w:val="00C25BBC"/>
    <w:rsid w:val="00C2617A"/>
    <w:rsid w:val="00C2641C"/>
    <w:rsid w:val="00C26429"/>
    <w:rsid w:val="00C267C2"/>
    <w:rsid w:val="00C26888"/>
    <w:rsid w:val="00C2688E"/>
    <w:rsid w:val="00C26A7C"/>
    <w:rsid w:val="00C27185"/>
    <w:rsid w:val="00C27297"/>
    <w:rsid w:val="00C274A8"/>
    <w:rsid w:val="00C30363"/>
    <w:rsid w:val="00C3038F"/>
    <w:rsid w:val="00C305B3"/>
    <w:rsid w:val="00C30703"/>
    <w:rsid w:val="00C30AAF"/>
    <w:rsid w:val="00C30ABE"/>
    <w:rsid w:val="00C30C28"/>
    <w:rsid w:val="00C30E75"/>
    <w:rsid w:val="00C311AD"/>
    <w:rsid w:val="00C311AE"/>
    <w:rsid w:val="00C3164F"/>
    <w:rsid w:val="00C3239B"/>
    <w:rsid w:val="00C3254C"/>
    <w:rsid w:val="00C32581"/>
    <w:rsid w:val="00C325E0"/>
    <w:rsid w:val="00C32947"/>
    <w:rsid w:val="00C32CCD"/>
    <w:rsid w:val="00C32FC2"/>
    <w:rsid w:val="00C333C7"/>
    <w:rsid w:val="00C333ED"/>
    <w:rsid w:val="00C33467"/>
    <w:rsid w:val="00C336CD"/>
    <w:rsid w:val="00C33A12"/>
    <w:rsid w:val="00C34207"/>
    <w:rsid w:val="00C3454A"/>
    <w:rsid w:val="00C345EC"/>
    <w:rsid w:val="00C347F5"/>
    <w:rsid w:val="00C34E99"/>
    <w:rsid w:val="00C35380"/>
    <w:rsid w:val="00C354D8"/>
    <w:rsid w:val="00C35962"/>
    <w:rsid w:val="00C359A0"/>
    <w:rsid w:val="00C360D9"/>
    <w:rsid w:val="00C361A9"/>
    <w:rsid w:val="00C3635D"/>
    <w:rsid w:val="00C3698C"/>
    <w:rsid w:val="00C37274"/>
    <w:rsid w:val="00C379A9"/>
    <w:rsid w:val="00C37CFF"/>
    <w:rsid w:val="00C40699"/>
    <w:rsid w:val="00C40772"/>
    <w:rsid w:val="00C40794"/>
    <w:rsid w:val="00C40970"/>
    <w:rsid w:val="00C409E3"/>
    <w:rsid w:val="00C40E8F"/>
    <w:rsid w:val="00C410FE"/>
    <w:rsid w:val="00C411BA"/>
    <w:rsid w:val="00C41DF3"/>
    <w:rsid w:val="00C4258B"/>
    <w:rsid w:val="00C4265C"/>
    <w:rsid w:val="00C4296D"/>
    <w:rsid w:val="00C42A1A"/>
    <w:rsid w:val="00C42D62"/>
    <w:rsid w:val="00C42F7D"/>
    <w:rsid w:val="00C43005"/>
    <w:rsid w:val="00C4359C"/>
    <w:rsid w:val="00C435B4"/>
    <w:rsid w:val="00C437FD"/>
    <w:rsid w:val="00C44736"/>
    <w:rsid w:val="00C4489B"/>
    <w:rsid w:val="00C44BDB"/>
    <w:rsid w:val="00C45194"/>
    <w:rsid w:val="00C453A7"/>
    <w:rsid w:val="00C45988"/>
    <w:rsid w:val="00C46482"/>
    <w:rsid w:val="00C46527"/>
    <w:rsid w:val="00C47893"/>
    <w:rsid w:val="00C47C0A"/>
    <w:rsid w:val="00C503AE"/>
    <w:rsid w:val="00C507C0"/>
    <w:rsid w:val="00C509E9"/>
    <w:rsid w:val="00C512C4"/>
    <w:rsid w:val="00C512E6"/>
    <w:rsid w:val="00C52089"/>
    <w:rsid w:val="00C52283"/>
    <w:rsid w:val="00C527C7"/>
    <w:rsid w:val="00C5285F"/>
    <w:rsid w:val="00C52AB8"/>
    <w:rsid w:val="00C52B2B"/>
    <w:rsid w:val="00C52C0C"/>
    <w:rsid w:val="00C52C69"/>
    <w:rsid w:val="00C531D5"/>
    <w:rsid w:val="00C533D8"/>
    <w:rsid w:val="00C53E04"/>
    <w:rsid w:val="00C54337"/>
    <w:rsid w:val="00C548A6"/>
    <w:rsid w:val="00C551AE"/>
    <w:rsid w:val="00C55D87"/>
    <w:rsid w:val="00C55F26"/>
    <w:rsid w:val="00C55F32"/>
    <w:rsid w:val="00C562F5"/>
    <w:rsid w:val="00C564CA"/>
    <w:rsid w:val="00C56B69"/>
    <w:rsid w:val="00C57167"/>
    <w:rsid w:val="00C57521"/>
    <w:rsid w:val="00C57D19"/>
    <w:rsid w:val="00C57D20"/>
    <w:rsid w:val="00C57D8B"/>
    <w:rsid w:val="00C60037"/>
    <w:rsid w:val="00C6004D"/>
    <w:rsid w:val="00C601EE"/>
    <w:rsid w:val="00C60340"/>
    <w:rsid w:val="00C6055B"/>
    <w:rsid w:val="00C607A6"/>
    <w:rsid w:val="00C60D9A"/>
    <w:rsid w:val="00C6164F"/>
    <w:rsid w:val="00C618A8"/>
    <w:rsid w:val="00C6200C"/>
    <w:rsid w:val="00C627D6"/>
    <w:rsid w:val="00C62BC1"/>
    <w:rsid w:val="00C63022"/>
    <w:rsid w:val="00C635E3"/>
    <w:rsid w:val="00C6372B"/>
    <w:rsid w:val="00C63977"/>
    <w:rsid w:val="00C63C15"/>
    <w:rsid w:val="00C63CA9"/>
    <w:rsid w:val="00C63EA9"/>
    <w:rsid w:val="00C645BC"/>
    <w:rsid w:val="00C64BD7"/>
    <w:rsid w:val="00C64F81"/>
    <w:rsid w:val="00C65674"/>
    <w:rsid w:val="00C65DEF"/>
    <w:rsid w:val="00C66241"/>
    <w:rsid w:val="00C66A37"/>
    <w:rsid w:val="00C66FCB"/>
    <w:rsid w:val="00C678C1"/>
    <w:rsid w:val="00C67BEB"/>
    <w:rsid w:val="00C67E74"/>
    <w:rsid w:val="00C67F08"/>
    <w:rsid w:val="00C70176"/>
    <w:rsid w:val="00C707A0"/>
    <w:rsid w:val="00C70F64"/>
    <w:rsid w:val="00C71658"/>
    <w:rsid w:val="00C72174"/>
    <w:rsid w:val="00C72325"/>
    <w:rsid w:val="00C726FE"/>
    <w:rsid w:val="00C729F3"/>
    <w:rsid w:val="00C72BE8"/>
    <w:rsid w:val="00C72CB5"/>
    <w:rsid w:val="00C72D49"/>
    <w:rsid w:val="00C7319C"/>
    <w:rsid w:val="00C73201"/>
    <w:rsid w:val="00C7379A"/>
    <w:rsid w:val="00C737BD"/>
    <w:rsid w:val="00C737E1"/>
    <w:rsid w:val="00C73E4E"/>
    <w:rsid w:val="00C74047"/>
    <w:rsid w:val="00C7412A"/>
    <w:rsid w:val="00C745EA"/>
    <w:rsid w:val="00C74AF9"/>
    <w:rsid w:val="00C74E57"/>
    <w:rsid w:val="00C75080"/>
    <w:rsid w:val="00C75510"/>
    <w:rsid w:val="00C75A29"/>
    <w:rsid w:val="00C75C35"/>
    <w:rsid w:val="00C75CED"/>
    <w:rsid w:val="00C75FBA"/>
    <w:rsid w:val="00C76550"/>
    <w:rsid w:val="00C76663"/>
    <w:rsid w:val="00C7674E"/>
    <w:rsid w:val="00C76D50"/>
    <w:rsid w:val="00C76F82"/>
    <w:rsid w:val="00C76F89"/>
    <w:rsid w:val="00C776D2"/>
    <w:rsid w:val="00C777A8"/>
    <w:rsid w:val="00C779AF"/>
    <w:rsid w:val="00C77D24"/>
    <w:rsid w:val="00C77D7B"/>
    <w:rsid w:val="00C77FF4"/>
    <w:rsid w:val="00C803E0"/>
    <w:rsid w:val="00C808C4"/>
    <w:rsid w:val="00C80D17"/>
    <w:rsid w:val="00C81192"/>
    <w:rsid w:val="00C8123E"/>
    <w:rsid w:val="00C815F6"/>
    <w:rsid w:val="00C81CD3"/>
    <w:rsid w:val="00C820BC"/>
    <w:rsid w:val="00C82744"/>
    <w:rsid w:val="00C82E30"/>
    <w:rsid w:val="00C82EB7"/>
    <w:rsid w:val="00C82F26"/>
    <w:rsid w:val="00C832B3"/>
    <w:rsid w:val="00C834D7"/>
    <w:rsid w:val="00C83602"/>
    <w:rsid w:val="00C838AB"/>
    <w:rsid w:val="00C83A25"/>
    <w:rsid w:val="00C83C7F"/>
    <w:rsid w:val="00C8413E"/>
    <w:rsid w:val="00C8423D"/>
    <w:rsid w:val="00C84295"/>
    <w:rsid w:val="00C84313"/>
    <w:rsid w:val="00C84399"/>
    <w:rsid w:val="00C84419"/>
    <w:rsid w:val="00C8447B"/>
    <w:rsid w:val="00C847A9"/>
    <w:rsid w:val="00C848FF"/>
    <w:rsid w:val="00C84BF8"/>
    <w:rsid w:val="00C84E6F"/>
    <w:rsid w:val="00C8521B"/>
    <w:rsid w:val="00C85344"/>
    <w:rsid w:val="00C855DE"/>
    <w:rsid w:val="00C8560F"/>
    <w:rsid w:val="00C86432"/>
    <w:rsid w:val="00C86621"/>
    <w:rsid w:val="00C86C1C"/>
    <w:rsid w:val="00C86CDD"/>
    <w:rsid w:val="00C870CA"/>
    <w:rsid w:val="00C87708"/>
    <w:rsid w:val="00C87DB3"/>
    <w:rsid w:val="00C87DC9"/>
    <w:rsid w:val="00C90243"/>
    <w:rsid w:val="00C90286"/>
    <w:rsid w:val="00C90883"/>
    <w:rsid w:val="00C90D94"/>
    <w:rsid w:val="00C912EC"/>
    <w:rsid w:val="00C915A0"/>
    <w:rsid w:val="00C915FD"/>
    <w:rsid w:val="00C91926"/>
    <w:rsid w:val="00C91AFC"/>
    <w:rsid w:val="00C91C05"/>
    <w:rsid w:val="00C91EB7"/>
    <w:rsid w:val="00C91F4C"/>
    <w:rsid w:val="00C92040"/>
    <w:rsid w:val="00C920D0"/>
    <w:rsid w:val="00C92382"/>
    <w:rsid w:val="00C92735"/>
    <w:rsid w:val="00C92DA3"/>
    <w:rsid w:val="00C92EC1"/>
    <w:rsid w:val="00C9321F"/>
    <w:rsid w:val="00C93C9A"/>
    <w:rsid w:val="00C93F01"/>
    <w:rsid w:val="00C94385"/>
    <w:rsid w:val="00C95251"/>
    <w:rsid w:val="00C957B4"/>
    <w:rsid w:val="00C95E8D"/>
    <w:rsid w:val="00C962A6"/>
    <w:rsid w:val="00C96AB7"/>
    <w:rsid w:val="00C973D3"/>
    <w:rsid w:val="00C97893"/>
    <w:rsid w:val="00C97D7B"/>
    <w:rsid w:val="00C97FD2"/>
    <w:rsid w:val="00CA00FA"/>
    <w:rsid w:val="00CA0559"/>
    <w:rsid w:val="00CA0B34"/>
    <w:rsid w:val="00CA0CBB"/>
    <w:rsid w:val="00CA1439"/>
    <w:rsid w:val="00CA152C"/>
    <w:rsid w:val="00CA1805"/>
    <w:rsid w:val="00CA187D"/>
    <w:rsid w:val="00CA18BC"/>
    <w:rsid w:val="00CA21E3"/>
    <w:rsid w:val="00CA2519"/>
    <w:rsid w:val="00CA261A"/>
    <w:rsid w:val="00CA2795"/>
    <w:rsid w:val="00CA29E7"/>
    <w:rsid w:val="00CA2C7D"/>
    <w:rsid w:val="00CA2E94"/>
    <w:rsid w:val="00CA3158"/>
    <w:rsid w:val="00CA3A38"/>
    <w:rsid w:val="00CA3FF1"/>
    <w:rsid w:val="00CA4122"/>
    <w:rsid w:val="00CA4498"/>
    <w:rsid w:val="00CA46AF"/>
    <w:rsid w:val="00CA46F7"/>
    <w:rsid w:val="00CA4B91"/>
    <w:rsid w:val="00CA4FCC"/>
    <w:rsid w:val="00CA609A"/>
    <w:rsid w:val="00CA62D9"/>
    <w:rsid w:val="00CA6321"/>
    <w:rsid w:val="00CA6745"/>
    <w:rsid w:val="00CA679C"/>
    <w:rsid w:val="00CA68C5"/>
    <w:rsid w:val="00CA6961"/>
    <w:rsid w:val="00CA75D2"/>
    <w:rsid w:val="00CA7DE0"/>
    <w:rsid w:val="00CB04E5"/>
    <w:rsid w:val="00CB106A"/>
    <w:rsid w:val="00CB13EB"/>
    <w:rsid w:val="00CB1EAD"/>
    <w:rsid w:val="00CB24E8"/>
    <w:rsid w:val="00CB2AA0"/>
    <w:rsid w:val="00CB2C74"/>
    <w:rsid w:val="00CB2CBF"/>
    <w:rsid w:val="00CB35A6"/>
    <w:rsid w:val="00CB4626"/>
    <w:rsid w:val="00CB4D93"/>
    <w:rsid w:val="00CB589B"/>
    <w:rsid w:val="00CB606A"/>
    <w:rsid w:val="00CB628C"/>
    <w:rsid w:val="00CB68D9"/>
    <w:rsid w:val="00CB6B02"/>
    <w:rsid w:val="00CB7265"/>
    <w:rsid w:val="00CB77CB"/>
    <w:rsid w:val="00CC05D8"/>
    <w:rsid w:val="00CC0669"/>
    <w:rsid w:val="00CC072A"/>
    <w:rsid w:val="00CC11C1"/>
    <w:rsid w:val="00CC1F33"/>
    <w:rsid w:val="00CC1F40"/>
    <w:rsid w:val="00CC1FC6"/>
    <w:rsid w:val="00CC21F5"/>
    <w:rsid w:val="00CC2726"/>
    <w:rsid w:val="00CC2D12"/>
    <w:rsid w:val="00CC367D"/>
    <w:rsid w:val="00CC391D"/>
    <w:rsid w:val="00CC3D98"/>
    <w:rsid w:val="00CC3EA4"/>
    <w:rsid w:val="00CC4166"/>
    <w:rsid w:val="00CC4804"/>
    <w:rsid w:val="00CC4C77"/>
    <w:rsid w:val="00CC4D79"/>
    <w:rsid w:val="00CC5453"/>
    <w:rsid w:val="00CC5754"/>
    <w:rsid w:val="00CC587B"/>
    <w:rsid w:val="00CC5B04"/>
    <w:rsid w:val="00CC5CF4"/>
    <w:rsid w:val="00CC6A03"/>
    <w:rsid w:val="00CC739F"/>
    <w:rsid w:val="00CC794E"/>
    <w:rsid w:val="00CC79D4"/>
    <w:rsid w:val="00CC7BF2"/>
    <w:rsid w:val="00CD00E6"/>
    <w:rsid w:val="00CD0189"/>
    <w:rsid w:val="00CD0688"/>
    <w:rsid w:val="00CD1173"/>
    <w:rsid w:val="00CD1BEE"/>
    <w:rsid w:val="00CD1EB7"/>
    <w:rsid w:val="00CD1FC6"/>
    <w:rsid w:val="00CD2415"/>
    <w:rsid w:val="00CD2596"/>
    <w:rsid w:val="00CD29D3"/>
    <w:rsid w:val="00CD2EC8"/>
    <w:rsid w:val="00CD344B"/>
    <w:rsid w:val="00CD3AAF"/>
    <w:rsid w:val="00CD4792"/>
    <w:rsid w:val="00CD4999"/>
    <w:rsid w:val="00CD4A0B"/>
    <w:rsid w:val="00CD4A23"/>
    <w:rsid w:val="00CD4F09"/>
    <w:rsid w:val="00CD5629"/>
    <w:rsid w:val="00CD56F0"/>
    <w:rsid w:val="00CD56F1"/>
    <w:rsid w:val="00CD58C2"/>
    <w:rsid w:val="00CD610E"/>
    <w:rsid w:val="00CD6222"/>
    <w:rsid w:val="00CD636E"/>
    <w:rsid w:val="00CD6E4E"/>
    <w:rsid w:val="00CD7214"/>
    <w:rsid w:val="00CD7942"/>
    <w:rsid w:val="00CD7ADA"/>
    <w:rsid w:val="00CD7B69"/>
    <w:rsid w:val="00CD7D82"/>
    <w:rsid w:val="00CD7EE5"/>
    <w:rsid w:val="00CE01D4"/>
    <w:rsid w:val="00CE0435"/>
    <w:rsid w:val="00CE130C"/>
    <w:rsid w:val="00CE1564"/>
    <w:rsid w:val="00CE1588"/>
    <w:rsid w:val="00CE1A58"/>
    <w:rsid w:val="00CE1B03"/>
    <w:rsid w:val="00CE1B71"/>
    <w:rsid w:val="00CE1D03"/>
    <w:rsid w:val="00CE2277"/>
    <w:rsid w:val="00CE2349"/>
    <w:rsid w:val="00CE26D1"/>
    <w:rsid w:val="00CE326F"/>
    <w:rsid w:val="00CE3297"/>
    <w:rsid w:val="00CE349A"/>
    <w:rsid w:val="00CE3A4A"/>
    <w:rsid w:val="00CE3F50"/>
    <w:rsid w:val="00CE41B7"/>
    <w:rsid w:val="00CE4293"/>
    <w:rsid w:val="00CE4309"/>
    <w:rsid w:val="00CE4926"/>
    <w:rsid w:val="00CE4E00"/>
    <w:rsid w:val="00CE4F61"/>
    <w:rsid w:val="00CE4FD6"/>
    <w:rsid w:val="00CE528D"/>
    <w:rsid w:val="00CE5BF4"/>
    <w:rsid w:val="00CE5D55"/>
    <w:rsid w:val="00CE5DBB"/>
    <w:rsid w:val="00CE5F96"/>
    <w:rsid w:val="00CE6342"/>
    <w:rsid w:val="00CE6487"/>
    <w:rsid w:val="00CE6B06"/>
    <w:rsid w:val="00CE6C8F"/>
    <w:rsid w:val="00CE700E"/>
    <w:rsid w:val="00CE715F"/>
    <w:rsid w:val="00CE793F"/>
    <w:rsid w:val="00CE7A2F"/>
    <w:rsid w:val="00CE7D48"/>
    <w:rsid w:val="00CF02D6"/>
    <w:rsid w:val="00CF043F"/>
    <w:rsid w:val="00CF1067"/>
    <w:rsid w:val="00CF12DF"/>
    <w:rsid w:val="00CF1CCF"/>
    <w:rsid w:val="00CF2272"/>
    <w:rsid w:val="00CF240C"/>
    <w:rsid w:val="00CF277E"/>
    <w:rsid w:val="00CF2BCC"/>
    <w:rsid w:val="00CF2F80"/>
    <w:rsid w:val="00CF3381"/>
    <w:rsid w:val="00CF3608"/>
    <w:rsid w:val="00CF3DD1"/>
    <w:rsid w:val="00CF3F1D"/>
    <w:rsid w:val="00CF4290"/>
    <w:rsid w:val="00CF43DA"/>
    <w:rsid w:val="00CF4A62"/>
    <w:rsid w:val="00CF4BA3"/>
    <w:rsid w:val="00CF507B"/>
    <w:rsid w:val="00CF5141"/>
    <w:rsid w:val="00CF558C"/>
    <w:rsid w:val="00CF558F"/>
    <w:rsid w:val="00CF55A3"/>
    <w:rsid w:val="00CF568F"/>
    <w:rsid w:val="00CF6129"/>
    <w:rsid w:val="00CF63AD"/>
    <w:rsid w:val="00CF64B2"/>
    <w:rsid w:val="00CF67A4"/>
    <w:rsid w:val="00CF6A1A"/>
    <w:rsid w:val="00CF6AA7"/>
    <w:rsid w:val="00CF6B2D"/>
    <w:rsid w:val="00CF6CB5"/>
    <w:rsid w:val="00CF6CFF"/>
    <w:rsid w:val="00CF6DE3"/>
    <w:rsid w:val="00CF7268"/>
    <w:rsid w:val="00CF74B3"/>
    <w:rsid w:val="00CF762B"/>
    <w:rsid w:val="00CF7960"/>
    <w:rsid w:val="00CF7B39"/>
    <w:rsid w:val="00D0016A"/>
    <w:rsid w:val="00D0046D"/>
    <w:rsid w:val="00D0059E"/>
    <w:rsid w:val="00D00D06"/>
    <w:rsid w:val="00D00DA4"/>
    <w:rsid w:val="00D01450"/>
    <w:rsid w:val="00D01701"/>
    <w:rsid w:val="00D01945"/>
    <w:rsid w:val="00D01AFB"/>
    <w:rsid w:val="00D01B88"/>
    <w:rsid w:val="00D0200A"/>
    <w:rsid w:val="00D022B2"/>
    <w:rsid w:val="00D0266B"/>
    <w:rsid w:val="00D02693"/>
    <w:rsid w:val="00D029FE"/>
    <w:rsid w:val="00D02C4D"/>
    <w:rsid w:val="00D02CFD"/>
    <w:rsid w:val="00D02E7B"/>
    <w:rsid w:val="00D03127"/>
    <w:rsid w:val="00D039E8"/>
    <w:rsid w:val="00D05798"/>
    <w:rsid w:val="00D05BF7"/>
    <w:rsid w:val="00D05DFB"/>
    <w:rsid w:val="00D05E77"/>
    <w:rsid w:val="00D0609E"/>
    <w:rsid w:val="00D06746"/>
    <w:rsid w:val="00D06FF7"/>
    <w:rsid w:val="00D0762A"/>
    <w:rsid w:val="00D07FFD"/>
    <w:rsid w:val="00D1036A"/>
    <w:rsid w:val="00D10664"/>
    <w:rsid w:val="00D10E26"/>
    <w:rsid w:val="00D11480"/>
    <w:rsid w:val="00D116B3"/>
    <w:rsid w:val="00D11751"/>
    <w:rsid w:val="00D11C17"/>
    <w:rsid w:val="00D11D2F"/>
    <w:rsid w:val="00D124E1"/>
    <w:rsid w:val="00D12D71"/>
    <w:rsid w:val="00D12D89"/>
    <w:rsid w:val="00D12DD0"/>
    <w:rsid w:val="00D12E89"/>
    <w:rsid w:val="00D13489"/>
    <w:rsid w:val="00D1361C"/>
    <w:rsid w:val="00D1397A"/>
    <w:rsid w:val="00D139A1"/>
    <w:rsid w:val="00D13BAE"/>
    <w:rsid w:val="00D1404A"/>
    <w:rsid w:val="00D14C64"/>
    <w:rsid w:val="00D14D3F"/>
    <w:rsid w:val="00D14DF9"/>
    <w:rsid w:val="00D15197"/>
    <w:rsid w:val="00D15469"/>
    <w:rsid w:val="00D15E76"/>
    <w:rsid w:val="00D15F80"/>
    <w:rsid w:val="00D16632"/>
    <w:rsid w:val="00D201CF"/>
    <w:rsid w:val="00D2051A"/>
    <w:rsid w:val="00D20564"/>
    <w:rsid w:val="00D20838"/>
    <w:rsid w:val="00D20A1B"/>
    <w:rsid w:val="00D20BD7"/>
    <w:rsid w:val="00D20F3F"/>
    <w:rsid w:val="00D214E7"/>
    <w:rsid w:val="00D21620"/>
    <w:rsid w:val="00D21B1E"/>
    <w:rsid w:val="00D21D9E"/>
    <w:rsid w:val="00D21DC8"/>
    <w:rsid w:val="00D22540"/>
    <w:rsid w:val="00D22A84"/>
    <w:rsid w:val="00D22CB5"/>
    <w:rsid w:val="00D2302E"/>
    <w:rsid w:val="00D233E6"/>
    <w:rsid w:val="00D233F0"/>
    <w:rsid w:val="00D23C35"/>
    <w:rsid w:val="00D23C5D"/>
    <w:rsid w:val="00D23CE6"/>
    <w:rsid w:val="00D24236"/>
    <w:rsid w:val="00D25467"/>
    <w:rsid w:val="00D2562B"/>
    <w:rsid w:val="00D261C4"/>
    <w:rsid w:val="00D2676D"/>
    <w:rsid w:val="00D26D2E"/>
    <w:rsid w:val="00D27807"/>
    <w:rsid w:val="00D278B7"/>
    <w:rsid w:val="00D2798E"/>
    <w:rsid w:val="00D27BD3"/>
    <w:rsid w:val="00D27CB6"/>
    <w:rsid w:val="00D31847"/>
    <w:rsid w:val="00D31BFC"/>
    <w:rsid w:val="00D3209B"/>
    <w:rsid w:val="00D323EA"/>
    <w:rsid w:val="00D325DB"/>
    <w:rsid w:val="00D3264E"/>
    <w:rsid w:val="00D329F3"/>
    <w:rsid w:val="00D32B37"/>
    <w:rsid w:val="00D32F08"/>
    <w:rsid w:val="00D32F0A"/>
    <w:rsid w:val="00D331C8"/>
    <w:rsid w:val="00D33706"/>
    <w:rsid w:val="00D343B4"/>
    <w:rsid w:val="00D34403"/>
    <w:rsid w:val="00D34BF1"/>
    <w:rsid w:val="00D35090"/>
    <w:rsid w:val="00D352FB"/>
    <w:rsid w:val="00D35966"/>
    <w:rsid w:val="00D35EDC"/>
    <w:rsid w:val="00D3636A"/>
    <w:rsid w:val="00D36758"/>
    <w:rsid w:val="00D36A66"/>
    <w:rsid w:val="00D36C7C"/>
    <w:rsid w:val="00D36D09"/>
    <w:rsid w:val="00D36F2A"/>
    <w:rsid w:val="00D371A6"/>
    <w:rsid w:val="00D4020C"/>
    <w:rsid w:val="00D40986"/>
    <w:rsid w:val="00D41124"/>
    <w:rsid w:val="00D413C4"/>
    <w:rsid w:val="00D414D5"/>
    <w:rsid w:val="00D41707"/>
    <w:rsid w:val="00D41C19"/>
    <w:rsid w:val="00D41E8A"/>
    <w:rsid w:val="00D420F1"/>
    <w:rsid w:val="00D42557"/>
    <w:rsid w:val="00D42852"/>
    <w:rsid w:val="00D4298F"/>
    <w:rsid w:val="00D42DF3"/>
    <w:rsid w:val="00D42E8D"/>
    <w:rsid w:val="00D4303F"/>
    <w:rsid w:val="00D4330F"/>
    <w:rsid w:val="00D43414"/>
    <w:rsid w:val="00D43A64"/>
    <w:rsid w:val="00D43B19"/>
    <w:rsid w:val="00D43CCF"/>
    <w:rsid w:val="00D440B3"/>
    <w:rsid w:val="00D441D3"/>
    <w:rsid w:val="00D443ED"/>
    <w:rsid w:val="00D44ED3"/>
    <w:rsid w:val="00D44EDE"/>
    <w:rsid w:val="00D4512F"/>
    <w:rsid w:val="00D451CB"/>
    <w:rsid w:val="00D451D8"/>
    <w:rsid w:val="00D4550A"/>
    <w:rsid w:val="00D4566C"/>
    <w:rsid w:val="00D45934"/>
    <w:rsid w:val="00D46B0D"/>
    <w:rsid w:val="00D46C03"/>
    <w:rsid w:val="00D46EC6"/>
    <w:rsid w:val="00D46EF9"/>
    <w:rsid w:val="00D46F6B"/>
    <w:rsid w:val="00D4748B"/>
    <w:rsid w:val="00D4753D"/>
    <w:rsid w:val="00D505A0"/>
    <w:rsid w:val="00D5068B"/>
    <w:rsid w:val="00D5088E"/>
    <w:rsid w:val="00D50893"/>
    <w:rsid w:val="00D517FF"/>
    <w:rsid w:val="00D519E4"/>
    <w:rsid w:val="00D51B1B"/>
    <w:rsid w:val="00D51CE7"/>
    <w:rsid w:val="00D52B17"/>
    <w:rsid w:val="00D53066"/>
    <w:rsid w:val="00D53406"/>
    <w:rsid w:val="00D535FC"/>
    <w:rsid w:val="00D53B17"/>
    <w:rsid w:val="00D544CC"/>
    <w:rsid w:val="00D549C0"/>
    <w:rsid w:val="00D54D29"/>
    <w:rsid w:val="00D54DB3"/>
    <w:rsid w:val="00D54E19"/>
    <w:rsid w:val="00D553E0"/>
    <w:rsid w:val="00D5542B"/>
    <w:rsid w:val="00D5567B"/>
    <w:rsid w:val="00D55797"/>
    <w:rsid w:val="00D557ED"/>
    <w:rsid w:val="00D559DB"/>
    <w:rsid w:val="00D55A7A"/>
    <w:rsid w:val="00D55E31"/>
    <w:rsid w:val="00D56787"/>
    <w:rsid w:val="00D56A15"/>
    <w:rsid w:val="00D56A82"/>
    <w:rsid w:val="00D56D41"/>
    <w:rsid w:val="00D56DDB"/>
    <w:rsid w:val="00D57BC6"/>
    <w:rsid w:val="00D57F6F"/>
    <w:rsid w:val="00D60405"/>
    <w:rsid w:val="00D6072A"/>
    <w:rsid w:val="00D60D09"/>
    <w:rsid w:val="00D60DD0"/>
    <w:rsid w:val="00D60E33"/>
    <w:rsid w:val="00D61196"/>
    <w:rsid w:val="00D61726"/>
    <w:rsid w:val="00D617D7"/>
    <w:rsid w:val="00D61D20"/>
    <w:rsid w:val="00D621B7"/>
    <w:rsid w:val="00D62479"/>
    <w:rsid w:val="00D627CD"/>
    <w:rsid w:val="00D62D5E"/>
    <w:rsid w:val="00D63AC7"/>
    <w:rsid w:val="00D63ACE"/>
    <w:rsid w:val="00D63C07"/>
    <w:rsid w:val="00D63CA4"/>
    <w:rsid w:val="00D64634"/>
    <w:rsid w:val="00D650EF"/>
    <w:rsid w:val="00D658E4"/>
    <w:rsid w:val="00D65E17"/>
    <w:rsid w:val="00D664D6"/>
    <w:rsid w:val="00D6684E"/>
    <w:rsid w:val="00D6790A"/>
    <w:rsid w:val="00D67A80"/>
    <w:rsid w:val="00D70005"/>
    <w:rsid w:val="00D702E1"/>
    <w:rsid w:val="00D7034F"/>
    <w:rsid w:val="00D704F2"/>
    <w:rsid w:val="00D704F8"/>
    <w:rsid w:val="00D705BA"/>
    <w:rsid w:val="00D709AF"/>
    <w:rsid w:val="00D7156E"/>
    <w:rsid w:val="00D7161E"/>
    <w:rsid w:val="00D7162E"/>
    <w:rsid w:val="00D7195D"/>
    <w:rsid w:val="00D71E21"/>
    <w:rsid w:val="00D71FCB"/>
    <w:rsid w:val="00D723AF"/>
    <w:rsid w:val="00D72614"/>
    <w:rsid w:val="00D72897"/>
    <w:rsid w:val="00D72BDD"/>
    <w:rsid w:val="00D72BE2"/>
    <w:rsid w:val="00D72DEA"/>
    <w:rsid w:val="00D732AC"/>
    <w:rsid w:val="00D73B00"/>
    <w:rsid w:val="00D74518"/>
    <w:rsid w:val="00D7580F"/>
    <w:rsid w:val="00D7622A"/>
    <w:rsid w:val="00D7697E"/>
    <w:rsid w:val="00D76A7F"/>
    <w:rsid w:val="00D77443"/>
    <w:rsid w:val="00D77753"/>
    <w:rsid w:val="00D77C71"/>
    <w:rsid w:val="00D77CE8"/>
    <w:rsid w:val="00D80361"/>
    <w:rsid w:val="00D8079A"/>
    <w:rsid w:val="00D80919"/>
    <w:rsid w:val="00D80B7B"/>
    <w:rsid w:val="00D80FFC"/>
    <w:rsid w:val="00D813F1"/>
    <w:rsid w:val="00D81F28"/>
    <w:rsid w:val="00D82A76"/>
    <w:rsid w:val="00D83AF0"/>
    <w:rsid w:val="00D83CBC"/>
    <w:rsid w:val="00D83EC6"/>
    <w:rsid w:val="00D83FB6"/>
    <w:rsid w:val="00D84737"/>
    <w:rsid w:val="00D8487F"/>
    <w:rsid w:val="00D84E57"/>
    <w:rsid w:val="00D85373"/>
    <w:rsid w:val="00D85B2B"/>
    <w:rsid w:val="00D86012"/>
    <w:rsid w:val="00D86425"/>
    <w:rsid w:val="00D86C76"/>
    <w:rsid w:val="00D86E2C"/>
    <w:rsid w:val="00D87012"/>
    <w:rsid w:val="00D87A54"/>
    <w:rsid w:val="00D87CA3"/>
    <w:rsid w:val="00D87E14"/>
    <w:rsid w:val="00D91009"/>
    <w:rsid w:val="00D91090"/>
    <w:rsid w:val="00D910EB"/>
    <w:rsid w:val="00D91499"/>
    <w:rsid w:val="00D91ACA"/>
    <w:rsid w:val="00D91B35"/>
    <w:rsid w:val="00D91B37"/>
    <w:rsid w:val="00D923F4"/>
    <w:rsid w:val="00D92460"/>
    <w:rsid w:val="00D924C1"/>
    <w:rsid w:val="00D92664"/>
    <w:rsid w:val="00D92CC3"/>
    <w:rsid w:val="00D92E35"/>
    <w:rsid w:val="00D93186"/>
    <w:rsid w:val="00D93200"/>
    <w:rsid w:val="00D93238"/>
    <w:rsid w:val="00D93320"/>
    <w:rsid w:val="00D9349B"/>
    <w:rsid w:val="00D937C7"/>
    <w:rsid w:val="00D939F4"/>
    <w:rsid w:val="00D93A49"/>
    <w:rsid w:val="00D93B22"/>
    <w:rsid w:val="00D94059"/>
    <w:rsid w:val="00D94150"/>
    <w:rsid w:val="00D94811"/>
    <w:rsid w:val="00D95A0E"/>
    <w:rsid w:val="00D95C6A"/>
    <w:rsid w:val="00D95D31"/>
    <w:rsid w:val="00D965E1"/>
    <w:rsid w:val="00D96759"/>
    <w:rsid w:val="00D9679F"/>
    <w:rsid w:val="00D971C5"/>
    <w:rsid w:val="00D97383"/>
    <w:rsid w:val="00D977F1"/>
    <w:rsid w:val="00DA027A"/>
    <w:rsid w:val="00DA053D"/>
    <w:rsid w:val="00DA0DDF"/>
    <w:rsid w:val="00DA0DFF"/>
    <w:rsid w:val="00DA1642"/>
    <w:rsid w:val="00DA20F8"/>
    <w:rsid w:val="00DA21D0"/>
    <w:rsid w:val="00DA2437"/>
    <w:rsid w:val="00DA25F1"/>
    <w:rsid w:val="00DA270E"/>
    <w:rsid w:val="00DA2822"/>
    <w:rsid w:val="00DA2ACC"/>
    <w:rsid w:val="00DA2ACD"/>
    <w:rsid w:val="00DA2B18"/>
    <w:rsid w:val="00DA2E47"/>
    <w:rsid w:val="00DA322B"/>
    <w:rsid w:val="00DA34ED"/>
    <w:rsid w:val="00DA3709"/>
    <w:rsid w:val="00DA382C"/>
    <w:rsid w:val="00DA3F85"/>
    <w:rsid w:val="00DA468A"/>
    <w:rsid w:val="00DA54D0"/>
    <w:rsid w:val="00DA58EA"/>
    <w:rsid w:val="00DA5BA6"/>
    <w:rsid w:val="00DA5CC1"/>
    <w:rsid w:val="00DA5CE6"/>
    <w:rsid w:val="00DA5F23"/>
    <w:rsid w:val="00DA5F4A"/>
    <w:rsid w:val="00DA6355"/>
    <w:rsid w:val="00DA6C40"/>
    <w:rsid w:val="00DA70CC"/>
    <w:rsid w:val="00DA72AB"/>
    <w:rsid w:val="00DA7369"/>
    <w:rsid w:val="00DA7926"/>
    <w:rsid w:val="00DA792E"/>
    <w:rsid w:val="00DA7CBA"/>
    <w:rsid w:val="00DB00E1"/>
    <w:rsid w:val="00DB011D"/>
    <w:rsid w:val="00DB058C"/>
    <w:rsid w:val="00DB0845"/>
    <w:rsid w:val="00DB0DE5"/>
    <w:rsid w:val="00DB11AD"/>
    <w:rsid w:val="00DB1447"/>
    <w:rsid w:val="00DB1452"/>
    <w:rsid w:val="00DB1A2A"/>
    <w:rsid w:val="00DB1C76"/>
    <w:rsid w:val="00DB26C9"/>
    <w:rsid w:val="00DB2D8D"/>
    <w:rsid w:val="00DB2F24"/>
    <w:rsid w:val="00DB3500"/>
    <w:rsid w:val="00DB3AF5"/>
    <w:rsid w:val="00DB3F20"/>
    <w:rsid w:val="00DB4237"/>
    <w:rsid w:val="00DB4746"/>
    <w:rsid w:val="00DB4C84"/>
    <w:rsid w:val="00DB4D23"/>
    <w:rsid w:val="00DB54A4"/>
    <w:rsid w:val="00DB59DD"/>
    <w:rsid w:val="00DB5B5A"/>
    <w:rsid w:val="00DB5FAA"/>
    <w:rsid w:val="00DB6336"/>
    <w:rsid w:val="00DB660D"/>
    <w:rsid w:val="00DB66AF"/>
    <w:rsid w:val="00DB67E1"/>
    <w:rsid w:val="00DB6CA5"/>
    <w:rsid w:val="00DB6E1F"/>
    <w:rsid w:val="00DB7650"/>
    <w:rsid w:val="00DC039B"/>
    <w:rsid w:val="00DC0FF0"/>
    <w:rsid w:val="00DC1528"/>
    <w:rsid w:val="00DC1692"/>
    <w:rsid w:val="00DC16F1"/>
    <w:rsid w:val="00DC189D"/>
    <w:rsid w:val="00DC1CEE"/>
    <w:rsid w:val="00DC274F"/>
    <w:rsid w:val="00DC2E3F"/>
    <w:rsid w:val="00DC368E"/>
    <w:rsid w:val="00DC38C2"/>
    <w:rsid w:val="00DC3CE5"/>
    <w:rsid w:val="00DC3EBC"/>
    <w:rsid w:val="00DC3F38"/>
    <w:rsid w:val="00DC49A2"/>
    <w:rsid w:val="00DC4AAD"/>
    <w:rsid w:val="00DC515A"/>
    <w:rsid w:val="00DC5AAC"/>
    <w:rsid w:val="00DC5E1A"/>
    <w:rsid w:val="00DC5ECB"/>
    <w:rsid w:val="00DC6199"/>
    <w:rsid w:val="00DC68C7"/>
    <w:rsid w:val="00DC69BD"/>
    <w:rsid w:val="00DD00A9"/>
    <w:rsid w:val="00DD0214"/>
    <w:rsid w:val="00DD03E0"/>
    <w:rsid w:val="00DD0DCC"/>
    <w:rsid w:val="00DD0ED5"/>
    <w:rsid w:val="00DD0FA7"/>
    <w:rsid w:val="00DD14E8"/>
    <w:rsid w:val="00DD166E"/>
    <w:rsid w:val="00DD23ED"/>
    <w:rsid w:val="00DD2C60"/>
    <w:rsid w:val="00DD2E75"/>
    <w:rsid w:val="00DD2F57"/>
    <w:rsid w:val="00DD3229"/>
    <w:rsid w:val="00DD3491"/>
    <w:rsid w:val="00DD3767"/>
    <w:rsid w:val="00DD382F"/>
    <w:rsid w:val="00DD39CB"/>
    <w:rsid w:val="00DD4248"/>
    <w:rsid w:val="00DD55A0"/>
    <w:rsid w:val="00DD579B"/>
    <w:rsid w:val="00DD60C9"/>
    <w:rsid w:val="00DD6B34"/>
    <w:rsid w:val="00DD6C2C"/>
    <w:rsid w:val="00DD7086"/>
    <w:rsid w:val="00DD79F3"/>
    <w:rsid w:val="00DD7A21"/>
    <w:rsid w:val="00DD7BEC"/>
    <w:rsid w:val="00DD7E49"/>
    <w:rsid w:val="00DE06F9"/>
    <w:rsid w:val="00DE0C18"/>
    <w:rsid w:val="00DE0E68"/>
    <w:rsid w:val="00DE1CD6"/>
    <w:rsid w:val="00DE1F59"/>
    <w:rsid w:val="00DE20F0"/>
    <w:rsid w:val="00DE2324"/>
    <w:rsid w:val="00DE25C0"/>
    <w:rsid w:val="00DE263B"/>
    <w:rsid w:val="00DE28F4"/>
    <w:rsid w:val="00DE314C"/>
    <w:rsid w:val="00DE3522"/>
    <w:rsid w:val="00DE35ED"/>
    <w:rsid w:val="00DE3B03"/>
    <w:rsid w:val="00DE41B7"/>
    <w:rsid w:val="00DE45EC"/>
    <w:rsid w:val="00DE4808"/>
    <w:rsid w:val="00DE4896"/>
    <w:rsid w:val="00DE4973"/>
    <w:rsid w:val="00DE4DC3"/>
    <w:rsid w:val="00DE55F5"/>
    <w:rsid w:val="00DE57CE"/>
    <w:rsid w:val="00DE5827"/>
    <w:rsid w:val="00DE5ABA"/>
    <w:rsid w:val="00DE616C"/>
    <w:rsid w:val="00DE624A"/>
    <w:rsid w:val="00DE6542"/>
    <w:rsid w:val="00DE6863"/>
    <w:rsid w:val="00DE6AFE"/>
    <w:rsid w:val="00DE6B23"/>
    <w:rsid w:val="00DE6D72"/>
    <w:rsid w:val="00DE7170"/>
    <w:rsid w:val="00DE74AD"/>
    <w:rsid w:val="00DE7AB3"/>
    <w:rsid w:val="00DE7FD6"/>
    <w:rsid w:val="00DF001A"/>
    <w:rsid w:val="00DF01D1"/>
    <w:rsid w:val="00DF0AB9"/>
    <w:rsid w:val="00DF0B82"/>
    <w:rsid w:val="00DF1861"/>
    <w:rsid w:val="00DF1900"/>
    <w:rsid w:val="00DF1F1B"/>
    <w:rsid w:val="00DF20E1"/>
    <w:rsid w:val="00DF21D2"/>
    <w:rsid w:val="00DF2375"/>
    <w:rsid w:val="00DF28C1"/>
    <w:rsid w:val="00DF2A48"/>
    <w:rsid w:val="00DF34DC"/>
    <w:rsid w:val="00DF3686"/>
    <w:rsid w:val="00DF3AC7"/>
    <w:rsid w:val="00DF4371"/>
    <w:rsid w:val="00DF443A"/>
    <w:rsid w:val="00DF5052"/>
    <w:rsid w:val="00DF524B"/>
    <w:rsid w:val="00DF5681"/>
    <w:rsid w:val="00DF62F5"/>
    <w:rsid w:val="00DF644F"/>
    <w:rsid w:val="00DF6BD5"/>
    <w:rsid w:val="00DF7181"/>
    <w:rsid w:val="00DF758F"/>
    <w:rsid w:val="00DF7941"/>
    <w:rsid w:val="00DF7CC1"/>
    <w:rsid w:val="00DF7CD6"/>
    <w:rsid w:val="00E00072"/>
    <w:rsid w:val="00E00604"/>
    <w:rsid w:val="00E007DF"/>
    <w:rsid w:val="00E0097E"/>
    <w:rsid w:val="00E00D18"/>
    <w:rsid w:val="00E01156"/>
    <w:rsid w:val="00E016CD"/>
    <w:rsid w:val="00E019B6"/>
    <w:rsid w:val="00E01B33"/>
    <w:rsid w:val="00E01C96"/>
    <w:rsid w:val="00E01EB2"/>
    <w:rsid w:val="00E01F75"/>
    <w:rsid w:val="00E02054"/>
    <w:rsid w:val="00E0257A"/>
    <w:rsid w:val="00E02642"/>
    <w:rsid w:val="00E02711"/>
    <w:rsid w:val="00E02B54"/>
    <w:rsid w:val="00E02E4A"/>
    <w:rsid w:val="00E0339A"/>
    <w:rsid w:val="00E040EF"/>
    <w:rsid w:val="00E0431E"/>
    <w:rsid w:val="00E04645"/>
    <w:rsid w:val="00E04B7D"/>
    <w:rsid w:val="00E04F2A"/>
    <w:rsid w:val="00E05159"/>
    <w:rsid w:val="00E05901"/>
    <w:rsid w:val="00E05EF3"/>
    <w:rsid w:val="00E0600C"/>
    <w:rsid w:val="00E0602C"/>
    <w:rsid w:val="00E06B53"/>
    <w:rsid w:val="00E06F11"/>
    <w:rsid w:val="00E072F4"/>
    <w:rsid w:val="00E07707"/>
    <w:rsid w:val="00E0782D"/>
    <w:rsid w:val="00E1050C"/>
    <w:rsid w:val="00E107B7"/>
    <w:rsid w:val="00E10C15"/>
    <w:rsid w:val="00E10D2E"/>
    <w:rsid w:val="00E11336"/>
    <w:rsid w:val="00E1143C"/>
    <w:rsid w:val="00E11A61"/>
    <w:rsid w:val="00E12036"/>
    <w:rsid w:val="00E14128"/>
    <w:rsid w:val="00E14187"/>
    <w:rsid w:val="00E145E4"/>
    <w:rsid w:val="00E14B86"/>
    <w:rsid w:val="00E14D5A"/>
    <w:rsid w:val="00E15418"/>
    <w:rsid w:val="00E15A6C"/>
    <w:rsid w:val="00E15B2F"/>
    <w:rsid w:val="00E15CC8"/>
    <w:rsid w:val="00E15D7F"/>
    <w:rsid w:val="00E15E44"/>
    <w:rsid w:val="00E160E1"/>
    <w:rsid w:val="00E16292"/>
    <w:rsid w:val="00E16752"/>
    <w:rsid w:val="00E16AC9"/>
    <w:rsid w:val="00E16BE8"/>
    <w:rsid w:val="00E170A0"/>
    <w:rsid w:val="00E17379"/>
    <w:rsid w:val="00E1747F"/>
    <w:rsid w:val="00E1775A"/>
    <w:rsid w:val="00E17A9C"/>
    <w:rsid w:val="00E17E4C"/>
    <w:rsid w:val="00E20AF0"/>
    <w:rsid w:val="00E20C73"/>
    <w:rsid w:val="00E2144F"/>
    <w:rsid w:val="00E214CD"/>
    <w:rsid w:val="00E2164E"/>
    <w:rsid w:val="00E21719"/>
    <w:rsid w:val="00E21A04"/>
    <w:rsid w:val="00E21BBE"/>
    <w:rsid w:val="00E21FB4"/>
    <w:rsid w:val="00E22594"/>
    <w:rsid w:val="00E229B1"/>
    <w:rsid w:val="00E22F6C"/>
    <w:rsid w:val="00E22FF5"/>
    <w:rsid w:val="00E233C0"/>
    <w:rsid w:val="00E233C9"/>
    <w:rsid w:val="00E23B1C"/>
    <w:rsid w:val="00E23CA9"/>
    <w:rsid w:val="00E23E06"/>
    <w:rsid w:val="00E2408F"/>
    <w:rsid w:val="00E248C3"/>
    <w:rsid w:val="00E24C93"/>
    <w:rsid w:val="00E25320"/>
    <w:rsid w:val="00E25359"/>
    <w:rsid w:val="00E261F7"/>
    <w:rsid w:val="00E266C4"/>
    <w:rsid w:val="00E268D4"/>
    <w:rsid w:val="00E271D5"/>
    <w:rsid w:val="00E274BE"/>
    <w:rsid w:val="00E274D6"/>
    <w:rsid w:val="00E27B36"/>
    <w:rsid w:val="00E27B42"/>
    <w:rsid w:val="00E27B50"/>
    <w:rsid w:val="00E27C5B"/>
    <w:rsid w:val="00E27D68"/>
    <w:rsid w:val="00E3007A"/>
    <w:rsid w:val="00E3034F"/>
    <w:rsid w:val="00E303CE"/>
    <w:rsid w:val="00E307C6"/>
    <w:rsid w:val="00E307D6"/>
    <w:rsid w:val="00E30DDA"/>
    <w:rsid w:val="00E310A5"/>
    <w:rsid w:val="00E3112B"/>
    <w:rsid w:val="00E3198B"/>
    <w:rsid w:val="00E322CA"/>
    <w:rsid w:val="00E32B37"/>
    <w:rsid w:val="00E32E26"/>
    <w:rsid w:val="00E334C9"/>
    <w:rsid w:val="00E33A53"/>
    <w:rsid w:val="00E344B0"/>
    <w:rsid w:val="00E3490F"/>
    <w:rsid w:val="00E3496E"/>
    <w:rsid w:val="00E34EB1"/>
    <w:rsid w:val="00E35408"/>
    <w:rsid w:val="00E35674"/>
    <w:rsid w:val="00E35726"/>
    <w:rsid w:val="00E35AB1"/>
    <w:rsid w:val="00E35B90"/>
    <w:rsid w:val="00E36D5A"/>
    <w:rsid w:val="00E36FC9"/>
    <w:rsid w:val="00E37743"/>
    <w:rsid w:val="00E4097A"/>
    <w:rsid w:val="00E41236"/>
    <w:rsid w:val="00E4123D"/>
    <w:rsid w:val="00E41E03"/>
    <w:rsid w:val="00E42199"/>
    <w:rsid w:val="00E4224D"/>
    <w:rsid w:val="00E43D1C"/>
    <w:rsid w:val="00E43F79"/>
    <w:rsid w:val="00E44604"/>
    <w:rsid w:val="00E446BA"/>
    <w:rsid w:val="00E44E49"/>
    <w:rsid w:val="00E44F2C"/>
    <w:rsid w:val="00E45283"/>
    <w:rsid w:val="00E45F14"/>
    <w:rsid w:val="00E45FCE"/>
    <w:rsid w:val="00E461F1"/>
    <w:rsid w:val="00E4624A"/>
    <w:rsid w:val="00E46774"/>
    <w:rsid w:val="00E46B21"/>
    <w:rsid w:val="00E4703E"/>
    <w:rsid w:val="00E4728D"/>
    <w:rsid w:val="00E472F4"/>
    <w:rsid w:val="00E478F5"/>
    <w:rsid w:val="00E47B68"/>
    <w:rsid w:val="00E47CE6"/>
    <w:rsid w:val="00E504A9"/>
    <w:rsid w:val="00E50A81"/>
    <w:rsid w:val="00E50BB4"/>
    <w:rsid w:val="00E5137A"/>
    <w:rsid w:val="00E5166C"/>
    <w:rsid w:val="00E51954"/>
    <w:rsid w:val="00E51AC1"/>
    <w:rsid w:val="00E51EBC"/>
    <w:rsid w:val="00E52379"/>
    <w:rsid w:val="00E523B3"/>
    <w:rsid w:val="00E5249D"/>
    <w:rsid w:val="00E525D6"/>
    <w:rsid w:val="00E526A3"/>
    <w:rsid w:val="00E52721"/>
    <w:rsid w:val="00E52E8B"/>
    <w:rsid w:val="00E534B7"/>
    <w:rsid w:val="00E53776"/>
    <w:rsid w:val="00E53BD4"/>
    <w:rsid w:val="00E54473"/>
    <w:rsid w:val="00E545E5"/>
    <w:rsid w:val="00E55111"/>
    <w:rsid w:val="00E55430"/>
    <w:rsid w:val="00E554B2"/>
    <w:rsid w:val="00E55764"/>
    <w:rsid w:val="00E55BE4"/>
    <w:rsid w:val="00E561E0"/>
    <w:rsid w:val="00E56226"/>
    <w:rsid w:val="00E56395"/>
    <w:rsid w:val="00E56396"/>
    <w:rsid w:val="00E56498"/>
    <w:rsid w:val="00E56E14"/>
    <w:rsid w:val="00E606A6"/>
    <w:rsid w:val="00E60894"/>
    <w:rsid w:val="00E609A4"/>
    <w:rsid w:val="00E60B0A"/>
    <w:rsid w:val="00E61070"/>
    <w:rsid w:val="00E612E4"/>
    <w:rsid w:val="00E6139D"/>
    <w:rsid w:val="00E619FE"/>
    <w:rsid w:val="00E61BAD"/>
    <w:rsid w:val="00E61D33"/>
    <w:rsid w:val="00E62AF1"/>
    <w:rsid w:val="00E630A4"/>
    <w:rsid w:val="00E636FC"/>
    <w:rsid w:val="00E6401C"/>
    <w:rsid w:val="00E640B1"/>
    <w:rsid w:val="00E64A2B"/>
    <w:rsid w:val="00E64D7B"/>
    <w:rsid w:val="00E64F8C"/>
    <w:rsid w:val="00E651B6"/>
    <w:rsid w:val="00E65272"/>
    <w:rsid w:val="00E653A1"/>
    <w:rsid w:val="00E6571A"/>
    <w:rsid w:val="00E6584F"/>
    <w:rsid w:val="00E6592C"/>
    <w:rsid w:val="00E65A90"/>
    <w:rsid w:val="00E65BFE"/>
    <w:rsid w:val="00E65F6A"/>
    <w:rsid w:val="00E6664B"/>
    <w:rsid w:val="00E66A45"/>
    <w:rsid w:val="00E671CA"/>
    <w:rsid w:val="00E676DC"/>
    <w:rsid w:val="00E678B5"/>
    <w:rsid w:val="00E67EC9"/>
    <w:rsid w:val="00E70155"/>
    <w:rsid w:val="00E70389"/>
    <w:rsid w:val="00E70867"/>
    <w:rsid w:val="00E7095A"/>
    <w:rsid w:val="00E70B1B"/>
    <w:rsid w:val="00E70D19"/>
    <w:rsid w:val="00E710D7"/>
    <w:rsid w:val="00E7116D"/>
    <w:rsid w:val="00E71267"/>
    <w:rsid w:val="00E71295"/>
    <w:rsid w:val="00E71560"/>
    <w:rsid w:val="00E71B31"/>
    <w:rsid w:val="00E71F48"/>
    <w:rsid w:val="00E726FB"/>
    <w:rsid w:val="00E72E3B"/>
    <w:rsid w:val="00E733E9"/>
    <w:rsid w:val="00E738F7"/>
    <w:rsid w:val="00E7390D"/>
    <w:rsid w:val="00E73CB1"/>
    <w:rsid w:val="00E7414E"/>
    <w:rsid w:val="00E742A2"/>
    <w:rsid w:val="00E74414"/>
    <w:rsid w:val="00E7508D"/>
    <w:rsid w:val="00E75390"/>
    <w:rsid w:val="00E75796"/>
    <w:rsid w:val="00E75FD2"/>
    <w:rsid w:val="00E76D59"/>
    <w:rsid w:val="00E77171"/>
    <w:rsid w:val="00E77C27"/>
    <w:rsid w:val="00E77F70"/>
    <w:rsid w:val="00E801B8"/>
    <w:rsid w:val="00E80458"/>
    <w:rsid w:val="00E80C31"/>
    <w:rsid w:val="00E80C39"/>
    <w:rsid w:val="00E80EDC"/>
    <w:rsid w:val="00E81E6E"/>
    <w:rsid w:val="00E82250"/>
    <w:rsid w:val="00E8234C"/>
    <w:rsid w:val="00E82729"/>
    <w:rsid w:val="00E82CA0"/>
    <w:rsid w:val="00E8303F"/>
    <w:rsid w:val="00E84183"/>
    <w:rsid w:val="00E84637"/>
    <w:rsid w:val="00E84AB7"/>
    <w:rsid w:val="00E85863"/>
    <w:rsid w:val="00E858D4"/>
    <w:rsid w:val="00E85B9C"/>
    <w:rsid w:val="00E85D2D"/>
    <w:rsid w:val="00E85E95"/>
    <w:rsid w:val="00E85FF8"/>
    <w:rsid w:val="00E863BC"/>
    <w:rsid w:val="00E865C7"/>
    <w:rsid w:val="00E866A7"/>
    <w:rsid w:val="00E86905"/>
    <w:rsid w:val="00E86D30"/>
    <w:rsid w:val="00E8727E"/>
    <w:rsid w:val="00E87556"/>
    <w:rsid w:val="00E87673"/>
    <w:rsid w:val="00E879E3"/>
    <w:rsid w:val="00E87D6E"/>
    <w:rsid w:val="00E90287"/>
    <w:rsid w:val="00E9190A"/>
    <w:rsid w:val="00E91AF6"/>
    <w:rsid w:val="00E91F95"/>
    <w:rsid w:val="00E9274E"/>
    <w:rsid w:val="00E92A14"/>
    <w:rsid w:val="00E92D28"/>
    <w:rsid w:val="00E93056"/>
    <w:rsid w:val="00E93475"/>
    <w:rsid w:val="00E936E0"/>
    <w:rsid w:val="00E93B1A"/>
    <w:rsid w:val="00E93E4D"/>
    <w:rsid w:val="00E941E5"/>
    <w:rsid w:val="00E94200"/>
    <w:rsid w:val="00E94BD4"/>
    <w:rsid w:val="00E94C84"/>
    <w:rsid w:val="00E952BD"/>
    <w:rsid w:val="00E95978"/>
    <w:rsid w:val="00E959FC"/>
    <w:rsid w:val="00E95EF4"/>
    <w:rsid w:val="00E9628E"/>
    <w:rsid w:val="00E9643D"/>
    <w:rsid w:val="00E967D1"/>
    <w:rsid w:val="00E96956"/>
    <w:rsid w:val="00E97418"/>
    <w:rsid w:val="00E978A7"/>
    <w:rsid w:val="00E97EAF"/>
    <w:rsid w:val="00E97F57"/>
    <w:rsid w:val="00EA06CC"/>
    <w:rsid w:val="00EA08A4"/>
    <w:rsid w:val="00EA09F8"/>
    <w:rsid w:val="00EA10B5"/>
    <w:rsid w:val="00EA14DB"/>
    <w:rsid w:val="00EA1CFA"/>
    <w:rsid w:val="00EA27CF"/>
    <w:rsid w:val="00EA2A1E"/>
    <w:rsid w:val="00EA2BD5"/>
    <w:rsid w:val="00EA2C7B"/>
    <w:rsid w:val="00EA2EA1"/>
    <w:rsid w:val="00EA38DA"/>
    <w:rsid w:val="00EA3F7A"/>
    <w:rsid w:val="00EA40F0"/>
    <w:rsid w:val="00EA4174"/>
    <w:rsid w:val="00EA4343"/>
    <w:rsid w:val="00EA52E2"/>
    <w:rsid w:val="00EA533D"/>
    <w:rsid w:val="00EA55D9"/>
    <w:rsid w:val="00EA5A8D"/>
    <w:rsid w:val="00EA6802"/>
    <w:rsid w:val="00EA6A55"/>
    <w:rsid w:val="00EA6BF2"/>
    <w:rsid w:val="00EA72FC"/>
    <w:rsid w:val="00EA7464"/>
    <w:rsid w:val="00EA7ADC"/>
    <w:rsid w:val="00EA7E18"/>
    <w:rsid w:val="00EA7F38"/>
    <w:rsid w:val="00EB02AF"/>
    <w:rsid w:val="00EB0671"/>
    <w:rsid w:val="00EB0763"/>
    <w:rsid w:val="00EB0B65"/>
    <w:rsid w:val="00EB0BC7"/>
    <w:rsid w:val="00EB1564"/>
    <w:rsid w:val="00EB1A20"/>
    <w:rsid w:val="00EB1E7C"/>
    <w:rsid w:val="00EB1EA2"/>
    <w:rsid w:val="00EB20EE"/>
    <w:rsid w:val="00EB2D64"/>
    <w:rsid w:val="00EB3005"/>
    <w:rsid w:val="00EB31E0"/>
    <w:rsid w:val="00EB39BA"/>
    <w:rsid w:val="00EB3E6F"/>
    <w:rsid w:val="00EB3EC7"/>
    <w:rsid w:val="00EB47FA"/>
    <w:rsid w:val="00EB4AB6"/>
    <w:rsid w:val="00EB5AFC"/>
    <w:rsid w:val="00EB61DA"/>
    <w:rsid w:val="00EB629B"/>
    <w:rsid w:val="00EB6CB1"/>
    <w:rsid w:val="00EB71DF"/>
    <w:rsid w:val="00EB761B"/>
    <w:rsid w:val="00EB7779"/>
    <w:rsid w:val="00EB7A2B"/>
    <w:rsid w:val="00EB7D44"/>
    <w:rsid w:val="00EC027B"/>
    <w:rsid w:val="00EC0516"/>
    <w:rsid w:val="00EC0CA7"/>
    <w:rsid w:val="00EC0E74"/>
    <w:rsid w:val="00EC12F3"/>
    <w:rsid w:val="00EC144E"/>
    <w:rsid w:val="00EC1B17"/>
    <w:rsid w:val="00EC1FF8"/>
    <w:rsid w:val="00EC2A2E"/>
    <w:rsid w:val="00EC2D61"/>
    <w:rsid w:val="00EC379C"/>
    <w:rsid w:val="00EC38A3"/>
    <w:rsid w:val="00EC3A23"/>
    <w:rsid w:val="00EC3A89"/>
    <w:rsid w:val="00EC3AC5"/>
    <w:rsid w:val="00EC3CFB"/>
    <w:rsid w:val="00EC3DF8"/>
    <w:rsid w:val="00EC42F7"/>
    <w:rsid w:val="00EC437F"/>
    <w:rsid w:val="00EC4C89"/>
    <w:rsid w:val="00EC4E23"/>
    <w:rsid w:val="00EC55D9"/>
    <w:rsid w:val="00EC55F4"/>
    <w:rsid w:val="00EC637E"/>
    <w:rsid w:val="00EC64CF"/>
    <w:rsid w:val="00EC65EC"/>
    <w:rsid w:val="00EC6780"/>
    <w:rsid w:val="00EC6AB8"/>
    <w:rsid w:val="00EC6DDC"/>
    <w:rsid w:val="00EC7217"/>
    <w:rsid w:val="00EC7471"/>
    <w:rsid w:val="00EC760F"/>
    <w:rsid w:val="00EC766B"/>
    <w:rsid w:val="00ED043E"/>
    <w:rsid w:val="00ED0474"/>
    <w:rsid w:val="00ED04FE"/>
    <w:rsid w:val="00ED0560"/>
    <w:rsid w:val="00ED059E"/>
    <w:rsid w:val="00ED0ABB"/>
    <w:rsid w:val="00ED0B9C"/>
    <w:rsid w:val="00ED13D5"/>
    <w:rsid w:val="00ED1B8B"/>
    <w:rsid w:val="00ED31F6"/>
    <w:rsid w:val="00ED370C"/>
    <w:rsid w:val="00ED4113"/>
    <w:rsid w:val="00ED4247"/>
    <w:rsid w:val="00ED43FE"/>
    <w:rsid w:val="00ED440D"/>
    <w:rsid w:val="00ED457C"/>
    <w:rsid w:val="00ED4A93"/>
    <w:rsid w:val="00ED4BD4"/>
    <w:rsid w:val="00ED51B6"/>
    <w:rsid w:val="00ED53A3"/>
    <w:rsid w:val="00ED5A35"/>
    <w:rsid w:val="00ED5D1F"/>
    <w:rsid w:val="00ED5D8D"/>
    <w:rsid w:val="00ED6356"/>
    <w:rsid w:val="00ED65FB"/>
    <w:rsid w:val="00ED6DC4"/>
    <w:rsid w:val="00ED6FA7"/>
    <w:rsid w:val="00ED738B"/>
    <w:rsid w:val="00ED73E5"/>
    <w:rsid w:val="00ED7693"/>
    <w:rsid w:val="00ED77BD"/>
    <w:rsid w:val="00ED77F2"/>
    <w:rsid w:val="00ED793D"/>
    <w:rsid w:val="00ED7FCA"/>
    <w:rsid w:val="00EE00AF"/>
    <w:rsid w:val="00EE04E9"/>
    <w:rsid w:val="00EE0AE5"/>
    <w:rsid w:val="00EE0B9E"/>
    <w:rsid w:val="00EE0E17"/>
    <w:rsid w:val="00EE1177"/>
    <w:rsid w:val="00EE169D"/>
    <w:rsid w:val="00EE21D3"/>
    <w:rsid w:val="00EE2887"/>
    <w:rsid w:val="00EE2AFB"/>
    <w:rsid w:val="00EE2D59"/>
    <w:rsid w:val="00EE3758"/>
    <w:rsid w:val="00EE4572"/>
    <w:rsid w:val="00EE5012"/>
    <w:rsid w:val="00EE716C"/>
    <w:rsid w:val="00EE72EF"/>
    <w:rsid w:val="00EE76B3"/>
    <w:rsid w:val="00EE7CA4"/>
    <w:rsid w:val="00EF0162"/>
    <w:rsid w:val="00EF0686"/>
    <w:rsid w:val="00EF072F"/>
    <w:rsid w:val="00EF0991"/>
    <w:rsid w:val="00EF0A46"/>
    <w:rsid w:val="00EF0C73"/>
    <w:rsid w:val="00EF1808"/>
    <w:rsid w:val="00EF1924"/>
    <w:rsid w:val="00EF1A1E"/>
    <w:rsid w:val="00EF1A65"/>
    <w:rsid w:val="00EF2945"/>
    <w:rsid w:val="00EF2BA0"/>
    <w:rsid w:val="00EF2C1A"/>
    <w:rsid w:val="00EF3684"/>
    <w:rsid w:val="00EF38D3"/>
    <w:rsid w:val="00EF3C37"/>
    <w:rsid w:val="00EF3CF8"/>
    <w:rsid w:val="00EF401A"/>
    <w:rsid w:val="00EF43DD"/>
    <w:rsid w:val="00EF470C"/>
    <w:rsid w:val="00EF4AB0"/>
    <w:rsid w:val="00EF4ABA"/>
    <w:rsid w:val="00EF5190"/>
    <w:rsid w:val="00EF55DF"/>
    <w:rsid w:val="00EF60DF"/>
    <w:rsid w:val="00EF658C"/>
    <w:rsid w:val="00EF6959"/>
    <w:rsid w:val="00EF7890"/>
    <w:rsid w:val="00EF797E"/>
    <w:rsid w:val="00EF7AC4"/>
    <w:rsid w:val="00EF7B2E"/>
    <w:rsid w:val="00EF7C08"/>
    <w:rsid w:val="00EF7F07"/>
    <w:rsid w:val="00F00315"/>
    <w:rsid w:val="00F00737"/>
    <w:rsid w:val="00F00918"/>
    <w:rsid w:val="00F00C3E"/>
    <w:rsid w:val="00F00E9B"/>
    <w:rsid w:val="00F01AFA"/>
    <w:rsid w:val="00F01B02"/>
    <w:rsid w:val="00F01D32"/>
    <w:rsid w:val="00F01E84"/>
    <w:rsid w:val="00F025D8"/>
    <w:rsid w:val="00F02ABE"/>
    <w:rsid w:val="00F02EE0"/>
    <w:rsid w:val="00F03080"/>
    <w:rsid w:val="00F05F96"/>
    <w:rsid w:val="00F0607A"/>
    <w:rsid w:val="00F06082"/>
    <w:rsid w:val="00F063F6"/>
    <w:rsid w:val="00F0651B"/>
    <w:rsid w:val="00F0657B"/>
    <w:rsid w:val="00F06812"/>
    <w:rsid w:val="00F073ED"/>
    <w:rsid w:val="00F073FD"/>
    <w:rsid w:val="00F077DA"/>
    <w:rsid w:val="00F07BA2"/>
    <w:rsid w:val="00F07E70"/>
    <w:rsid w:val="00F07FBD"/>
    <w:rsid w:val="00F106BB"/>
    <w:rsid w:val="00F10A10"/>
    <w:rsid w:val="00F11254"/>
    <w:rsid w:val="00F1182E"/>
    <w:rsid w:val="00F12956"/>
    <w:rsid w:val="00F12A83"/>
    <w:rsid w:val="00F12B47"/>
    <w:rsid w:val="00F12F94"/>
    <w:rsid w:val="00F13075"/>
    <w:rsid w:val="00F13632"/>
    <w:rsid w:val="00F13C1F"/>
    <w:rsid w:val="00F15225"/>
    <w:rsid w:val="00F157B7"/>
    <w:rsid w:val="00F16568"/>
    <w:rsid w:val="00F167D1"/>
    <w:rsid w:val="00F169B7"/>
    <w:rsid w:val="00F16BB4"/>
    <w:rsid w:val="00F16EF3"/>
    <w:rsid w:val="00F170FC"/>
    <w:rsid w:val="00F174B3"/>
    <w:rsid w:val="00F17718"/>
    <w:rsid w:val="00F17813"/>
    <w:rsid w:val="00F178A0"/>
    <w:rsid w:val="00F178A4"/>
    <w:rsid w:val="00F179E2"/>
    <w:rsid w:val="00F17BF6"/>
    <w:rsid w:val="00F17FBE"/>
    <w:rsid w:val="00F200A7"/>
    <w:rsid w:val="00F20603"/>
    <w:rsid w:val="00F2061A"/>
    <w:rsid w:val="00F20701"/>
    <w:rsid w:val="00F20702"/>
    <w:rsid w:val="00F209AD"/>
    <w:rsid w:val="00F20C94"/>
    <w:rsid w:val="00F20CA8"/>
    <w:rsid w:val="00F20E44"/>
    <w:rsid w:val="00F21298"/>
    <w:rsid w:val="00F2137B"/>
    <w:rsid w:val="00F214BB"/>
    <w:rsid w:val="00F2210C"/>
    <w:rsid w:val="00F22EB2"/>
    <w:rsid w:val="00F2302D"/>
    <w:rsid w:val="00F232F6"/>
    <w:rsid w:val="00F233FE"/>
    <w:rsid w:val="00F23914"/>
    <w:rsid w:val="00F23C1E"/>
    <w:rsid w:val="00F23D2A"/>
    <w:rsid w:val="00F23FEB"/>
    <w:rsid w:val="00F24000"/>
    <w:rsid w:val="00F24448"/>
    <w:rsid w:val="00F244AD"/>
    <w:rsid w:val="00F24AF8"/>
    <w:rsid w:val="00F24E30"/>
    <w:rsid w:val="00F24E34"/>
    <w:rsid w:val="00F2537D"/>
    <w:rsid w:val="00F2538D"/>
    <w:rsid w:val="00F25FB0"/>
    <w:rsid w:val="00F26382"/>
    <w:rsid w:val="00F263C6"/>
    <w:rsid w:val="00F2684E"/>
    <w:rsid w:val="00F26CCF"/>
    <w:rsid w:val="00F30060"/>
    <w:rsid w:val="00F3009F"/>
    <w:rsid w:val="00F30387"/>
    <w:rsid w:val="00F305B6"/>
    <w:rsid w:val="00F30AFC"/>
    <w:rsid w:val="00F314A2"/>
    <w:rsid w:val="00F31915"/>
    <w:rsid w:val="00F31A44"/>
    <w:rsid w:val="00F31C22"/>
    <w:rsid w:val="00F31FC3"/>
    <w:rsid w:val="00F3248D"/>
    <w:rsid w:val="00F32D54"/>
    <w:rsid w:val="00F33238"/>
    <w:rsid w:val="00F333C8"/>
    <w:rsid w:val="00F33A8F"/>
    <w:rsid w:val="00F33B2B"/>
    <w:rsid w:val="00F33EBE"/>
    <w:rsid w:val="00F34DF6"/>
    <w:rsid w:val="00F34E69"/>
    <w:rsid w:val="00F34E88"/>
    <w:rsid w:val="00F3501C"/>
    <w:rsid w:val="00F356C5"/>
    <w:rsid w:val="00F3627D"/>
    <w:rsid w:val="00F365F1"/>
    <w:rsid w:val="00F36701"/>
    <w:rsid w:val="00F369AE"/>
    <w:rsid w:val="00F36B67"/>
    <w:rsid w:val="00F3797C"/>
    <w:rsid w:val="00F37D22"/>
    <w:rsid w:val="00F410A3"/>
    <w:rsid w:val="00F41283"/>
    <w:rsid w:val="00F4177B"/>
    <w:rsid w:val="00F4184E"/>
    <w:rsid w:val="00F4237E"/>
    <w:rsid w:val="00F42444"/>
    <w:rsid w:val="00F431E0"/>
    <w:rsid w:val="00F431E3"/>
    <w:rsid w:val="00F4333F"/>
    <w:rsid w:val="00F4361E"/>
    <w:rsid w:val="00F43665"/>
    <w:rsid w:val="00F43876"/>
    <w:rsid w:val="00F43E16"/>
    <w:rsid w:val="00F43E3E"/>
    <w:rsid w:val="00F44028"/>
    <w:rsid w:val="00F444E2"/>
    <w:rsid w:val="00F445EB"/>
    <w:rsid w:val="00F44837"/>
    <w:rsid w:val="00F44B52"/>
    <w:rsid w:val="00F45773"/>
    <w:rsid w:val="00F459F1"/>
    <w:rsid w:val="00F4638A"/>
    <w:rsid w:val="00F46689"/>
    <w:rsid w:val="00F46D58"/>
    <w:rsid w:val="00F46F8F"/>
    <w:rsid w:val="00F46FB3"/>
    <w:rsid w:val="00F477D2"/>
    <w:rsid w:val="00F47D19"/>
    <w:rsid w:val="00F50195"/>
    <w:rsid w:val="00F503B3"/>
    <w:rsid w:val="00F5082B"/>
    <w:rsid w:val="00F5090A"/>
    <w:rsid w:val="00F50976"/>
    <w:rsid w:val="00F50992"/>
    <w:rsid w:val="00F50D92"/>
    <w:rsid w:val="00F50F4A"/>
    <w:rsid w:val="00F51143"/>
    <w:rsid w:val="00F512BB"/>
    <w:rsid w:val="00F5133E"/>
    <w:rsid w:val="00F51A62"/>
    <w:rsid w:val="00F51E0D"/>
    <w:rsid w:val="00F52C98"/>
    <w:rsid w:val="00F53134"/>
    <w:rsid w:val="00F5333F"/>
    <w:rsid w:val="00F5347E"/>
    <w:rsid w:val="00F534D7"/>
    <w:rsid w:val="00F53E66"/>
    <w:rsid w:val="00F54258"/>
    <w:rsid w:val="00F54433"/>
    <w:rsid w:val="00F5487E"/>
    <w:rsid w:val="00F54AE6"/>
    <w:rsid w:val="00F54AFF"/>
    <w:rsid w:val="00F54C59"/>
    <w:rsid w:val="00F54E9D"/>
    <w:rsid w:val="00F552CF"/>
    <w:rsid w:val="00F558B5"/>
    <w:rsid w:val="00F55A5C"/>
    <w:rsid w:val="00F56026"/>
    <w:rsid w:val="00F56678"/>
    <w:rsid w:val="00F56D02"/>
    <w:rsid w:val="00F5722E"/>
    <w:rsid w:val="00F5796C"/>
    <w:rsid w:val="00F57A33"/>
    <w:rsid w:val="00F60552"/>
    <w:rsid w:val="00F60639"/>
    <w:rsid w:val="00F616E3"/>
    <w:rsid w:val="00F61AD4"/>
    <w:rsid w:val="00F61E07"/>
    <w:rsid w:val="00F61EC4"/>
    <w:rsid w:val="00F625FD"/>
    <w:rsid w:val="00F63211"/>
    <w:rsid w:val="00F636C9"/>
    <w:rsid w:val="00F63AC2"/>
    <w:rsid w:val="00F63B53"/>
    <w:rsid w:val="00F64163"/>
    <w:rsid w:val="00F647B3"/>
    <w:rsid w:val="00F6502B"/>
    <w:rsid w:val="00F654F1"/>
    <w:rsid w:val="00F659F0"/>
    <w:rsid w:val="00F66321"/>
    <w:rsid w:val="00F66AD1"/>
    <w:rsid w:val="00F66BAC"/>
    <w:rsid w:val="00F66CD1"/>
    <w:rsid w:val="00F6715A"/>
    <w:rsid w:val="00F6764A"/>
    <w:rsid w:val="00F67748"/>
    <w:rsid w:val="00F67A4B"/>
    <w:rsid w:val="00F67F9A"/>
    <w:rsid w:val="00F702D9"/>
    <w:rsid w:val="00F703CD"/>
    <w:rsid w:val="00F70427"/>
    <w:rsid w:val="00F708B6"/>
    <w:rsid w:val="00F70D7F"/>
    <w:rsid w:val="00F70ED4"/>
    <w:rsid w:val="00F70F74"/>
    <w:rsid w:val="00F71629"/>
    <w:rsid w:val="00F71982"/>
    <w:rsid w:val="00F72611"/>
    <w:rsid w:val="00F7262B"/>
    <w:rsid w:val="00F72759"/>
    <w:rsid w:val="00F728EE"/>
    <w:rsid w:val="00F72AB0"/>
    <w:rsid w:val="00F72D50"/>
    <w:rsid w:val="00F72DBE"/>
    <w:rsid w:val="00F73EF7"/>
    <w:rsid w:val="00F74379"/>
    <w:rsid w:val="00F74402"/>
    <w:rsid w:val="00F74B5C"/>
    <w:rsid w:val="00F74B6F"/>
    <w:rsid w:val="00F754D0"/>
    <w:rsid w:val="00F7567D"/>
    <w:rsid w:val="00F757D8"/>
    <w:rsid w:val="00F760E9"/>
    <w:rsid w:val="00F76295"/>
    <w:rsid w:val="00F76311"/>
    <w:rsid w:val="00F76551"/>
    <w:rsid w:val="00F7721F"/>
    <w:rsid w:val="00F77303"/>
    <w:rsid w:val="00F77862"/>
    <w:rsid w:val="00F77ABA"/>
    <w:rsid w:val="00F802BB"/>
    <w:rsid w:val="00F80530"/>
    <w:rsid w:val="00F80C5B"/>
    <w:rsid w:val="00F81507"/>
    <w:rsid w:val="00F81DB3"/>
    <w:rsid w:val="00F82394"/>
    <w:rsid w:val="00F825E3"/>
    <w:rsid w:val="00F8294B"/>
    <w:rsid w:val="00F82A78"/>
    <w:rsid w:val="00F82D93"/>
    <w:rsid w:val="00F8317E"/>
    <w:rsid w:val="00F83684"/>
    <w:rsid w:val="00F839A3"/>
    <w:rsid w:val="00F83DD4"/>
    <w:rsid w:val="00F84B3A"/>
    <w:rsid w:val="00F84C33"/>
    <w:rsid w:val="00F84C46"/>
    <w:rsid w:val="00F84F09"/>
    <w:rsid w:val="00F8514C"/>
    <w:rsid w:val="00F859FD"/>
    <w:rsid w:val="00F85E82"/>
    <w:rsid w:val="00F860D9"/>
    <w:rsid w:val="00F8633E"/>
    <w:rsid w:val="00F86836"/>
    <w:rsid w:val="00F86AD2"/>
    <w:rsid w:val="00F877E1"/>
    <w:rsid w:val="00F879AD"/>
    <w:rsid w:val="00F87E33"/>
    <w:rsid w:val="00F90046"/>
    <w:rsid w:val="00F90146"/>
    <w:rsid w:val="00F9025E"/>
    <w:rsid w:val="00F903A8"/>
    <w:rsid w:val="00F9042E"/>
    <w:rsid w:val="00F907BB"/>
    <w:rsid w:val="00F907C1"/>
    <w:rsid w:val="00F90DEF"/>
    <w:rsid w:val="00F91115"/>
    <w:rsid w:val="00F9144E"/>
    <w:rsid w:val="00F91501"/>
    <w:rsid w:val="00F916A0"/>
    <w:rsid w:val="00F91B50"/>
    <w:rsid w:val="00F91C68"/>
    <w:rsid w:val="00F91DAC"/>
    <w:rsid w:val="00F921D7"/>
    <w:rsid w:val="00F928DB"/>
    <w:rsid w:val="00F92A57"/>
    <w:rsid w:val="00F930BA"/>
    <w:rsid w:val="00F933DE"/>
    <w:rsid w:val="00F9394A"/>
    <w:rsid w:val="00F93C1C"/>
    <w:rsid w:val="00F93D00"/>
    <w:rsid w:val="00F94BC2"/>
    <w:rsid w:val="00F94E85"/>
    <w:rsid w:val="00F95603"/>
    <w:rsid w:val="00F9589E"/>
    <w:rsid w:val="00F95901"/>
    <w:rsid w:val="00F95DA0"/>
    <w:rsid w:val="00F95EB8"/>
    <w:rsid w:val="00F95F97"/>
    <w:rsid w:val="00F95FB2"/>
    <w:rsid w:val="00F961C2"/>
    <w:rsid w:val="00F96380"/>
    <w:rsid w:val="00F9643D"/>
    <w:rsid w:val="00F96623"/>
    <w:rsid w:val="00F96636"/>
    <w:rsid w:val="00F96835"/>
    <w:rsid w:val="00F96AC4"/>
    <w:rsid w:val="00F96C9C"/>
    <w:rsid w:val="00F97250"/>
    <w:rsid w:val="00F97477"/>
    <w:rsid w:val="00F975F8"/>
    <w:rsid w:val="00F97A9A"/>
    <w:rsid w:val="00FA035F"/>
    <w:rsid w:val="00FA03EA"/>
    <w:rsid w:val="00FA05C1"/>
    <w:rsid w:val="00FA0EE5"/>
    <w:rsid w:val="00FA0FCF"/>
    <w:rsid w:val="00FA143F"/>
    <w:rsid w:val="00FA16A9"/>
    <w:rsid w:val="00FA1B74"/>
    <w:rsid w:val="00FA23AE"/>
    <w:rsid w:val="00FA2532"/>
    <w:rsid w:val="00FA2618"/>
    <w:rsid w:val="00FA2970"/>
    <w:rsid w:val="00FA31AA"/>
    <w:rsid w:val="00FA3376"/>
    <w:rsid w:val="00FA3846"/>
    <w:rsid w:val="00FA3F07"/>
    <w:rsid w:val="00FA40F4"/>
    <w:rsid w:val="00FA4AC8"/>
    <w:rsid w:val="00FA4BBA"/>
    <w:rsid w:val="00FA4E5E"/>
    <w:rsid w:val="00FA5D0A"/>
    <w:rsid w:val="00FA607C"/>
    <w:rsid w:val="00FA70A0"/>
    <w:rsid w:val="00FA79C2"/>
    <w:rsid w:val="00FA7C4D"/>
    <w:rsid w:val="00FA7D95"/>
    <w:rsid w:val="00FA7DB3"/>
    <w:rsid w:val="00FA7E9A"/>
    <w:rsid w:val="00FB07C0"/>
    <w:rsid w:val="00FB08B1"/>
    <w:rsid w:val="00FB0A50"/>
    <w:rsid w:val="00FB0DAF"/>
    <w:rsid w:val="00FB0E99"/>
    <w:rsid w:val="00FB1212"/>
    <w:rsid w:val="00FB197F"/>
    <w:rsid w:val="00FB25F5"/>
    <w:rsid w:val="00FB2A6C"/>
    <w:rsid w:val="00FB2D94"/>
    <w:rsid w:val="00FB2F62"/>
    <w:rsid w:val="00FB3C23"/>
    <w:rsid w:val="00FB3FAB"/>
    <w:rsid w:val="00FB4AD9"/>
    <w:rsid w:val="00FB4CEF"/>
    <w:rsid w:val="00FB4DA9"/>
    <w:rsid w:val="00FB5126"/>
    <w:rsid w:val="00FB51D9"/>
    <w:rsid w:val="00FB5339"/>
    <w:rsid w:val="00FB55FB"/>
    <w:rsid w:val="00FB5630"/>
    <w:rsid w:val="00FB5C3A"/>
    <w:rsid w:val="00FB62A0"/>
    <w:rsid w:val="00FB63E5"/>
    <w:rsid w:val="00FB667C"/>
    <w:rsid w:val="00FB66BD"/>
    <w:rsid w:val="00FB67A7"/>
    <w:rsid w:val="00FB7102"/>
    <w:rsid w:val="00FB7AA9"/>
    <w:rsid w:val="00FB7D4E"/>
    <w:rsid w:val="00FC012A"/>
    <w:rsid w:val="00FC0830"/>
    <w:rsid w:val="00FC08A7"/>
    <w:rsid w:val="00FC0DD8"/>
    <w:rsid w:val="00FC1873"/>
    <w:rsid w:val="00FC1EE2"/>
    <w:rsid w:val="00FC1F84"/>
    <w:rsid w:val="00FC2281"/>
    <w:rsid w:val="00FC25E9"/>
    <w:rsid w:val="00FC2BFB"/>
    <w:rsid w:val="00FC2C14"/>
    <w:rsid w:val="00FC314C"/>
    <w:rsid w:val="00FC315A"/>
    <w:rsid w:val="00FC338A"/>
    <w:rsid w:val="00FC3459"/>
    <w:rsid w:val="00FC3544"/>
    <w:rsid w:val="00FC3DE6"/>
    <w:rsid w:val="00FC4634"/>
    <w:rsid w:val="00FC479D"/>
    <w:rsid w:val="00FC4B53"/>
    <w:rsid w:val="00FC563F"/>
    <w:rsid w:val="00FC564C"/>
    <w:rsid w:val="00FC5772"/>
    <w:rsid w:val="00FC5F7D"/>
    <w:rsid w:val="00FC662C"/>
    <w:rsid w:val="00FC6C41"/>
    <w:rsid w:val="00FC6CBA"/>
    <w:rsid w:val="00FC76A2"/>
    <w:rsid w:val="00FC7765"/>
    <w:rsid w:val="00FC782C"/>
    <w:rsid w:val="00FC7A8A"/>
    <w:rsid w:val="00FD031A"/>
    <w:rsid w:val="00FD0496"/>
    <w:rsid w:val="00FD05B2"/>
    <w:rsid w:val="00FD0D8C"/>
    <w:rsid w:val="00FD10E5"/>
    <w:rsid w:val="00FD12EA"/>
    <w:rsid w:val="00FD1862"/>
    <w:rsid w:val="00FD2BB9"/>
    <w:rsid w:val="00FD2C6E"/>
    <w:rsid w:val="00FD2C74"/>
    <w:rsid w:val="00FD336E"/>
    <w:rsid w:val="00FD3C57"/>
    <w:rsid w:val="00FD3EC9"/>
    <w:rsid w:val="00FD40E9"/>
    <w:rsid w:val="00FD4239"/>
    <w:rsid w:val="00FD49B1"/>
    <w:rsid w:val="00FD4C9B"/>
    <w:rsid w:val="00FD4E4A"/>
    <w:rsid w:val="00FD50C7"/>
    <w:rsid w:val="00FD51E4"/>
    <w:rsid w:val="00FD530D"/>
    <w:rsid w:val="00FD557A"/>
    <w:rsid w:val="00FD5656"/>
    <w:rsid w:val="00FD56AB"/>
    <w:rsid w:val="00FD5A25"/>
    <w:rsid w:val="00FD5CED"/>
    <w:rsid w:val="00FD5D9A"/>
    <w:rsid w:val="00FD5E21"/>
    <w:rsid w:val="00FD60CB"/>
    <w:rsid w:val="00FD6599"/>
    <w:rsid w:val="00FD6640"/>
    <w:rsid w:val="00FD7159"/>
    <w:rsid w:val="00FD7770"/>
    <w:rsid w:val="00FD77DE"/>
    <w:rsid w:val="00FD7D8C"/>
    <w:rsid w:val="00FD7FE9"/>
    <w:rsid w:val="00FE03F9"/>
    <w:rsid w:val="00FE0759"/>
    <w:rsid w:val="00FE0994"/>
    <w:rsid w:val="00FE09C4"/>
    <w:rsid w:val="00FE0D99"/>
    <w:rsid w:val="00FE0FF2"/>
    <w:rsid w:val="00FE126A"/>
    <w:rsid w:val="00FE13FD"/>
    <w:rsid w:val="00FE156C"/>
    <w:rsid w:val="00FE1873"/>
    <w:rsid w:val="00FE27B2"/>
    <w:rsid w:val="00FE2B01"/>
    <w:rsid w:val="00FE2C25"/>
    <w:rsid w:val="00FE3110"/>
    <w:rsid w:val="00FE3321"/>
    <w:rsid w:val="00FE337F"/>
    <w:rsid w:val="00FE4113"/>
    <w:rsid w:val="00FE44DB"/>
    <w:rsid w:val="00FE46EB"/>
    <w:rsid w:val="00FE4C87"/>
    <w:rsid w:val="00FE5187"/>
    <w:rsid w:val="00FE568D"/>
    <w:rsid w:val="00FE58D5"/>
    <w:rsid w:val="00FE5C83"/>
    <w:rsid w:val="00FE61E0"/>
    <w:rsid w:val="00FE627A"/>
    <w:rsid w:val="00FE65E4"/>
    <w:rsid w:val="00FE6AEB"/>
    <w:rsid w:val="00FE6E82"/>
    <w:rsid w:val="00FE7723"/>
    <w:rsid w:val="00FE7824"/>
    <w:rsid w:val="00FE79BC"/>
    <w:rsid w:val="00FE7ABB"/>
    <w:rsid w:val="00FE7C8B"/>
    <w:rsid w:val="00FE7CBD"/>
    <w:rsid w:val="00FE7D61"/>
    <w:rsid w:val="00FE7D67"/>
    <w:rsid w:val="00FF060E"/>
    <w:rsid w:val="00FF0A64"/>
    <w:rsid w:val="00FF1167"/>
    <w:rsid w:val="00FF13C6"/>
    <w:rsid w:val="00FF1BDE"/>
    <w:rsid w:val="00FF1E3F"/>
    <w:rsid w:val="00FF2B0E"/>
    <w:rsid w:val="00FF2E1C"/>
    <w:rsid w:val="00FF330F"/>
    <w:rsid w:val="00FF372F"/>
    <w:rsid w:val="00FF3957"/>
    <w:rsid w:val="00FF3FB4"/>
    <w:rsid w:val="00FF413C"/>
    <w:rsid w:val="00FF417F"/>
    <w:rsid w:val="00FF4A01"/>
    <w:rsid w:val="00FF4BD1"/>
    <w:rsid w:val="00FF4E32"/>
    <w:rsid w:val="00FF50C5"/>
    <w:rsid w:val="00FF58FC"/>
    <w:rsid w:val="00FF5EC1"/>
    <w:rsid w:val="00FF6064"/>
    <w:rsid w:val="00FF6121"/>
    <w:rsid w:val="00FF6386"/>
    <w:rsid w:val="00FF6B92"/>
    <w:rsid w:val="00FF6D86"/>
    <w:rsid w:val="00FF6DCB"/>
    <w:rsid w:val="00FF7155"/>
    <w:rsid w:val="00FF718E"/>
    <w:rsid w:val="00FF7BAF"/>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silver"/>
    </o:shapedefaults>
    <o:shapelayout v:ext="edit">
      <o:idmap v:ext="edit" data="1"/>
    </o:shapelayout>
  </w:shapeDefaults>
  <w:decimalSymbol w:val="."/>
  <w:listSeparator w:val=","/>
  <w15:chartTrackingRefBased/>
  <w15:docId w15:val="{4DBEF0CC-A10B-4745-86F3-805FCBEE6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12DA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link w:val="143"/>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link w:val="af2"/>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3">
    <w:name w:val="header"/>
    <w:basedOn w:val="a"/>
    <w:link w:val="af4"/>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D924C1"/>
    <w:pPr>
      <w:tabs>
        <w:tab w:val="right" w:leader="hyphen" w:pos="8651"/>
      </w:tabs>
      <w:ind w:leftChars="0" w:left="487" w:rightChars="104" w:right="295" w:hangingChars="200" w:hanging="487"/>
    </w:pPr>
    <w:rPr>
      <w:b/>
      <w:noProof/>
      <w:sz w:val="24"/>
      <w:szCs w:val="24"/>
    </w:rPr>
  </w:style>
  <w:style w:type="paragraph" w:styleId="23">
    <w:name w:val="toc 2"/>
    <w:basedOn w:val="a"/>
    <w:next w:val="a"/>
    <w:autoRedefine/>
    <w:uiPriority w:val="39"/>
    <w:rsid w:val="004E4976"/>
    <w:pPr>
      <w:tabs>
        <w:tab w:val="right" w:leader="hyphen" w:pos="8647"/>
      </w:tabs>
      <w:ind w:leftChars="0" w:left="487" w:rightChars="49" w:right="139" w:hangingChars="200" w:hanging="487"/>
    </w:pPr>
    <w:rPr>
      <w:sz w:val="24"/>
    </w:rPr>
  </w:style>
  <w:style w:type="paragraph" w:styleId="30">
    <w:name w:val="toc 3"/>
    <w:basedOn w:val="a"/>
    <w:next w:val="a"/>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5">
    <w:name w:val="footnote text"/>
    <w:basedOn w:val="a"/>
    <w:link w:val="af6"/>
    <w:semiHidden/>
    <w:rsid w:val="009F1105"/>
    <w:pPr>
      <w:snapToGrid w:val="0"/>
      <w:jc w:val="left"/>
    </w:pPr>
    <w:rPr>
      <w:sz w:val="20"/>
      <w:szCs w:val="20"/>
    </w:rPr>
  </w:style>
  <w:style w:type="character" w:styleId="af7">
    <w:name w:val="footnote reference"/>
    <w:aliases w:val="FR,Ref,de nota al pie,註腳內容,Error-Fußnotenzeichen5,Error-Fußnotenzeichen6,Error-Fußnotenzeichen3"/>
    <w:uiPriority w:val="99"/>
    <w:rsid w:val="009F1105"/>
    <w:rPr>
      <w:vertAlign w:val="superscript"/>
    </w:rPr>
  </w:style>
  <w:style w:type="paragraph" w:customStyle="1" w:styleId="144">
    <w:name w:val="表格內文(14行高)"/>
    <w:basedOn w:val="ab"/>
    <w:link w:val="145"/>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8">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5">
    <w:name w:val="表格內文(14行高) 字元"/>
    <w:link w:val="144"/>
    <w:qFormat/>
    <w:rsid w:val="00A40235"/>
    <w:rPr>
      <w:rFonts w:ascii="標楷體" w:eastAsia="標楷體"/>
      <w:snapToGrid w:val="0"/>
      <w:kern w:val="2"/>
      <w:sz w:val="24"/>
      <w:szCs w:val="28"/>
      <w:lang w:val="en-US" w:eastAsia="zh-TW" w:bidi="ar-SA"/>
    </w:rPr>
  </w:style>
  <w:style w:type="paragraph" w:styleId="af9">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6">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a">
    <w:name w:val="Strong"/>
    <w:qFormat/>
    <w:rsid w:val="004E0807"/>
    <w:rPr>
      <w:b/>
      <w:bCs/>
    </w:rPr>
  </w:style>
  <w:style w:type="paragraph" w:customStyle="1" w:styleId="afb">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c">
    <w:name w:val="Body Text"/>
    <w:basedOn w:val="a"/>
    <w:rsid w:val="00435AE0"/>
    <w:pPr>
      <w:spacing w:after="120"/>
    </w:pPr>
  </w:style>
  <w:style w:type="paragraph" w:customStyle="1" w:styleId="afd">
    <w:name w:val="(一)下內文"/>
    <w:basedOn w:val="a4"/>
    <w:rsid w:val="000377C4"/>
    <w:pPr>
      <w:adjustRightInd w:val="0"/>
      <w:ind w:leftChars="300" w:firstLineChars="0" w:firstLine="0"/>
    </w:pPr>
  </w:style>
  <w:style w:type="paragraph" w:customStyle="1" w:styleId="afe">
    <w:name w:val="結論"/>
    <w:basedOn w:val="afd"/>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link w:val="aff2"/>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3">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4">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5">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6">
    <w:name w:val="(一)"/>
    <w:basedOn w:val="a"/>
    <w:link w:val="aff7"/>
    <w:rsid w:val="000377C4"/>
    <w:pPr>
      <w:spacing w:line="240" w:lineRule="auto"/>
      <w:ind w:leftChars="0" w:left="568" w:firstLineChars="0" w:hanging="284"/>
    </w:pPr>
    <w:rPr>
      <w:rFonts w:ascii="Times New Roman"/>
      <w:snapToGrid/>
      <w:szCs w:val="20"/>
    </w:rPr>
  </w:style>
  <w:style w:type="paragraph" w:customStyle="1" w:styleId="aff8">
    <w:name w:val="一、說明（首行縮排）"/>
    <w:basedOn w:val="af9"/>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9">
    <w:name w:val="第二層"/>
    <w:basedOn w:val="af9"/>
    <w:rsid w:val="000377C4"/>
    <w:pPr>
      <w:spacing w:line="500" w:lineRule="exact"/>
      <w:ind w:left="559" w:hangingChars="200" w:hanging="559"/>
      <w:jc w:val="both"/>
    </w:pPr>
    <w:rPr>
      <w:rFonts w:ascii="新細明體" w:eastAsia="標楷體"/>
      <w:b/>
      <w:bCs/>
      <w:sz w:val="28"/>
      <w:szCs w:val="24"/>
    </w:rPr>
  </w:style>
  <w:style w:type="paragraph" w:customStyle="1" w:styleId="affa">
    <w:name w:val="第一層"/>
    <w:basedOn w:val="af9"/>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b">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c">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d">
    <w:name w:val="Emphasis"/>
    <w:qFormat/>
    <w:rsid w:val="000377C4"/>
    <w:rPr>
      <w:b w:val="0"/>
      <w:bCs w:val="0"/>
      <w:i w:val="0"/>
      <w:iCs w:val="0"/>
      <w:color w:val="CC0033"/>
    </w:rPr>
  </w:style>
  <w:style w:type="paragraph" w:styleId="affe">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f">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6">
    <w:name w:val="註腳文字 字元"/>
    <w:link w:val="af5"/>
    <w:semiHidden/>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0">
    <w:name w:val="註腳"/>
    <w:basedOn w:val="af5"/>
    <w:qFormat/>
    <w:rsid w:val="00595E1A"/>
    <w:pPr>
      <w:spacing w:line="300" w:lineRule="exact"/>
      <w:ind w:leftChars="208" w:left="741" w:hangingChars="75" w:hanging="152"/>
      <w:jc w:val="both"/>
    </w:pPr>
    <w:rPr>
      <w:sz w:val="22"/>
      <w:szCs w:val="22"/>
    </w:rPr>
  </w:style>
  <w:style w:type="paragraph" w:customStyle="1" w:styleId="afff1">
    <w:name w:val=" 字元"/>
    <w:basedOn w:val="a"/>
    <w:rsid w:val="00033674"/>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f0">
    <w:name w:val="姓名及分機 字元"/>
    <w:link w:val="af"/>
    <w:rsid w:val="00BE6CBC"/>
    <w:rPr>
      <w:rFonts w:ascii="標楷體" w:eastAsia="標楷體"/>
      <w:snapToGrid w:val="0"/>
      <w:kern w:val="2"/>
      <w:sz w:val="24"/>
      <w:szCs w:val="28"/>
    </w:rPr>
  </w:style>
  <w:style w:type="character" w:customStyle="1" w:styleId="aff7">
    <w:name w:val="(一) 字元"/>
    <w:link w:val="aff6"/>
    <w:rsid w:val="00181341"/>
    <w:rPr>
      <w:rFonts w:eastAsia="標楷體"/>
      <w:kern w:val="2"/>
      <w:sz w:val="28"/>
    </w:rPr>
  </w:style>
  <w:style w:type="character" w:customStyle="1" w:styleId="aff2">
    <w:name w:val="註解方塊文字 字元"/>
    <w:link w:val="aff1"/>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2">
    <w:name w:val="證券(一).內文"/>
    <w:basedOn w:val="a"/>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3">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4">
    <w:name w:val="案由(議)"/>
    <w:basedOn w:val="a"/>
    <w:next w:val="a"/>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4">
    <w:name w:val="頁首 字元"/>
    <w:link w:val="af3"/>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5">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 字元 字元1"/>
    <w:basedOn w:val="a"/>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14448"/>
  </w:style>
  <w:style w:type="paragraph" w:styleId="afff6">
    <w:name w:val="Salutation"/>
    <w:basedOn w:val="a"/>
    <w:next w:val="a"/>
    <w:link w:val="afff7"/>
    <w:rsid w:val="00AC040B"/>
  </w:style>
  <w:style w:type="character" w:customStyle="1" w:styleId="afff7">
    <w:name w:val="問候 字元"/>
    <w:link w:val="afff6"/>
    <w:rsid w:val="00AC040B"/>
    <w:rPr>
      <w:rFonts w:ascii="標楷體" w:eastAsia="標楷體"/>
      <w:snapToGrid w:val="0"/>
      <w:kern w:val="2"/>
      <w:sz w:val="28"/>
      <w:szCs w:val="28"/>
    </w:rPr>
  </w:style>
  <w:style w:type="paragraph" w:styleId="afff8">
    <w:name w:val="Closing"/>
    <w:basedOn w:val="a"/>
    <w:link w:val="afff9"/>
    <w:rsid w:val="00AC040B"/>
    <w:pPr>
      <w:ind w:leftChars="1800" w:left="100"/>
    </w:pPr>
  </w:style>
  <w:style w:type="character" w:customStyle="1" w:styleId="afff9">
    <w:name w:val="結語 字元"/>
    <w:link w:val="afff8"/>
    <w:rsid w:val="00AC040B"/>
    <w:rPr>
      <w:rFonts w:ascii="標楷體" w:eastAsia="標楷體"/>
      <w:snapToGrid w:val="0"/>
      <w:kern w:val="2"/>
      <w:sz w:val="28"/>
      <w:szCs w:val="28"/>
    </w:rPr>
  </w:style>
  <w:style w:type="character" w:customStyle="1" w:styleId="af2">
    <w:name w:val="前言(一)(二)(三) 字元"/>
    <w:link w:val="af1"/>
    <w:rsid w:val="0090743E"/>
    <w:rPr>
      <w:rFonts w:ascii="標楷體" w:eastAsia="標楷體"/>
      <w:snapToGrid w:val="0"/>
      <w:kern w:val="2"/>
      <w:sz w:val="28"/>
      <w:szCs w:val="28"/>
    </w:rPr>
  </w:style>
  <w:style w:type="character" w:customStyle="1" w:styleId="143">
    <w:name w:val="第一層(14號字) 字元"/>
    <w:link w:val="142"/>
    <w:locked/>
    <w:rsid w:val="008D2AB8"/>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78451645">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2633587">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7088010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29011814">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79226055">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18667211">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85186728">
      <w:bodyDiv w:val="1"/>
      <w:marLeft w:val="0"/>
      <w:marRight w:val="0"/>
      <w:marTop w:val="0"/>
      <w:marBottom w:val="0"/>
      <w:divBdr>
        <w:top w:val="none" w:sz="0" w:space="0" w:color="auto"/>
        <w:left w:val="none" w:sz="0" w:space="0" w:color="auto"/>
        <w:bottom w:val="none" w:sz="0" w:space="0" w:color="auto"/>
        <w:right w:val="none" w:sz="0" w:space="0" w:color="auto"/>
      </w:divBdr>
    </w:div>
    <w:div w:id="638194559">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27725682">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5378825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672044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91997283">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499031014">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5649847">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1852560">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62484410">
      <w:bodyDiv w:val="1"/>
      <w:marLeft w:val="0"/>
      <w:marRight w:val="0"/>
      <w:marTop w:val="0"/>
      <w:marBottom w:val="0"/>
      <w:divBdr>
        <w:top w:val="none" w:sz="0" w:space="0" w:color="auto"/>
        <w:left w:val="none" w:sz="0" w:space="0" w:color="auto"/>
        <w:bottom w:val="none" w:sz="0" w:space="0" w:color="auto"/>
        <w:right w:val="none" w:sz="0" w:space="0" w:color="auto"/>
      </w:divBdr>
    </w:div>
    <w:div w:id="176510593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88167016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2233494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5D9096-610E-4283-B3AE-883E661F3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2135</Words>
  <Characters>12170</Characters>
  <Application>Microsoft Office Word</Application>
  <DocSecurity>0</DocSecurity>
  <Lines>101</Lines>
  <Paragraphs>28</Paragraphs>
  <ScaleCrop>false</ScaleCrop>
  <Company/>
  <LinksUpToDate>false</LinksUpToDate>
  <CharactersWithSpaces>14277</CharactersWithSpaces>
  <SharedDoc>false</SharedDoc>
  <HLinks>
    <vt:vector size="72" baseType="variant">
      <vt:variant>
        <vt:i4>1310770</vt:i4>
      </vt:variant>
      <vt:variant>
        <vt:i4>68</vt:i4>
      </vt:variant>
      <vt:variant>
        <vt:i4>0</vt:i4>
      </vt:variant>
      <vt:variant>
        <vt:i4>5</vt:i4>
      </vt:variant>
      <vt:variant>
        <vt:lpwstr/>
      </vt:variant>
      <vt:variant>
        <vt:lpwstr>_Toc173746457</vt:lpwstr>
      </vt:variant>
      <vt:variant>
        <vt:i4>1310770</vt:i4>
      </vt:variant>
      <vt:variant>
        <vt:i4>62</vt:i4>
      </vt:variant>
      <vt:variant>
        <vt:i4>0</vt:i4>
      </vt:variant>
      <vt:variant>
        <vt:i4>5</vt:i4>
      </vt:variant>
      <vt:variant>
        <vt:lpwstr/>
      </vt:variant>
      <vt:variant>
        <vt:lpwstr>_Toc173746456</vt:lpwstr>
      </vt:variant>
      <vt:variant>
        <vt:i4>1310770</vt:i4>
      </vt:variant>
      <vt:variant>
        <vt:i4>56</vt:i4>
      </vt:variant>
      <vt:variant>
        <vt:i4>0</vt:i4>
      </vt:variant>
      <vt:variant>
        <vt:i4>5</vt:i4>
      </vt:variant>
      <vt:variant>
        <vt:lpwstr/>
      </vt:variant>
      <vt:variant>
        <vt:lpwstr>_Toc173746455</vt:lpwstr>
      </vt:variant>
      <vt:variant>
        <vt:i4>1310770</vt:i4>
      </vt:variant>
      <vt:variant>
        <vt:i4>50</vt:i4>
      </vt:variant>
      <vt:variant>
        <vt:i4>0</vt:i4>
      </vt:variant>
      <vt:variant>
        <vt:i4>5</vt:i4>
      </vt:variant>
      <vt:variant>
        <vt:lpwstr/>
      </vt:variant>
      <vt:variant>
        <vt:lpwstr>_Toc173746454</vt:lpwstr>
      </vt:variant>
      <vt:variant>
        <vt:i4>1310770</vt:i4>
      </vt:variant>
      <vt:variant>
        <vt:i4>44</vt:i4>
      </vt:variant>
      <vt:variant>
        <vt:i4>0</vt:i4>
      </vt:variant>
      <vt:variant>
        <vt:i4>5</vt:i4>
      </vt:variant>
      <vt:variant>
        <vt:lpwstr/>
      </vt:variant>
      <vt:variant>
        <vt:lpwstr>_Toc173746453</vt:lpwstr>
      </vt:variant>
      <vt:variant>
        <vt:i4>1310770</vt:i4>
      </vt:variant>
      <vt:variant>
        <vt:i4>38</vt:i4>
      </vt:variant>
      <vt:variant>
        <vt:i4>0</vt:i4>
      </vt:variant>
      <vt:variant>
        <vt:i4>5</vt:i4>
      </vt:variant>
      <vt:variant>
        <vt:lpwstr/>
      </vt:variant>
      <vt:variant>
        <vt:lpwstr>_Toc173746452</vt:lpwstr>
      </vt:variant>
      <vt:variant>
        <vt:i4>1310770</vt:i4>
      </vt:variant>
      <vt:variant>
        <vt:i4>32</vt:i4>
      </vt:variant>
      <vt:variant>
        <vt:i4>0</vt:i4>
      </vt:variant>
      <vt:variant>
        <vt:i4>5</vt:i4>
      </vt:variant>
      <vt:variant>
        <vt:lpwstr/>
      </vt:variant>
      <vt:variant>
        <vt:lpwstr>_Toc173746451</vt:lpwstr>
      </vt:variant>
      <vt:variant>
        <vt:i4>1310770</vt:i4>
      </vt:variant>
      <vt:variant>
        <vt:i4>26</vt:i4>
      </vt:variant>
      <vt:variant>
        <vt:i4>0</vt:i4>
      </vt:variant>
      <vt:variant>
        <vt:i4>5</vt:i4>
      </vt:variant>
      <vt:variant>
        <vt:lpwstr/>
      </vt:variant>
      <vt:variant>
        <vt:lpwstr>_Toc173746450</vt:lpwstr>
      </vt:variant>
      <vt:variant>
        <vt:i4>1376306</vt:i4>
      </vt:variant>
      <vt:variant>
        <vt:i4>20</vt:i4>
      </vt:variant>
      <vt:variant>
        <vt:i4>0</vt:i4>
      </vt:variant>
      <vt:variant>
        <vt:i4>5</vt:i4>
      </vt:variant>
      <vt:variant>
        <vt:lpwstr/>
      </vt:variant>
      <vt:variant>
        <vt:lpwstr>_Toc173746449</vt:lpwstr>
      </vt:variant>
      <vt:variant>
        <vt:i4>1376306</vt:i4>
      </vt:variant>
      <vt:variant>
        <vt:i4>14</vt:i4>
      </vt:variant>
      <vt:variant>
        <vt:i4>0</vt:i4>
      </vt:variant>
      <vt:variant>
        <vt:i4>5</vt:i4>
      </vt:variant>
      <vt:variant>
        <vt:lpwstr/>
      </vt:variant>
      <vt:variant>
        <vt:lpwstr>_Toc173746448</vt:lpwstr>
      </vt:variant>
      <vt:variant>
        <vt:i4>1376306</vt:i4>
      </vt:variant>
      <vt:variant>
        <vt:i4>8</vt:i4>
      </vt:variant>
      <vt:variant>
        <vt:i4>0</vt:i4>
      </vt:variant>
      <vt:variant>
        <vt:i4>5</vt:i4>
      </vt:variant>
      <vt:variant>
        <vt:lpwstr/>
      </vt:variant>
      <vt:variant>
        <vt:lpwstr>_Toc173746447</vt:lpwstr>
      </vt:variant>
      <vt:variant>
        <vt:i4>1376306</vt:i4>
      </vt:variant>
      <vt:variant>
        <vt:i4>2</vt:i4>
      </vt:variant>
      <vt:variant>
        <vt:i4>0</vt:i4>
      </vt:variant>
      <vt:variant>
        <vt:i4>5</vt:i4>
      </vt:variant>
      <vt:variant>
        <vt:lpwstr/>
      </vt:variant>
      <vt:variant>
        <vt:lpwstr>_Toc173746446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2024-08-05T06:08:00Z</cp:lastPrinted>
  <dcterms:created xsi:type="dcterms:W3CDTF">2024-08-06T06:52:00Z</dcterms:created>
  <dcterms:modified xsi:type="dcterms:W3CDTF">2024-08-06T06:52:00Z</dcterms:modified>
</cp:coreProperties>
</file>