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bookmarkStart w:id="1" w:name="_GoBack"/>
      <w:bookmarkEnd w:id="1"/>
      <w:r w:rsidRPr="00620246">
        <w:rPr>
          <w:rFonts w:hint="eastAsia"/>
        </w:rPr>
        <w:t>112年度中央政府總決算審核報告整體評估報告</w:t>
      </w:r>
    </w:p>
    <w:p w:rsidR="00BC5C71" w:rsidRDefault="00BC5C71" w:rsidP="00640605">
      <w:pPr>
        <w:pStyle w:val="14"/>
        <w:ind w:left="567" w:hanging="567"/>
      </w:pPr>
      <w:bookmarkStart w:id="2" w:name="_Toc177394279"/>
      <w:r>
        <w:rPr>
          <w:rFonts w:hint="eastAsia"/>
        </w:rPr>
        <w:t>一、112年度</w:t>
      </w:r>
      <w:r w:rsidRPr="006550CA">
        <w:rPr>
          <w:rFonts w:hint="eastAsia"/>
        </w:rPr>
        <w:t>公共建設計畫</w:t>
      </w:r>
      <w:r>
        <w:rPr>
          <w:rFonts w:hint="eastAsia"/>
        </w:rPr>
        <w:t>列管經費之</w:t>
      </w:r>
      <w:r w:rsidRPr="006550CA">
        <w:rPr>
          <w:rFonts w:hint="eastAsia"/>
        </w:rPr>
        <w:t>執行率為近3年新高</w:t>
      </w:r>
      <w:r>
        <w:rPr>
          <w:rFonts w:hint="eastAsia"/>
        </w:rPr>
        <w:t>，惟部分計畫預算執行仍待檢討改善</w:t>
      </w:r>
      <w:bookmarkEnd w:id="0"/>
      <w:bookmarkEnd w:id="2"/>
    </w:p>
    <w:p w:rsidR="00BC5C71" w:rsidRDefault="00BC5C71" w:rsidP="00640605">
      <w:pPr>
        <w:ind w:left="566" w:firstLine="566"/>
      </w:pPr>
      <w:r>
        <w:rPr>
          <w:rFonts w:hint="eastAsia"/>
        </w:rPr>
        <w:t>中央政府112年度</w:t>
      </w:r>
      <w:r w:rsidRPr="009F0C85">
        <w:rPr>
          <w:rFonts w:hint="eastAsia"/>
        </w:rPr>
        <w:t>公共建設計畫</w:t>
      </w:r>
      <w:r>
        <w:rPr>
          <w:rFonts w:hint="eastAsia"/>
        </w:rPr>
        <w:t>預算共編列5,853億元，包括公務預算1,630億元、特別預算832億元、營業基金2,463億元及非營業基金928億元</w:t>
      </w:r>
      <w:r>
        <w:rPr>
          <w:rStyle w:val="af5"/>
        </w:rPr>
        <w:footnoteReference w:id="1"/>
      </w:r>
      <w:r>
        <w:rPr>
          <w:rFonts w:hint="eastAsia"/>
        </w:rPr>
        <w:t>，由各機關分別執行。</w:t>
      </w:r>
      <w:r w:rsidRPr="009F0C85">
        <w:rPr>
          <w:rFonts w:hint="eastAsia"/>
        </w:rPr>
        <w:t>為便於外界瞭解及監督</w:t>
      </w:r>
      <w:r>
        <w:rPr>
          <w:rFonts w:hint="eastAsia"/>
        </w:rPr>
        <w:t>整體公共建設</w:t>
      </w:r>
      <w:r w:rsidRPr="009F0C85">
        <w:rPr>
          <w:rFonts w:hint="eastAsia"/>
        </w:rPr>
        <w:t>計畫執行概況，</w:t>
      </w:r>
      <w:r>
        <w:rPr>
          <w:rFonts w:hint="eastAsia"/>
        </w:rPr>
        <w:t>行政院公共工程委員</w:t>
      </w:r>
      <w:r w:rsidRPr="004F5980">
        <w:rPr>
          <w:rFonts w:hint="eastAsia"/>
        </w:rPr>
        <w:t>會</w:t>
      </w:r>
      <w:r>
        <w:rPr>
          <w:rFonts w:hint="eastAsia"/>
        </w:rPr>
        <w:t>(以下簡稱工程會)於其網站按月公開</w:t>
      </w:r>
      <w:r>
        <w:rPr>
          <w:rFonts w:hAnsi="標楷體" w:hint="eastAsia"/>
        </w:rPr>
        <w:t>「</w:t>
      </w:r>
      <w:r w:rsidRPr="005C55BF">
        <w:rPr>
          <w:rFonts w:hAnsi="標楷體" w:hint="eastAsia"/>
        </w:rPr>
        <w:t>一般公共建設計畫執行情形</w:t>
      </w:r>
      <w:r>
        <w:rPr>
          <w:rFonts w:hAnsi="標楷體" w:hint="eastAsia"/>
        </w:rPr>
        <w:t>」</w:t>
      </w:r>
      <w:r>
        <w:rPr>
          <w:rStyle w:val="af5"/>
          <w:rFonts w:hAnsi="標楷體"/>
        </w:rPr>
        <w:footnoteReference w:id="2"/>
      </w:r>
      <w:r>
        <w:rPr>
          <w:rFonts w:hAnsi="標楷體" w:hint="eastAsia"/>
        </w:rPr>
        <w:t>及「</w:t>
      </w:r>
      <w:r w:rsidRPr="005C55BF">
        <w:rPr>
          <w:rFonts w:hAnsi="標楷體" w:hint="eastAsia"/>
        </w:rPr>
        <w:t>公共建設類前瞻基礎建設計畫執行情形</w:t>
      </w:r>
      <w:r>
        <w:rPr>
          <w:rFonts w:hAnsi="標楷體" w:hint="eastAsia"/>
        </w:rPr>
        <w:t>」等，係按主管機關別公開</w:t>
      </w:r>
      <w:r w:rsidRPr="005C55BF">
        <w:rPr>
          <w:rFonts w:hAnsi="標楷體" w:hint="eastAsia"/>
        </w:rPr>
        <w:t>一般公共建設計畫</w:t>
      </w:r>
      <w:r>
        <w:rPr>
          <w:rFonts w:hAnsi="標楷體" w:hint="eastAsia"/>
        </w:rPr>
        <w:t>及</w:t>
      </w:r>
      <w:r w:rsidRPr="005C55BF">
        <w:rPr>
          <w:rFonts w:hAnsi="標楷體" w:hint="eastAsia"/>
        </w:rPr>
        <w:t>公共建設類前瞻基礎建設計畫</w:t>
      </w:r>
      <w:r>
        <w:rPr>
          <w:rFonts w:hAnsi="標楷體" w:hint="eastAsia"/>
        </w:rPr>
        <w:t>(以下簡稱前瞻公共建設計畫)列管經費之彙整性</w:t>
      </w:r>
      <w:r w:rsidRPr="005C55BF">
        <w:rPr>
          <w:rFonts w:hAnsi="標楷體" w:hint="eastAsia"/>
        </w:rPr>
        <w:t>執行情形</w:t>
      </w:r>
      <w:r>
        <w:rPr>
          <w:rFonts w:hint="eastAsia"/>
        </w:rPr>
        <w:t>。</w:t>
      </w:r>
      <w:r>
        <w:rPr>
          <w:rFonts w:hAnsi="標楷體" w:hint="eastAsia"/>
        </w:rPr>
        <w:t>經查：</w:t>
      </w:r>
    </w:p>
    <w:p w:rsidR="00BC5C71" w:rsidRDefault="00BC5C71" w:rsidP="00640605">
      <w:pPr>
        <w:pStyle w:val="a5"/>
        <w:ind w:left="849" w:hanging="283"/>
        <w:rPr>
          <w:b/>
        </w:rPr>
      </w:pPr>
      <w:r w:rsidRPr="005C55BF">
        <w:rPr>
          <w:rFonts w:hint="eastAsia"/>
          <w:b/>
        </w:rPr>
        <w:t>(一)</w:t>
      </w:r>
      <w:r>
        <w:rPr>
          <w:rFonts w:hint="eastAsia"/>
          <w:b/>
        </w:rPr>
        <w:t>112年度公共建設計畫</w:t>
      </w:r>
      <w:r w:rsidRPr="00951221">
        <w:rPr>
          <w:rFonts w:hint="eastAsia"/>
          <w:b/>
        </w:rPr>
        <w:t>列管</w:t>
      </w:r>
      <w:r>
        <w:rPr>
          <w:rFonts w:hint="eastAsia"/>
          <w:b/>
        </w:rPr>
        <w:t>經費逾6千億元，整體執行率逾97%，均為近3年新高</w:t>
      </w:r>
    </w:p>
    <w:p w:rsidR="00BC5C71" w:rsidRDefault="00BC5C71" w:rsidP="00640605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據工程會提供之近3年(110至112年度)列管計畫執行情形</w:t>
      </w:r>
      <w:r>
        <w:rPr>
          <w:rFonts w:hAnsi="標楷體" w:hint="eastAsia"/>
        </w:rPr>
        <w:t>(詳表1)，</w:t>
      </w:r>
      <w:r w:rsidRPr="003E0553">
        <w:rPr>
          <w:rFonts w:hAnsi="標楷體" w:hint="eastAsia"/>
        </w:rPr>
        <w:t>一般公共建設計畫</w:t>
      </w:r>
      <w:r>
        <w:rPr>
          <w:rFonts w:hAnsi="標楷體" w:hint="eastAsia"/>
        </w:rPr>
        <w:t>列管經費由110年度3,613.87億元增加至112年度5,398.39億元，主要係因112年度營業基金預算大幅增加，及配合112年10月25日</w:t>
      </w:r>
      <w:r w:rsidRPr="00634838">
        <w:rPr>
          <w:rFonts w:hAnsi="標楷體" w:hint="eastAsia"/>
        </w:rPr>
        <w:t>「行政院公共工程委員會公共建設督導會報設置及作業要點」</w:t>
      </w:r>
      <w:r>
        <w:rPr>
          <w:rFonts w:hAnsi="標楷體" w:hint="eastAsia"/>
        </w:rPr>
        <w:t>之修正納入</w:t>
      </w:r>
      <w:r w:rsidRPr="00634838">
        <w:rPr>
          <w:rFonts w:hAnsi="標楷體" w:hint="eastAsia"/>
        </w:rPr>
        <w:t>5,000萬元以</w:t>
      </w:r>
      <w:r>
        <w:rPr>
          <w:rFonts w:hAnsi="標楷體" w:hint="eastAsia"/>
        </w:rPr>
        <w:t>下</w:t>
      </w:r>
      <w:r w:rsidRPr="00634838">
        <w:rPr>
          <w:rFonts w:hAnsi="標楷體" w:hint="eastAsia"/>
        </w:rPr>
        <w:t>計畫</w:t>
      </w:r>
      <w:r>
        <w:rPr>
          <w:rFonts w:hAnsi="標楷體" w:hint="eastAsia"/>
        </w:rPr>
        <w:t>等所致，且近3年執行率(執行數占列管經費之比率，以下同)依序為96.92%、97.1</w:t>
      </w:r>
      <w:r>
        <w:rPr>
          <w:rFonts w:hAnsi="標楷體"/>
        </w:rPr>
        <w:t>%</w:t>
      </w:r>
      <w:r>
        <w:rPr>
          <w:rFonts w:hAnsi="標楷體" w:hint="eastAsia"/>
        </w:rPr>
        <w:t>及97.17%，均逾96%且逐年微幅提升；</w:t>
      </w:r>
      <w:r w:rsidRPr="00FE1338">
        <w:rPr>
          <w:rFonts w:hAnsi="標楷體" w:hint="eastAsia"/>
        </w:rPr>
        <w:t>前瞻公共建設計畫</w:t>
      </w:r>
      <w:r>
        <w:rPr>
          <w:rFonts w:hAnsi="標楷體" w:hint="eastAsia"/>
        </w:rPr>
        <w:t>列管經費</w:t>
      </w:r>
      <w:r>
        <w:rPr>
          <w:rStyle w:val="af5"/>
          <w:rFonts w:hAnsi="標楷體"/>
        </w:rPr>
        <w:footnoteReference w:id="3"/>
      </w:r>
      <w:r w:rsidRPr="00FE1338">
        <w:rPr>
          <w:rFonts w:hAnsi="標楷體" w:hint="eastAsia"/>
        </w:rPr>
        <w:t>由110年度</w:t>
      </w:r>
      <w:r>
        <w:rPr>
          <w:rFonts w:hAnsi="標楷體" w:hint="eastAsia"/>
        </w:rPr>
        <w:t>961.31</w:t>
      </w:r>
      <w:r w:rsidRPr="00FE1338">
        <w:rPr>
          <w:rFonts w:hAnsi="標楷體" w:hint="eastAsia"/>
        </w:rPr>
        <w:t>億元</w:t>
      </w:r>
      <w:r>
        <w:rPr>
          <w:rFonts w:hAnsi="標楷體" w:hint="eastAsia"/>
        </w:rPr>
        <w:t>減少</w:t>
      </w:r>
      <w:r w:rsidRPr="00FE1338">
        <w:rPr>
          <w:rFonts w:hAnsi="標楷體" w:hint="eastAsia"/>
        </w:rPr>
        <w:t>至112年度</w:t>
      </w:r>
      <w:r>
        <w:rPr>
          <w:rFonts w:hAnsi="標楷體" w:hint="eastAsia"/>
        </w:rPr>
        <w:t>812.45</w:t>
      </w:r>
      <w:r w:rsidRPr="00FE1338">
        <w:rPr>
          <w:rFonts w:hAnsi="標楷體" w:hint="eastAsia"/>
        </w:rPr>
        <w:t>億元，執行率</w:t>
      </w:r>
      <w:r>
        <w:rPr>
          <w:rFonts w:hAnsi="標楷體" w:hint="eastAsia"/>
        </w:rPr>
        <w:t>由</w:t>
      </w:r>
      <w:r w:rsidRPr="00FE1338">
        <w:rPr>
          <w:rFonts w:hAnsi="標楷體" w:hint="eastAsia"/>
        </w:rPr>
        <w:t>110年度9</w:t>
      </w:r>
      <w:r>
        <w:rPr>
          <w:rFonts w:hAnsi="標楷體" w:hint="eastAsia"/>
        </w:rPr>
        <w:t>1.94</w:t>
      </w:r>
      <w:r w:rsidRPr="00FE1338">
        <w:rPr>
          <w:rFonts w:hAnsi="標楷體" w:hint="eastAsia"/>
        </w:rPr>
        <w:t>%</w:t>
      </w:r>
      <w:r>
        <w:rPr>
          <w:rFonts w:hAnsi="標楷體" w:hint="eastAsia"/>
        </w:rPr>
        <w:t>提升至</w:t>
      </w:r>
      <w:r>
        <w:rPr>
          <w:rFonts w:hAnsi="標楷體" w:hint="eastAsia"/>
        </w:rPr>
        <w:lastRenderedPageBreak/>
        <w:t>112年度</w:t>
      </w:r>
      <w:r w:rsidRPr="00FE1338">
        <w:rPr>
          <w:rFonts w:hAnsi="標楷體" w:hint="eastAsia"/>
        </w:rPr>
        <w:t>9</w:t>
      </w:r>
      <w:r>
        <w:rPr>
          <w:rFonts w:hAnsi="標楷體" w:hint="eastAsia"/>
        </w:rPr>
        <w:t>6</w:t>
      </w:r>
      <w:r w:rsidRPr="00FE1338">
        <w:rPr>
          <w:rFonts w:hAnsi="標楷體" w:hint="eastAsia"/>
        </w:rPr>
        <w:t>.</w:t>
      </w:r>
      <w:r>
        <w:rPr>
          <w:rFonts w:hAnsi="標楷體" w:hint="eastAsia"/>
        </w:rPr>
        <w:t>32</w:t>
      </w:r>
      <w:r w:rsidRPr="00FE1338">
        <w:rPr>
          <w:rFonts w:hAnsi="標楷體" w:hint="eastAsia"/>
        </w:rPr>
        <w:t>%</w:t>
      </w:r>
      <w:r>
        <w:rPr>
          <w:rFonts w:hAnsi="標楷體" w:hint="eastAsia"/>
        </w:rPr>
        <w:t>；整體公共建設計畫</w:t>
      </w:r>
      <w:r w:rsidRPr="002978A0">
        <w:rPr>
          <w:rFonts w:hAnsi="標楷體" w:hint="eastAsia"/>
        </w:rPr>
        <w:t>列管經費由110年度</w:t>
      </w:r>
      <w:r>
        <w:rPr>
          <w:rFonts w:hAnsi="標楷體"/>
        </w:rPr>
        <w:t>4,575.18</w:t>
      </w:r>
      <w:r w:rsidRPr="002978A0">
        <w:rPr>
          <w:rFonts w:hAnsi="標楷體" w:hint="eastAsia"/>
        </w:rPr>
        <w:t>億元</w:t>
      </w:r>
      <w:r>
        <w:rPr>
          <w:rFonts w:hAnsi="標楷體" w:hint="eastAsia"/>
        </w:rPr>
        <w:t>增加</w:t>
      </w:r>
      <w:r w:rsidRPr="002978A0">
        <w:rPr>
          <w:rFonts w:hAnsi="標楷體" w:hint="eastAsia"/>
        </w:rPr>
        <w:t>至112年度</w:t>
      </w:r>
      <w:r>
        <w:rPr>
          <w:rFonts w:hAnsi="標楷體"/>
        </w:rPr>
        <w:t>6,210.83</w:t>
      </w:r>
      <w:r w:rsidRPr="002978A0">
        <w:rPr>
          <w:rFonts w:hAnsi="標楷體" w:hint="eastAsia"/>
        </w:rPr>
        <w:t>億元，</w:t>
      </w:r>
      <w:r>
        <w:rPr>
          <w:rFonts w:hAnsi="標楷體" w:hint="eastAsia"/>
        </w:rPr>
        <w:t>執行率由110年度95</w:t>
      </w:r>
      <w:r>
        <w:rPr>
          <w:rFonts w:hAnsi="標楷體"/>
        </w:rPr>
        <w:t>.87</w:t>
      </w:r>
      <w:r>
        <w:rPr>
          <w:rFonts w:hAnsi="標楷體" w:hint="eastAsia"/>
        </w:rPr>
        <w:t>%提升至112年度97.06%，112年度之列管經費及執行率</w:t>
      </w:r>
      <w:r w:rsidRPr="005D3628">
        <w:rPr>
          <w:rFonts w:hAnsi="標楷體" w:hint="eastAsia"/>
        </w:rPr>
        <w:t>均為近3年新高</w:t>
      </w:r>
      <w:r>
        <w:rPr>
          <w:rFonts w:hAnsi="標楷體" w:hint="eastAsia"/>
        </w:rPr>
        <w:t>。</w:t>
      </w:r>
    </w:p>
    <w:p w:rsidR="00BC5C71" w:rsidRDefault="00BC5C71" w:rsidP="00640605">
      <w:pPr>
        <w:pStyle w:val="af"/>
        <w:ind w:left="283" w:hanging="283"/>
        <w:rPr>
          <w:b/>
        </w:rPr>
      </w:pPr>
      <w:r w:rsidRPr="00441D6C">
        <w:rPr>
          <w:rFonts w:hint="eastAsia"/>
          <w:b/>
          <w:bCs/>
          <w:snapToGrid/>
        </w:rPr>
        <w:t>表</w:t>
      </w:r>
      <w:r>
        <w:rPr>
          <w:rFonts w:hint="eastAsia"/>
          <w:b/>
          <w:bCs/>
          <w:snapToGrid/>
        </w:rPr>
        <w:t>1</w:t>
      </w:r>
      <w:r w:rsidRPr="00441D6C">
        <w:rPr>
          <w:rFonts w:hint="eastAsia"/>
          <w:b/>
          <w:bCs/>
          <w:snapToGrid/>
        </w:rPr>
        <w:t xml:space="preserve"> 1</w:t>
      </w:r>
      <w:r>
        <w:rPr>
          <w:rFonts w:hint="eastAsia"/>
          <w:b/>
          <w:bCs/>
          <w:snapToGrid/>
        </w:rPr>
        <w:t>10至11</w:t>
      </w:r>
      <w:r>
        <w:rPr>
          <w:b/>
          <w:bCs/>
          <w:snapToGrid/>
        </w:rPr>
        <w:t>2</w:t>
      </w:r>
      <w:r>
        <w:rPr>
          <w:rFonts w:hint="eastAsia"/>
          <w:b/>
          <w:bCs/>
          <w:snapToGrid/>
        </w:rPr>
        <w:t>年度</w:t>
      </w:r>
      <w:r w:rsidRPr="00D97FE3">
        <w:rPr>
          <w:rFonts w:hint="eastAsia"/>
          <w:b/>
        </w:rPr>
        <w:t>公共建設計畫</w:t>
      </w:r>
      <w:r w:rsidRPr="00BF04AD">
        <w:rPr>
          <w:rFonts w:hint="eastAsia"/>
          <w:b/>
        </w:rPr>
        <w:t>執行情形</w:t>
      </w:r>
      <w:r>
        <w:rPr>
          <w:rFonts w:hint="eastAsia"/>
          <w:b/>
        </w:rPr>
        <w:t>簡</w:t>
      </w:r>
      <w:r w:rsidRPr="00D97FE3">
        <w:rPr>
          <w:rFonts w:hint="eastAsia"/>
          <w:b/>
        </w:rPr>
        <w:t>表</w:t>
      </w:r>
    </w:p>
    <w:p w:rsidR="00BC5C71" w:rsidRPr="003A3625" w:rsidRDefault="00BC5C71" w:rsidP="00640605">
      <w:pPr>
        <w:pStyle w:val="142"/>
        <w:jc w:val="right"/>
      </w:pPr>
      <w:r w:rsidRPr="00C104F2">
        <w:rPr>
          <w:rFonts w:hint="eastAsia"/>
          <w:snapToGrid/>
        </w:rPr>
        <w:t>單位：</w:t>
      </w:r>
      <w:r>
        <w:rPr>
          <w:rFonts w:hint="eastAsia"/>
          <w:snapToGrid/>
        </w:rPr>
        <w:t>項數；</w:t>
      </w:r>
      <w:r w:rsidRPr="00C104F2">
        <w:rPr>
          <w:rFonts w:hint="eastAsia"/>
          <w:snapToGrid/>
        </w:rPr>
        <w:t>新臺幣</w:t>
      </w:r>
      <w:r>
        <w:rPr>
          <w:rFonts w:hint="eastAsia"/>
          <w:snapToGrid/>
        </w:rPr>
        <w:t>千</w:t>
      </w:r>
      <w:r w:rsidRPr="00C104F2">
        <w:rPr>
          <w:rFonts w:hint="eastAsia"/>
          <w:snapToGrid/>
        </w:rPr>
        <w:t>元</w:t>
      </w:r>
      <w:r>
        <w:rPr>
          <w:rFonts w:hint="eastAsia"/>
          <w:snapToGrid/>
        </w:rPr>
        <w:t>；</w:t>
      </w:r>
      <w:r w:rsidRPr="00D22EC6">
        <w:rPr>
          <w:rFonts w:hint="eastAsia"/>
          <w:snapToGrid/>
        </w:rPr>
        <w:t>%</w:t>
      </w:r>
    </w:p>
    <w:tbl>
      <w:tblPr>
        <w:tblW w:w="852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3"/>
        <w:gridCol w:w="545"/>
        <w:gridCol w:w="1039"/>
        <w:gridCol w:w="1596"/>
        <w:gridCol w:w="1596"/>
        <w:gridCol w:w="1040"/>
        <w:gridCol w:w="1040"/>
        <w:gridCol w:w="1041"/>
      </w:tblGrid>
      <w:tr w:rsidR="00BC5C71" w:rsidRPr="00D22EC6" w:rsidTr="00640605">
        <w:trPr>
          <w:trHeight w:val="340"/>
          <w:tblHeader/>
        </w:trPr>
        <w:tc>
          <w:tcPr>
            <w:tcW w:w="623" w:type="dxa"/>
            <w:vMerge w:val="restart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項目</w:t>
            </w:r>
          </w:p>
        </w:tc>
        <w:tc>
          <w:tcPr>
            <w:tcW w:w="545" w:type="dxa"/>
            <w:vMerge w:val="restart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年度</w:t>
            </w:r>
          </w:p>
        </w:tc>
        <w:tc>
          <w:tcPr>
            <w:tcW w:w="1039" w:type="dxa"/>
            <w:vMerge w:val="restart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計畫項數</w:t>
            </w:r>
            <w:r>
              <w:rPr>
                <w:rFonts w:hint="eastAsia"/>
                <w:snapToGrid/>
              </w:rPr>
              <w:t>A</w:t>
            </w:r>
          </w:p>
        </w:tc>
        <w:tc>
          <w:tcPr>
            <w:tcW w:w="1596" w:type="dxa"/>
            <w:vMerge w:val="restart"/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列管經費</w:t>
            </w:r>
          </w:p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snapToGrid/>
              </w:rPr>
              <w:t>B</w:t>
            </w:r>
          </w:p>
        </w:tc>
        <w:tc>
          <w:tcPr>
            <w:tcW w:w="1596" w:type="dxa"/>
            <w:vMerge w:val="restart"/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執行數</w:t>
            </w:r>
          </w:p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snapToGrid/>
              </w:rPr>
              <w:t>C</w:t>
            </w:r>
          </w:p>
        </w:tc>
        <w:tc>
          <w:tcPr>
            <w:tcW w:w="1040" w:type="dxa"/>
            <w:vMerge w:val="restart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執行率</w:t>
            </w:r>
          </w:p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snapToGrid/>
              </w:rPr>
              <w:t>C/B</w:t>
            </w:r>
          </w:p>
        </w:tc>
        <w:tc>
          <w:tcPr>
            <w:tcW w:w="2081" w:type="dxa"/>
            <w:gridSpan w:val="2"/>
            <w:tcBorders>
              <w:left w:val="double" w:sz="4" w:space="0" w:color="auto"/>
            </w:tcBorders>
            <w:vAlign w:val="center"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執行率未達80%</w:t>
            </w:r>
          </w:p>
        </w:tc>
      </w:tr>
      <w:tr w:rsidR="00BC5C71" w:rsidRPr="00D22EC6" w:rsidTr="00640605">
        <w:trPr>
          <w:trHeight w:val="340"/>
          <w:tblHeader/>
        </w:trPr>
        <w:tc>
          <w:tcPr>
            <w:tcW w:w="623" w:type="dxa"/>
            <w:vMerge/>
            <w:shd w:val="clear" w:color="auto" w:fill="auto"/>
            <w:noWrap/>
            <w:vAlign w:val="center"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45" w:type="dxa"/>
            <w:vMerge/>
            <w:shd w:val="clear" w:color="auto" w:fill="auto"/>
            <w:noWrap/>
            <w:vAlign w:val="center"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039" w:type="dxa"/>
            <w:vMerge/>
            <w:shd w:val="clear" w:color="auto" w:fill="auto"/>
            <w:noWrap/>
            <w:vAlign w:val="center"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596" w:type="dxa"/>
            <w:vMerge/>
            <w:shd w:val="clear" w:color="auto" w:fill="auto"/>
            <w:noWrap/>
            <w:vAlign w:val="center"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596" w:type="dxa"/>
            <w:vMerge/>
            <w:shd w:val="clear" w:color="auto" w:fill="auto"/>
            <w:noWrap/>
            <w:vAlign w:val="center"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040" w:type="dxa"/>
            <w:tcBorders>
              <w:left w:val="double" w:sz="4" w:space="0" w:color="auto"/>
            </w:tcBorders>
            <w:vAlign w:val="center"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項數</w:t>
            </w:r>
          </w:p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snapToGrid/>
              </w:rPr>
              <w:t>E</w:t>
            </w:r>
          </w:p>
        </w:tc>
        <w:tc>
          <w:tcPr>
            <w:tcW w:w="1041" w:type="dxa"/>
            <w:vAlign w:val="center"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占比</w:t>
            </w:r>
          </w:p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E</w:t>
            </w:r>
            <w:r>
              <w:rPr>
                <w:snapToGrid/>
              </w:rPr>
              <w:t>/A</w:t>
            </w:r>
          </w:p>
        </w:tc>
      </w:tr>
      <w:tr w:rsidR="00BC5C71" w:rsidRPr="00D22EC6" w:rsidTr="00640605">
        <w:trPr>
          <w:trHeight w:val="340"/>
        </w:trPr>
        <w:tc>
          <w:tcPr>
            <w:tcW w:w="623" w:type="dxa"/>
            <w:vMerge w:val="restart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一般</w:t>
            </w:r>
          </w:p>
        </w:tc>
        <w:tc>
          <w:tcPr>
            <w:tcW w:w="545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110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215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361,387,435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350,261,365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96.92</w:t>
            </w:r>
          </w:p>
        </w:tc>
        <w:tc>
          <w:tcPr>
            <w:tcW w:w="1040" w:type="dxa"/>
            <w:tcBorders>
              <w:left w:val="double" w:sz="4" w:space="0" w:color="auto"/>
            </w:tcBorders>
            <w:vAlign w:val="center"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10</w:t>
            </w:r>
          </w:p>
        </w:tc>
        <w:tc>
          <w:tcPr>
            <w:tcW w:w="1041" w:type="dxa"/>
            <w:vAlign w:val="center"/>
          </w:tcPr>
          <w:p w:rsidR="00BC5C71" w:rsidRDefault="00BC5C71" w:rsidP="00640605">
            <w:pPr>
              <w:pStyle w:val="142"/>
              <w:jc w:val="right"/>
              <w:rPr>
                <w:rFonts w:ascii="新細明體" w:eastAsia="新細明體"/>
                <w:snapToGrid/>
                <w:color w:val="000000"/>
                <w:kern w:val="0"/>
                <w:szCs w:val="24"/>
              </w:rPr>
            </w:pPr>
            <w:r>
              <w:rPr>
                <w:rFonts w:hint="eastAsia"/>
                <w:color w:val="000000"/>
              </w:rPr>
              <w:t>4.65</w:t>
            </w:r>
          </w:p>
        </w:tc>
      </w:tr>
      <w:tr w:rsidR="00BC5C71" w:rsidRPr="00D22EC6" w:rsidTr="00640605">
        <w:trPr>
          <w:trHeight w:val="340"/>
        </w:trPr>
        <w:tc>
          <w:tcPr>
            <w:tcW w:w="623" w:type="dxa"/>
            <w:vMerge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45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111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208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333,183,461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323,522,158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97.10</w:t>
            </w:r>
          </w:p>
        </w:tc>
        <w:tc>
          <w:tcPr>
            <w:tcW w:w="1040" w:type="dxa"/>
            <w:tcBorders>
              <w:left w:val="double" w:sz="4" w:space="0" w:color="auto"/>
            </w:tcBorders>
            <w:vAlign w:val="center"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9</w:t>
            </w:r>
          </w:p>
        </w:tc>
        <w:tc>
          <w:tcPr>
            <w:tcW w:w="1041" w:type="dxa"/>
            <w:vAlign w:val="center"/>
          </w:tcPr>
          <w:p w:rsidR="00BC5C71" w:rsidRDefault="00BC5C71" w:rsidP="00640605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4.33</w:t>
            </w:r>
          </w:p>
        </w:tc>
      </w:tr>
      <w:tr w:rsidR="00BC5C71" w:rsidRPr="00D22EC6" w:rsidTr="00640605">
        <w:trPr>
          <w:trHeight w:val="340"/>
        </w:trPr>
        <w:tc>
          <w:tcPr>
            <w:tcW w:w="623" w:type="dxa"/>
            <w:vMerge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45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112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293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539,838,620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524,576,023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97.17</w:t>
            </w:r>
          </w:p>
        </w:tc>
        <w:tc>
          <w:tcPr>
            <w:tcW w:w="1040" w:type="dxa"/>
            <w:tcBorders>
              <w:left w:val="double" w:sz="4" w:space="0" w:color="auto"/>
            </w:tcBorders>
            <w:vAlign w:val="center"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24</w:t>
            </w:r>
          </w:p>
        </w:tc>
        <w:tc>
          <w:tcPr>
            <w:tcW w:w="1041" w:type="dxa"/>
            <w:vAlign w:val="center"/>
          </w:tcPr>
          <w:p w:rsidR="00BC5C71" w:rsidRDefault="00BC5C71" w:rsidP="00640605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8.19</w:t>
            </w:r>
          </w:p>
        </w:tc>
      </w:tr>
      <w:tr w:rsidR="00BC5C71" w:rsidRPr="00D22EC6" w:rsidTr="00640605">
        <w:trPr>
          <w:trHeight w:val="340"/>
        </w:trPr>
        <w:tc>
          <w:tcPr>
            <w:tcW w:w="623" w:type="dxa"/>
            <w:vMerge w:val="restart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前瞻</w:t>
            </w:r>
          </w:p>
        </w:tc>
        <w:tc>
          <w:tcPr>
            <w:tcW w:w="545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110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79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96,130,727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88,380,721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91.94</w:t>
            </w:r>
          </w:p>
        </w:tc>
        <w:tc>
          <w:tcPr>
            <w:tcW w:w="1040" w:type="dxa"/>
            <w:tcBorders>
              <w:left w:val="double" w:sz="4" w:space="0" w:color="auto"/>
            </w:tcBorders>
            <w:vAlign w:val="center"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19</w:t>
            </w:r>
          </w:p>
        </w:tc>
        <w:tc>
          <w:tcPr>
            <w:tcW w:w="1041" w:type="dxa"/>
            <w:vAlign w:val="center"/>
          </w:tcPr>
          <w:p w:rsidR="00BC5C71" w:rsidRDefault="00BC5C71" w:rsidP="00640605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24.05</w:t>
            </w:r>
          </w:p>
        </w:tc>
      </w:tr>
      <w:tr w:rsidR="00BC5C71" w:rsidRPr="00D22EC6" w:rsidTr="00640605">
        <w:trPr>
          <w:trHeight w:val="340"/>
        </w:trPr>
        <w:tc>
          <w:tcPr>
            <w:tcW w:w="623" w:type="dxa"/>
            <w:vMerge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45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111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79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82,715,386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74,842,079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90.48</w:t>
            </w:r>
          </w:p>
        </w:tc>
        <w:tc>
          <w:tcPr>
            <w:tcW w:w="1040" w:type="dxa"/>
            <w:tcBorders>
              <w:left w:val="double" w:sz="4" w:space="0" w:color="auto"/>
            </w:tcBorders>
            <w:vAlign w:val="center"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21</w:t>
            </w:r>
          </w:p>
        </w:tc>
        <w:tc>
          <w:tcPr>
            <w:tcW w:w="1041" w:type="dxa"/>
            <w:vAlign w:val="center"/>
          </w:tcPr>
          <w:p w:rsidR="00BC5C71" w:rsidRDefault="00BC5C71" w:rsidP="00640605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26.58</w:t>
            </w:r>
          </w:p>
        </w:tc>
      </w:tr>
      <w:tr w:rsidR="00BC5C71" w:rsidRPr="00D22EC6" w:rsidTr="00640605">
        <w:trPr>
          <w:trHeight w:val="340"/>
        </w:trPr>
        <w:tc>
          <w:tcPr>
            <w:tcW w:w="623" w:type="dxa"/>
            <w:vMerge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45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112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77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81,244,762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78,251,150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96.32</w:t>
            </w:r>
          </w:p>
        </w:tc>
        <w:tc>
          <w:tcPr>
            <w:tcW w:w="1040" w:type="dxa"/>
            <w:tcBorders>
              <w:left w:val="double" w:sz="4" w:space="0" w:color="auto"/>
            </w:tcBorders>
            <w:vAlign w:val="center"/>
          </w:tcPr>
          <w:p w:rsidR="00BC5C71" w:rsidRPr="00D22EC6" w:rsidRDefault="00BC5C71" w:rsidP="00640605">
            <w:pPr>
              <w:pStyle w:val="142"/>
              <w:jc w:val="right"/>
              <w:rPr>
                <w:snapToGrid/>
              </w:rPr>
            </w:pPr>
            <w:r w:rsidRPr="00D22EC6">
              <w:rPr>
                <w:rFonts w:hint="eastAsia"/>
                <w:snapToGrid/>
              </w:rPr>
              <w:t>12</w:t>
            </w:r>
          </w:p>
        </w:tc>
        <w:tc>
          <w:tcPr>
            <w:tcW w:w="1041" w:type="dxa"/>
            <w:vAlign w:val="center"/>
          </w:tcPr>
          <w:p w:rsidR="00BC5C71" w:rsidRDefault="00BC5C71" w:rsidP="00640605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15.58</w:t>
            </w:r>
          </w:p>
        </w:tc>
      </w:tr>
      <w:tr w:rsidR="00BC5C71" w:rsidRPr="00D22EC6" w:rsidTr="00640605">
        <w:trPr>
          <w:trHeight w:val="340"/>
        </w:trPr>
        <w:tc>
          <w:tcPr>
            <w:tcW w:w="623" w:type="dxa"/>
            <w:vMerge w:val="restart"/>
            <w:shd w:val="clear" w:color="auto" w:fill="auto"/>
            <w:noWrap/>
            <w:vAlign w:val="center"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合計</w:t>
            </w:r>
          </w:p>
        </w:tc>
        <w:tc>
          <w:tcPr>
            <w:tcW w:w="545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039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294</w:t>
            </w:r>
          </w:p>
        </w:tc>
        <w:tc>
          <w:tcPr>
            <w:tcW w:w="159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457,518,162</w:t>
            </w:r>
          </w:p>
        </w:tc>
        <w:tc>
          <w:tcPr>
            <w:tcW w:w="159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438,642,087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95.87</w:t>
            </w:r>
          </w:p>
        </w:tc>
        <w:tc>
          <w:tcPr>
            <w:tcW w:w="1040" w:type="dxa"/>
            <w:tcBorders>
              <w:left w:val="double" w:sz="4" w:space="0" w:color="auto"/>
            </w:tcBorders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29</w:t>
            </w:r>
          </w:p>
        </w:tc>
        <w:tc>
          <w:tcPr>
            <w:tcW w:w="1041" w:type="dxa"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9.86</w:t>
            </w:r>
          </w:p>
        </w:tc>
      </w:tr>
      <w:tr w:rsidR="00BC5C71" w:rsidRPr="00D22EC6" w:rsidTr="00640605">
        <w:trPr>
          <w:trHeight w:val="340"/>
        </w:trPr>
        <w:tc>
          <w:tcPr>
            <w:tcW w:w="623" w:type="dxa"/>
            <w:vMerge/>
            <w:shd w:val="clear" w:color="auto" w:fill="auto"/>
            <w:noWrap/>
            <w:vAlign w:val="center"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45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039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287</w:t>
            </w:r>
          </w:p>
        </w:tc>
        <w:tc>
          <w:tcPr>
            <w:tcW w:w="159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415,898,847</w:t>
            </w:r>
          </w:p>
        </w:tc>
        <w:tc>
          <w:tcPr>
            <w:tcW w:w="159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398,364,237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95.78</w:t>
            </w:r>
          </w:p>
        </w:tc>
        <w:tc>
          <w:tcPr>
            <w:tcW w:w="1040" w:type="dxa"/>
            <w:tcBorders>
              <w:left w:val="double" w:sz="4" w:space="0" w:color="auto"/>
            </w:tcBorders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30</w:t>
            </w:r>
          </w:p>
        </w:tc>
        <w:tc>
          <w:tcPr>
            <w:tcW w:w="1041" w:type="dxa"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10.45</w:t>
            </w:r>
          </w:p>
        </w:tc>
      </w:tr>
      <w:tr w:rsidR="00BC5C71" w:rsidRPr="00D22EC6" w:rsidTr="00640605">
        <w:trPr>
          <w:trHeight w:val="340"/>
        </w:trPr>
        <w:tc>
          <w:tcPr>
            <w:tcW w:w="623" w:type="dxa"/>
            <w:vMerge/>
            <w:shd w:val="clear" w:color="auto" w:fill="auto"/>
            <w:noWrap/>
            <w:vAlign w:val="center"/>
          </w:tcPr>
          <w:p w:rsidR="00BC5C71" w:rsidRPr="00D22EC6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545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039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370</w:t>
            </w:r>
          </w:p>
        </w:tc>
        <w:tc>
          <w:tcPr>
            <w:tcW w:w="159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621,083,382</w:t>
            </w:r>
          </w:p>
        </w:tc>
        <w:tc>
          <w:tcPr>
            <w:tcW w:w="159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602,827,173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97.06</w:t>
            </w:r>
          </w:p>
        </w:tc>
        <w:tc>
          <w:tcPr>
            <w:tcW w:w="1040" w:type="dxa"/>
            <w:tcBorders>
              <w:left w:val="double" w:sz="4" w:space="0" w:color="auto"/>
            </w:tcBorders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36</w:t>
            </w:r>
          </w:p>
        </w:tc>
        <w:tc>
          <w:tcPr>
            <w:tcW w:w="1041" w:type="dxa"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9.73</w:t>
            </w:r>
          </w:p>
        </w:tc>
      </w:tr>
    </w:tbl>
    <w:p w:rsidR="00BC5C71" w:rsidRDefault="00BC5C71" w:rsidP="00640605">
      <w:pPr>
        <w:pStyle w:val="142"/>
        <w:ind w:leftChars="1" w:left="1428" w:hangingChars="586" w:hanging="1425"/>
        <w:jc w:val="both"/>
      </w:pPr>
      <w:r w:rsidRPr="00441D6C">
        <w:rPr>
          <w:rFonts w:hint="eastAsia"/>
        </w:rPr>
        <w:t>說    明：</w:t>
      </w:r>
      <w:r>
        <w:rPr>
          <w:rFonts w:hint="eastAsia"/>
        </w:rPr>
        <w:t>1.</w:t>
      </w:r>
      <w:r w:rsidRPr="009B0A12">
        <w:rPr>
          <w:rFonts w:hint="eastAsia"/>
        </w:rPr>
        <w:t>工程會於其</w:t>
      </w:r>
      <w:r>
        <w:rPr>
          <w:rFonts w:hint="eastAsia"/>
        </w:rPr>
        <w:t>網站</w:t>
      </w:r>
      <w:r w:rsidRPr="009B0A12">
        <w:rPr>
          <w:rFonts w:hint="eastAsia"/>
        </w:rPr>
        <w:t>按月</w:t>
      </w:r>
      <w:r>
        <w:rPr>
          <w:rFonts w:hint="eastAsia"/>
        </w:rPr>
        <w:t>公開</w:t>
      </w:r>
      <w:r w:rsidRPr="009B0A12">
        <w:rPr>
          <w:rFonts w:hint="eastAsia"/>
        </w:rPr>
        <w:t>各主管機關一般公共建設計畫及前瞻公共建設</w:t>
      </w:r>
      <w:r>
        <w:rPr>
          <w:rFonts w:hint="eastAsia"/>
        </w:rPr>
        <w:t>計畫</w:t>
      </w:r>
      <w:r w:rsidRPr="009B0A12">
        <w:rPr>
          <w:rFonts w:hint="eastAsia"/>
        </w:rPr>
        <w:t>之整體執行情形</w:t>
      </w:r>
      <w:r>
        <w:rPr>
          <w:rFonts w:hint="eastAsia"/>
        </w:rPr>
        <w:t>，本表經費執行情形係該會依公開資料為基礎提供。</w:t>
      </w:r>
    </w:p>
    <w:p w:rsidR="00BC5C71" w:rsidRDefault="00BC5C71" w:rsidP="00640605">
      <w:pPr>
        <w:pStyle w:val="142"/>
        <w:ind w:leftChars="425" w:left="1416" w:hangingChars="87" w:hanging="212"/>
        <w:jc w:val="both"/>
      </w:pPr>
      <w:r>
        <w:rPr>
          <w:rFonts w:hint="eastAsia"/>
        </w:rPr>
        <w:t>2.列管經費為</w:t>
      </w:r>
      <w:r w:rsidRPr="00A57BBE">
        <w:rPr>
          <w:rFonts w:hint="eastAsia"/>
        </w:rPr>
        <w:t>全年計畫可支用經費，來源包括公務預算、特別預算、基金預算及地方配合款，項目包含年編預算、追加減預算、</w:t>
      </w:r>
      <w:r>
        <w:rPr>
          <w:rFonts w:hint="eastAsia"/>
        </w:rPr>
        <w:t>歷年</w:t>
      </w:r>
      <w:r w:rsidRPr="00A57BBE">
        <w:rPr>
          <w:rFonts w:hint="eastAsia"/>
        </w:rPr>
        <w:t>保留款、奉准先行辦理</w:t>
      </w:r>
      <w:r>
        <w:rPr>
          <w:rFonts w:hint="eastAsia"/>
        </w:rPr>
        <w:t>及</w:t>
      </w:r>
      <w:r w:rsidRPr="00A57BBE">
        <w:rPr>
          <w:rFonts w:hint="eastAsia"/>
        </w:rPr>
        <w:t>預備金，不含報行政院核定之提列準備數</w:t>
      </w:r>
      <w:r>
        <w:rPr>
          <w:rFonts w:hint="eastAsia"/>
        </w:rPr>
        <w:t>；</w:t>
      </w:r>
      <w:r w:rsidRPr="00F61F08">
        <w:rPr>
          <w:rFonts w:hint="eastAsia"/>
        </w:rPr>
        <w:t>本表前瞻公共建設計畫列管經費僅</w:t>
      </w:r>
      <w:r>
        <w:rPr>
          <w:rFonts w:hint="eastAsia"/>
        </w:rPr>
        <w:t>指</w:t>
      </w:r>
      <w:r w:rsidRPr="00F61F08">
        <w:rPr>
          <w:rFonts w:hint="eastAsia"/>
        </w:rPr>
        <w:t>前瞻基礎建設計畫當期當年度特別預算</w:t>
      </w:r>
      <w:r w:rsidRPr="006507A7">
        <w:rPr>
          <w:rFonts w:hint="eastAsia"/>
        </w:rPr>
        <w:t>。</w:t>
      </w:r>
    </w:p>
    <w:p w:rsidR="00BC5C71" w:rsidRDefault="00BC5C71" w:rsidP="00640605">
      <w:pPr>
        <w:pStyle w:val="142"/>
        <w:ind w:leftChars="425" w:left="1416" w:hangingChars="87" w:hanging="212"/>
        <w:jc w:val="both"/>
      </w:pPr>
      <w:r>
        <w:rPr>
          <w:rFonts w:hint="eastAsia"/>
        </w:rPr>
        <w:t>3.執行數包括實現數、已執行應付未付數、預付數及賸餘數等，以下同。</w:t>
      </w:r>
    </w:p>
    <w:p w:rsidR="00BC5C71" w:rsidRDefault="00BC5C71" w:rsidP="00640605">
      <w:pPr>
        <w:pStyle w:val="142"/>
        <w:ind w:leftChars="425" w:left="1416" w:hangingChars="87" w:hanging="212"/>
        <w:jc w:val="both"/>
      </w:pPr>
      <w:r>
        <w:rPr>
          <w:rFonts w:hint="eastAsia"/>
        </w:rPr>
        <w:t>4.工程會111年度(含)以前列管一般公共建設計畫原則為5,000萬元以上計畫，未</w:t>
      </w:r>
      <w:r w:rsidRPr="001A57B1">
        <w:rPr>
          <w:rFonts w:hint="eastAsia"/>
        </w:rPr>
        <w:t>列管單純財物採購、勞務採購及工程經費未達5,000萬元之計畫等，</w:t>
      </w:r>
      <w:r>
        <w:rPr>
          <w:rFonts w:hint="eastAsia"/>
        </w:rPr>
        <w:t>前瞻建設計畫則列管全部計畫；配合</w:t>
      </w:r>
      <w:r w:rsidRPr="004865A6">
        <w:rPr>
          <w:rFonts w:hint="eastAsia"/>
        </w:rPr>
        <w:t>「行政院公共工程委員會公共建設督導會報設置及作業要點」</w:t>
      </w:r>
      <w:r>
        <w:rPr>
          <w:rFonts w:hint="eastAsia"/>
        </w:rPr>
        <w:t>112年10月25日修正為全數公共建設計畫均應予列管，爰112年度資料納入</w:t>
      </w:r>
      <w:r w:rsidRPr="004865A6">
        <w:rPr>
          <w:rFonts w:hint="eastAsia"/>
        </w:rPr>
        <w:t>全數公共建設計畫</w:t>
      </w:r>
      <w:r>
        <w:rPr>
          <w:rFonts w:hint="eastAsia"/>
        </w:rPr>
        <w:t>。</w:t>
      </w:r>
    </w:p>
    <w:p w:rsidR="00BC5C71" w:rsidRDefault="00BC5C71" w:rsidP="00640605">
      <w:pPr>
        <w:pStyle w:val="142"/>
        <w:ind w:leftChars="10" w:left="1203" w:hangingChars="483" w:hanging="1175"/>
        <w:jc w:val="both"/>
      </w:pPr>
      <w:r w:rsidRPr="00441D6C">
        <w:rPr>
          <w:rFonts w:hint="eastAsia"/>
        </w:rPr>
        <w:t>資料來源：</w:t>
      </w:r>
      <w:r>
        <w:rPr>
          <w:rFonts w:hint="eastAsia"/>
        </w:rPr>
        <w:t>工程會；本中心整理。</w:t>
      </w:r>
    </w:p>
    <w:p w:rsidR="00BC5C71" w:rsidRDefault="00BC5C71" w:rsidP="00640605">
      <w:pPr>
        <w:pStyle w:val="a5"/>
        <w:ind w:left="849" w:hanging="283"/>
        <w:rPr>
          <w:b/>
        </w:rPr>
      </w:pPr>
      <w:r w:rsidRPr="009875E5">
        <w:rPr>
          <w:rFonts w:hint="eastAsia"/>
          <w:b/>
        </w:rPr>
        <w:t>(二)</w:t>
      </w:r>
      <w:r>
        <w:rPr>
          <w:rFonts w:hint="eastAsia"/>
          <w:b/>
        </w:rPr>
        <w:t>112年度</w:t>
      </w:r>
      <w:r w:rsidRPr="006155B4">
        <w:rPr>
          <w:rFonts w:hint="eastAsia"/>
          <w:b/>
        </w:rPr>
        <w:t>一般公共建設計畫執行率未達80%之項數及占比均較111年度增加</w:t>
      </w:r>
      <w:r>
        <w:rPr>
          <w:rFonts w:hint="eastAsia"/>
          <w:b/>
        </w:rPr>
        <w:t>，其中</w:t>
      </w:r>
      <w:r w:rsidRPr="00B83053">
        <w:rPr>
          <w:rFonts w:hint="eastAsia"/>
          <w:b/>
        </w:rPr>
        <w:t>有8項</w:t>
      </w:r>
      <w:r>
        <w:rPr>
          <w:rFonts w:hint="eastAsia"/>
          <w:b/>
        </w:rPr>
        <w:t>計畫執行率</w:t>
      </w:r>
      <w:r w:rsidRPr="00B83053">
        <w:rPr>
          <w:rFonts w:hint="eastAsia"/>
          <w:b/>
        </w:rPr>
        <w:t>未達20%</w:t>
      </w:r>
    </w:p>
    <w:p w:rsidR="00BC5C71" w:rsidRDefault="00BC5C71" w:rsidP="00640605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112年度一般公共建設計畫共293項，列管經費執行率為</w:t>
      </w:r>
      <w:r>
        <w:rPr>
          <w:rFonts w:hAnsi="標楷體" w:hint="eastAsia"/>
        </w:rPr>
        <w:lastRenderedPageBreak/>
        <w:t>97.17%，惟</w:t>
      </w:r>
      <w:r w:rsidRPr="00951221">
        <w:rPr>
          <w:rFonts w:hAnsi="標楷體" w:hint="eastAsia"/>
        </w:rPr>
        <w:t>執行率未達80%</w:t>
      </w:r>
      <w:r>
        <w:rPr>
          <w:rFonts w:hAnsi="標楷體" w:hint="eastAsia"/>
        </w:rPr>
        <w:t>之計畫仍有24項，占8.19%，較111年度之9項、4.33%增加15項、3.86個百分點(詳表1)。</w:t>
      </w:r>
    </w:p>
    <w:p w:rsidR="00BC5C71" w:rsidRPr="00D95BF3" w:rsidRDefault="00BC5C71" w:rsidP="00640605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檢視工程會提供之112年度一般公共建設計畫執行情形，</w:t>
      </w:r>
      <w:r w:rsidRPr="00D95BF3">
        <w:rPr>
          <w:rFonts w:hAnsi="標楷體" w:hint="eastAsia"/>
        </w:rPr>
        <w:t>執行率未達80%</w:t>
      </w:r>
      <w:r>
        <w:rPr>
          <w:rFonts w:hAnsi="標楷體" w:hint="eastAsia"/>
        </w:rPr>
        <w:t>之24</w:t>
      </w:r>
      <w:r w:rsidRPr="00D95BF3">
        <w:rPr>
          <w:rFonts w:hAnsi="標楷體" w:hint="eastAsia"/>
        </w:rPr>
        <w:t>項</w:t>
      </w:r>
      <w:r>
        <w:rPr>
          <w:rFonts w:hAnsi="標楷體" w:hint="eastAsia"/>
        </w:rPr>
        <w:t>計畫中，有8項計畫執行率甚至未達20%(詳表2)，其中以內政部主管「</w:t>
      </w:r>
      <w:r w:rsidRPr="00D95BF3">
        <w:rPr>
          <w:rFonts w:hAnsi="標楷體" w:hint="eastAsia"/>
        </w:rPr>
        <w:t>校園周邊暨行車安全道路改善計畫</w:t>
      </w:r>
      <w:r>
        <w:rPr>
          <w:rFonts w:hAnsi="標楷體" w:hint="eastAsia"/>
        </w:rPr>
        <w:t>」之列管經費50億元最高，主要</w:t>
      </w:r>
      <w:r w:rsidRPr="007E269C">
        <w:rPr>
          <w:rFonts w:hAnsi="標楷體" w:hint="eastAsia"/>
        </w:rPr>
        <w:t>因地方政府未完成納入預算程序、召開居民協調會</w:t>
      </w:r>
      <w:r>
        <w:rPr>
          <w:rFonts w:hAnsi="標楷體" w:hint="eastAsia"/>
        </w:rPr>
        <w:t>及</w:t>
      </w:r>
      <w:r w:rsidRPr="007E269C">
        <w:rPr>
          <w:rFonts w:hAnsi="標楷體" w:hint="eastAsia"/>
        </w:rPr>
        <w:t>設計成果未送</w:t>
      </w:r>
      <w:r>
        <w:rPr>
          <w:rFonts w:hAnsi="標楷體" w:hint="eastAsia"/>
        </w:rPr>
        <w:t>內政部國土管理</w:t>
      </w:r>
      <w:r w:rsidRPr="007E269C">
        <w:rPr>
          <w:rFonts w:hAnsi="標楷體" w:hint="eastAsia"/>
        </w:rPr>
        <w:t>署審查，致工程尚未發包</w:t>
      </w:r>
      <w:r>
        <w:rPr>
          <w:rStyle w:val="af5"/>
          <w:rFonts w:hAnsi="標楷體"/>
        </w:rPr>
        <w:footnoteReference w:id="4"/>
      </w:r>
      <w:r>
        <w:rPr>
          <w:rFonts w:hAnsi="標楷體" w:hint="eastAsia"/>
        </w:rPr>
        <w:t>，112年度執行率僅3.63%，原預計於該年度辦理完竣，總累計實際進度較預計落後34.07個百分點；另經濟部主管「</w:t>
      </w:r>
      <w:r w:rsidRPr="00B83053">
        <w:rPr>
          <w:rFonts w:hAnsi="標楷體" w:hint="eastAsia"/>
        </w:rPr>
        <w:t>協和電廠更新改建計畫</w:t>
      </w:r>
      <w:r>
        <w:rPr>
          <w:rFonts w:hAnsi="標楷體" w:hint="eastAsia"/>
        </w:rPr>
        <w:t>」之列管經費40.71億元次之，因</w:t>
      </w:r>
      <w:r w:rsidRPr="00082BE5">
        <w:rPr>
          <w:rFonts w:hAnsi="標楷體" w:hint="eastAsia"/>
        </w:rPr>
        <w:t>環評審查進度不如預期，致電廠拆廠及海事工程等工作無法如期</w:t>
      </w:r>
      <w:r>
        <w:rPr>
          <w:rFonts w:hAnsi="標楷體" w:hint="eastAsia"/>
        </w:rPr>
        <w:t>辦理</w:t>
      </w:r>
      <w:r>
        <w:rPr>
          <w:rStyle w:val="af5"/>
          <w:rFonts w:hAnsi="標楷體"/>
        </w:rPr>
        <w:footnoteReference w:id="5"/>
      </w:r>
      <w:r>
        <w:rPr>
          <w:rFonts w:hAnsi="標楷體" w:hint="eastAsia"/>
        </w:rPr>
        <w:t>，執行率僅11.83%，總累計實際進度亦較預計落後。揆該8項計畫主管機關為經濟部3項、交通部3項、內政部1項及農業部1項，涉及能源供應、交通安全、運輸規劃及氣象監測等攸關公眾權益計畫，允宜強化預算執行之控管。</w:t>
      </w:r>
    </w:p>
    <w:p w:rsidR="00BC5C71" w:rsidRDefault="00BC5C71" w:rsidP="00640605">
      <w:pPr>
        <w:pStyle w:val="af"/>
        <w:ind w:left="283" w:hanging="283"/>
        <w:rPr>
          <w:b/>
        </w:rPr>
      </w:pPr>
      <w:r w:rsidRPr="00441D6C">
        <w:rPr>
          <w:rFonts w:hint="eastAsia"/>
          <w:b/>
          <w:bCs/>
          <w:snapToGrid/>
        </w:rPr>
        <w:t>表</w:t>
      </w:r>
      <w:r>
        <w:rPr>
          <w:rFonts w:hint="eastAsia"/>
          <w:b/>
          <w:bCs/>
          <w:snapToGrid/>
        </w:rPr>
        <w:t xml:space="preserve">2 </w:t>
      </w:r>
      <w:r>
        <w:rPr>
          <w:rFonts w:hint="eastAsia"/>
          <w:b/>
        </w:rPr>
        <w:t>112年度一般</w:t>
      </w:r>
      <w:r w:rsidRPr="00D97FE3">
        <w:rPr>
          <w:rFonts w:hint="eastAsia"/>
          <w:b/>
        </w:rPr>
        <w:t>公共建設計畫</w:t>
      </w:r>
      <w:r w:rsidRPr="0087122D">
        <w:rPr>
          <w:rFonts w:hint="eastAsia"/>
          <w:b/>
        </w:rPr>
        <w:t>執行率未達</w:t>
      </w:r>
      <w:r>
        <w:rPr>
          <w:rFonts w:hint="eastAsia"/>
          <w:b/>
        </w:rPr>
        <w:t>2</w:t>
      </w:r>
      <w:r w:rsidRPr="0087122D">
        <w:rPr>
          <w:rFonts w:hint="eastAsia"/>
          <w:b/>
        </w:rPr>
        <w:t>0%</w:t>
      </w:r>
      <w:r>
        <w:rPr>
          <w:rFonts w:hint="eastAsia"/>
          <w:b/>
        </w:rPr>
        <w:t>明細表</w:t>
      </w:r>
    </w:p>
    <w:p w:rsidR="00BC5C71" w:rsidRPr="000A6338" w:rsidRDefault="00BC5C71" w:rsidP="00640605">
      <w:pPr>
        <w:pStyle w:val="142"/>
        <w:jc w:val="right"/>
        <w:rPr>
          <w:rFonts w:hAnsi="標楷體"/>
        </w:rPr>
      </w:pPr>
      <w:r w:rsidRPr="00C104F2">
        <w:rPr>
          <w:rFonts w:hint="eastAsia"/>
          <w:snapToGrid/>
        </w:rPr>
        <w:t>單位：新臺幣</w:t>
      </w:r>
      <w:r>
        <w:rPr>
          <w:rFonts w:hint="eastAsia"/>
          <w:snapToGrid/>
        </w:rPr>
        <w:t>千</w:t>
      </w:r>
      <w:r w:rsidRPr="00C104F2">
        <w:rPr>
          <w:rFonts w:hint="eastAsia"/>
          <w:snapToGrid/>
        </w:rPr>
        <w:t>元</w:t>
      </w:r>
      <w:r>
        <w:rPr>
          <w:rFonts w:hint="eastAsia"/>
          <w:snapToGrid/>
        </w:rPr>
        <w:t>；</w:t>
      </w:r>
      <w:r w:rsidRPr="00D22EC6">
        <w:rPr>
          <w:rFonts w:hint="eastAsia"/>
          <w:snapToGrid/>
        </w:rPr>
        <w:t>%</w:t>
      </w:r>
    </w:p>
    <w:tbl>
      <w:tblPr>
        <w:tblW w:w="866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"/>
        <w:gridCol w:w="854"/>
        <w:gridCol w:w="1890"/>
        <w:gridCol w:w="1218"/>
        <w:gridCol w:w="1036"/>
        <w:gridCol w:w="815"/>
        <w:gridCol w:w="816"/>
        <w:gridCol w:w="816"/>
        <w:gridCol w:w="816"/>
      </w:tblGrid>
      <w:tr w:rsidR="00BC5C71" w:rsidRPr="000A6338" w:rsidTr="00640605">
        <w:trPr>
          <w:trHeight w:val="340"/>
          <w:tblHeader/>
        </w:trPr>
        <w:tc>
          <w:tcPr>
            <w:tcW w:w="406" w:type="dxa"/>
            <w:vMerge w:val="restart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項次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主管</w:t>
            </w:r>
          </w:p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機關</w:t>
            </w:r>
          </w:p>
        </w:tc>
        <w:tc>
          <w:tcPr>
            <w:tcW w:w="1890" w:type="dxa"/>
            <w:vMerge w:val="restart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計畫名稱</w:t>
            </w:r>
          </w:p>
        </w:tc>
        <w:tc>
          <w:tcPr>
            <w:tcW w:w="1218" w:type="dxa"/>
            <w:vMerge w:val="restart"/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列管經費</w:t>
            </w:r>
          </w:p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A</w:t>
            </w:r>
          </w:p>
        </w:tc>
        <w:tc>
          <w:tcPr>
            <w:tcW w:w="1036" w:type="dxa"/>
            <w:vMerge w:val="restart"/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執行數</w:t>
            </w:r>
          </w:p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B</w:t>
            </w:r>
          </w:p>
        </w:tc>
        <w:tc>
          <w:tcPr>
            <w:tcW w:w="815" w:type="dxa"/>
            <w:vMerge w:val="restart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執行率</w:t>
            </w:r>
          </w:p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B/A</w:t>
            </w:r>
          </w:p>
        </w:tc>
        <w:tc>
          <w:tcPr>
            <w:tcW w:w="2448" w:type="dxa"/>
            <w:gridSpan w:val="3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總累計進度</w:t>
            </w:r>
          </w:p>
        </w:tc>
      </w:tr>
      <w:tr w:rsidR="00BC5C71" w:rsidRPr="000A6338" w:rsidTr="00640605">
        <w:trPr>
          <w:trHeight w:val="340"/>
          <w:tblHeader/>
        </w:trPr>
        <w:tc>
          <w:tcPr>
            <w:tcW w:w="406" w:type="dxa"/>
            <w:vMerge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890" w:type="dxa"/>
            <w:vMerge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218" w:type="dxa"/>
            <w:vMerge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036" w:type="dxa"/>
            <w:vMerge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816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預定</w:t>
            </w:r>
          </w:p>
        </w:tc>
        <w:tc>
          <w:tcPr>
            <w:tcW w:w="816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實際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差異</w:t>
            </w:r>
          </w:p>
        </w:tc>
      </w:tr>
      <w:tr w:rsidR="00BC5C71" w:rsidRPr="000A6338" w:rsidTr="00640605">
        <w:trPr>
          <w:trHeight w:val="340"/>
        </w:trPr>
        <w:tc>
          <w:tcPr>
            <w:tcW w:w="40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經濟部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both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石門抽蓄水力發電計畫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27,771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122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0.44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0.40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0.13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-0.27</w:t>
            </w:r>
          </w:p>
        </w:tc>
      </w:tr>
      <w:tr w:rsidR="00BC5C71" w:rsidRPr="000A6338" w:rsidTr="00640605">
        <w:trPr>
          <w:trHeight w:val="340"/>
        </w:trPr>
        <w:tc>
          <w:tcPr>
            <w:tcW w:w="40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2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農業部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both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漁業公務船汰建中長程計畫(漁業公務船汰建中長程計畫)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794,550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8,574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1.08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68.00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68.83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0.83</w:t>
            </w:r>
          </w:p>
        </w:tc>
      </w:tr>
      <w:tr w:rsidR="00BC5C71" w:rsidRPr="000A6338" w:rsidTr="00640605">
        <w:trPr>
          <w:trHeight w:val="340"/>
        </w:trPr>
        <w:tc>
          <w:tcPr>
            <w:tcW w:w="40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3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內政部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both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校園周邊暨行車安全道路改善計畫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5,000,000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181,310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3.63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100.00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65.93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-34.07</w:t>
            </w:r>
          </w:p>
        </w:tc>
      </w:tr>
      <w:tr w:rsidR="00BC5C71" w:rsidRPr="000A6338" w:rsidTr="00640605">
        <w:trPr>
          <w:trHeight w:val="340"/>
        </w:trPr>
        <w:tc>
          <w:tcPr>
            <w:tcW w:w="40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4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經濟部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both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（L11002）天然氣事業部第三座液化天然氣接收站</w:t>
            </w:r>
            <w:r w:rsidRPr="000A6338">
              <w:rPr>
                <w:rFonts w:hint="eastAsia"/>
                <w:snapToGrid/>
              </w:rPr>
              <w:lastRenderedPageBreak/>
              <w:t>二期投資計畫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lastRenderedPageBreak/>
              <w:t>241,050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11,519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4.78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0.50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0.50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0.00</w:t>
            </w:r>
          </w:p>
        </w:tc>
      </w:tr>
      <w:tr w:rsidR="00BC5C71" w:rsidRPr="000A6338" w:rsidTr="00640605">
        <w:trPr>
          <w:trHeight w:val="340"/>
        </w:trPr>
        <w:tc>
          <w:tcPr>
            <w:tcW w:w="40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5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交通部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both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宜蘭至羅東鐵路高架化計畫綜合規劃作業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16,000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808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5.05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100.00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99.05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-0.95</w:t>
            </w:r>
          </w:p>
        </w:tc>
      </w:tr>
      <w:tr w:rsidR="00BC5C71" w:rsidRPr="000A6338" w:rsidTr="00640605">
        <w:trPr>
          <w:trHeight w:val="340"/>
        </w:trPr>
        <w:tc>
          <w:tcPr>
            <w:tcW w:w="40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6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經濟部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both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協和電廠更新改建計畫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4,071,341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481,788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11.83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24.45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23.65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-0.80</w:t>
            </w:r>
          </w:p>
        </w:tc>
      </w:tr>
      <w:tr w:rsidR="00BC5C71" w:rsidRPr="000A6338" w:rsidTr="00640605">
        <w:trPr>
          <w:trHeight w:val="340"/>
        </w:trPr>
        <w:tc>
          <w:tcPr>
            <w:tcW w:w="40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7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交通部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both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臺灣南部海域地震與海嘯海底監測系統建置計畫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451,743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58,516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12.95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50.00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50.00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0.00</w:t>
            </w:r>
          </w:p>
        </w:tc>
      </w:tr>
      <w:tr w:rsidR="00BC5C71" w:rsidRPr="000A6338" w:rsidTr="00640605">
        <w:trPr>
          <w:trHeight w:val="340"/>
        </w:trPr>
        <w:tc>
          <w:tcPr>
            <w:tcW w:w="40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8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交通部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both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交通運輸系統規劃作業計畫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41,080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8,076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19.66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98.50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98.50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right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0.00</w:t>
            </w:r>
          </w:p>
        </w:tc>
      </w:tr>
    </w:tbl>
    <w:p w:rsidR="00BC5C71" w:rsidRPr="007A3785" w:rsidRDefault="00BC5C71" w:rsidP="00640605">
      <w:pPr>
        <w:pStyle w:val="142"/>
        <w:ind w:leftChars="4" w:left="11"/>
      </w:pPr>
      <w:r w:rsidRPr="00441D6C">
        <w:rPr>
          <w:rFonts w:hint="eastAsia"/>
        </w:rPr>
        <w:t>資料來源：</w:t>
      </w:r>
      <w:r>
        <w:rPr>
          <w:rFonts w:hint="eastAsia"/>
        </w:rPr>
        <w:t>工程會(</w:t>
      </w:r>
      <w:r w:rsidRPr="000C63A3">
        <w:rPr>
          <w:rFonts w:hint="eastAsia"/>
        </w:rPr>
        <w:t>GPMnet資料下載日期113年1月15日</w:t>
      </w:r>
      <w:r>
        <w:rPr>
          <w:rFonts w:hint="eastAsia"/>
        </w:rPr>
        <w:t>)；本中心整理。</w:t>
      </w:r>
    </w:p>
    <w:p w:rsidR="00BC5C71" w:rsidRPr="0044612E" w:rsidRDefault="00BC5C71" w:rsidP="00640605">
      <w:pPr>
        <w:pStyle w:val="a5"/>
        <w:ind w:left="849" w:hanging="283"/>
        <w:rPr>
          <w:b/>
        </w:rPr>
      </w:pPr>
      <w:r>
        <w:rPr>
          <w:rFonts w:hint="eastAsia"/>
          <w:b/>
        </w:rPr>
        <w:t>(三)</w:t>
      </w:r>
      <w:r w:rsidRPr="00B14DE4">
        <w:rPr>
          <w:rFonts w:hint="eastAsia"/>
          <w:b/>
        </w:rPr>
        <w:t>112年度</w:t>
      </w:r>
      <w:r>
        <w:rPr>
          <w:rFonts w:hint="eastAsia"/>
          <w:b/>
        </w:rPr>
        <w:t>有</w:t>
      </w:r>
      <w:r w:rsidRPr="009510E2">
        <w:rPr>
          <w:rFonts w:hint="eastAsia"/>
          <w:b/>
        </w:rPr>
        <w:t>多項前瞻公共建設計畫經費未執行，</w:t>
      </w:r>
      <w:r>
        <w:rPr>
          <w:rFonts w:hint="eastAsia"/>
          <w:b/>
        </w:rPr>
        <w:t>且均為</w:t>
      </w:r>
      <w:r w:rsidRPr="00B14DE4">
        <w:rPr>
          <w:rFonts w:hint="eastAsia"/>
          <w:b/>
        </w:rPr>
        <w:t>交通部主管</w:t>
      </w:r>
      <w:r>
        <w:rPr>
          <w:rFonts w:hint="eastAsia"/>
          <w:b/>
        </w:rPr>
        <w:t>之</w:t>
      </w:r>
      <w:r w:rsidRPr="00B14DE4">
        <w:rPr>
          <w:rFonts w:hint="eastAsia"/>
          <w:b/>
        </w:rPr>
        <w:t>軌道建設</w:t>
      </w:r>
    </w:p>
    <w:p w:rsidR="00BC5C71" w:rsidRDefault="00BC5C71" w:rsidP="00640605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112年度前瞻公共建設計畫共77項，列管經費執行率為96.32%，</w:t>
      </w:r>
      <w:r w:rsidRPr="00951221">
        <w:rPr>
          <w:rFonts w:hAnsi="標楷體" w:hint="eastAsia"/>
        </w:rPr>
        <w:t>執行率未達80%</w:t>
      </w:r>
      <w:r>
        <w:rPr>
          <w:rFonts w:hAnsi="標楷體" w:hint="eastAsia"/>
        </w:rPr>
        <w:t>之計畫仍有12項，占15.58%，惟較111年度之21項、26.58%減少9項、11個百分點(詳表1)。</w:t>
      </w:r>
    </w:p>
    <w:p w:rsidR="00BC5C71" w:rsidRPr="009510E2" w:rsidRDefault="00BC5C71" w:rsidP="00640605">
      <w:pPr>
        <w:pStyle w:val="21"/>
        <w:ind w:left="850" w:firstLine="566"/>
      </w:pPr>
      <w:r w:rsidRPr="009510E2">
        <w:rPr>
          <w:rFonts w:hAnsi="標楷體" w:hint="eastAsia"/>
        </w:rPr>
        <w:t>檢視工程會提供之112年度前瞻公共建設計畫執行情形，執行率未達80%之12項計畫中(詳表3)，交通部主管計有7項，</w:t>
      </w:r>
      <w:r w:rsidRPr="00DA0E41">
        <w:rPr>
          <w:rFonts w:hAnsi="標楷體" w:hint="eastAsia"/>
        </w:rPr>
        <w:t>因規劃作業未如預期等因素，</w:t>
      </w:r>
      <w:r w:rsidRPr="009510E2">
        <w:rPr>
          <w:rFonts w:hAnsi="標楷體" w:hint="eastAsia"/>
        </w:rPr>
        <w:t>其中2項捷運建設</w:t>
      </w:r>
      <w:r>
        <w:rPr>
          <w:rFonts w:hAnsi="標楷體" w:hint="eastAsia"/>
        </w:rPr>
        <w:t>(「</w:t>
      </w:r>
      <w:r w:rsidRPr="00CD156F">
        <w:rPr>
          <w:rFonts w:hAnsi="標楷體" w:hint="eastAsia"/>
        </w:rPr>
        <w:t>臺北都會區大眾捷運系統環狀線北環段及南環段暨周邊土地開發</w:t>
      </w:r>
      <w:r>
        <w:rPr>
          <w:rFonts w:hAnsi="標楷體" w:hint="eastAsia"/>
        </w:rPr>
        <w:t>」</w:t>
      </w:r>
      <w:r w:rsidRPr="009510E2">
        <w:rPr>
          <w:rFonts w:hAnsi="標楷體" w:hint="eastAsia"/>
        </w:rPr>
        <w:t>、</w:t>
      </w:r>
      <w:r>
        <w:rPr>
          <w:rFonts w:hAnsi="標楷體" w:hint="eastAsia"/>
        </w:rPr>
        <w:t>「</w:t>
      </w:r>
      <w:r w:rsidRPr="00CD156F">
        <w:rPr>
          <w:rFonts w:hAnsi="標楷體" w:hint="eastAsia"/>
        </w:rPr>
        <w:t>臺中捷運藍線建設計畫</w:t>
      </w:r>
      <w:r>
        <w:rPr>
          <w:rFonts w:hAnsi="標楷體" w:hint="eastAsia"/>
        </w:rPr>
        <w:t>」)、</w:t>
      </w:r>
      <w:r w:rsidRPr="009510E2">
        <w:rPr>
          <w:rFonts w:hAnsi="標楷體" w:hint="eastAsia"/>
        </w:rPr>
        <w:t>2項高鐵延伸線規劃作業</w:t>
      </w:r>
      <w:r>
        <w:rPr>
          <w:rFonts w:hAnsi="標楷體" w:hint="eastAsia"/>
        </w:rPr>
        <w:t>(屏東、宜蘭</w:t>
      </w:r>
      <w:r w:rsidRPr="009510E2">
        <w:rPr>
          <w:rStyle w:val="af5"/>
          <w:rFonts w:hAnsi="標楷體"/>
        </w:rPr>
        <w:footnoteReference w:id="6"/>
      </w:r>
      <w:r>
        <w:rPr>
          <w:rFonts w:hAnsi="標楷體" w:hint="eastAsia"/>
        </w:rPr>
        <w:t>)</w:t>
      </w:r>
      <w:r w:rsidRPr="009510E2">
        <w:rPr>
          <w:rFonts w:hAnsi="標楷體" w:hint="eastAsia"/>
        </w:rPr>
        <w:t>及</w:t>
      </w:r>
      <w:r>
        <w:rPr>
          <w:rFonts w:hAnsi="標楷體" w:hint="eastAsia"/>
        </w:rPr>
        <w:t>1項鐵路建設(「</w:t>
      </w:r>
      <w:r w:rsidRPr="00CD156F">
        <w:rPr>
          <w:rFonts w:hAnsi="標楷體" w:hint="eastAsia"/>
        </w:rPr>
        <w:t>新竹大車站計畫</w:t>
      </w:r>
      <w:r>
        <w:rPr>
          <w:rFonts w:hAnsi="標楷體" w:hint="eastAsia"/>
        </w:rPr>
        <w:t>」)</w:t>
      </w:r>
      <w:r w:rsidRPr="009510E2">
        <w:rPr>
          <w:rFonts w:hAnsi="標楷體" w:hint="eastAsia"/>
        </w:rPr>
        <w:t>等計5項</w:t>
      </w:r>
      <w:r w:rsidRPr="002F1989">
        <w:rPr>
          <w:rFonts w:hAnsi="標楷體" w:hint="eastAsia"/>
        </w:rPr>
        <w:t>均</w:t>
      </w:r>
      <w:r w:rsidRPr="009510E2">
        <w:rPr>
          <w:rFonts w:hAnsi="標楷體" w:hint="eastAsia"/>
        </w:rPr>
        <w:t>未執行經費</w:t>
      </w:r>
      <w:r>
        <w:rPr>
          <w:rFonts w:hAnsi="標楷體" w:hint="eastAsia"/>
        </w:rPr>
        <w:t>，</w:t>
      </w:r>
      <w:r w:rsidRPr="009510E2">
        <w:rPr>
          <w:rFonts w:hAnsi="標楷體" w:hint="eastAsia"/>
        </w:rPr>
        <w:t>而</w:t>
      </w:r>
      <w:r>
        <w:rPr>
          <w:rFonts w:hAnsi="標楷體" w:hint="eastAsia"/>
        </w:rPr>
        <w:t>1項捷運建設(「</w:t>
      </w:r>
      <w:r w:rsidRPr="00CD156F">
        <w:rPr>
          <w:rFonts w:hAnsi="標楷體" w:hint="eastAsia"/>
        </w:rPr>
        <w:t>桃園都會區大眾捷運系統航空城捷運線（綠線）G01站延伸至中壢火車站暨其土地整合發展計畫</w:t>
      </w:r>
      <w:r>
        <w:rPr>
          <w:rFonts w:hAnsi="標楷體" w:hint="eastAsia"/>
        </w:rPr>
        <w:t>」)</w:t>
      </w:r>
      <w:r w:rsidRPr="009510E2">
        <w:rPr>
          <w:rFonts w:hAnsi="標楷體" w:hint="eastAsia"/>
        </w:rPr>
        <w:t>執行率為2.92%；另交通部主管尚有「公共充電樁設置及區域充電需求評估計畫」之執行率為24.04%，主要因補助要點核定時間延後，</w:t>
      </w:r>
      <w:r w:rsidRPr="009510E2">
        <w:rPr>
          <w:rFonts w:hAnsi="標楷體" w:hint="eastAsia"/>
        </w:rPr>
        <w:lastRenderedPageBreak/>
        <w:t>至年底多數縣市政府未及於112年底發包等所致</w:t>
      </w:r>
      <w:r w:rsidRPr="009510E2">
        <w:rPr>
          <w:rStyle w:val="af5"/>
          <w:rFonts w:hAnsi="標楷體"/>
        </w:rPr>
        <w:footnoteReference w:id="7"/>
      </w:r>
      <w:r w:rsidRPr="009510E2">
        <w:rPr>
          <w:rFonts w:hAnsi="標楷體" w:hint="eastAsia"/>
        </w:rPr>
        <w:t>；此外，執行率未達80%之計畫主管機關尚包括</w:t>
      </w:r>
      <w:r>
        <w:rPr>
          <w:rFonts w:hAnsi="標楷體" w:hint="eastAsia"/>
        </w:rPr>
        <w:t>衛生福利部</w:t>
      </w:r>
      <w:r w:rsidRPr="009510E2">
        <w:rPr>
          <w:rFonts w:hAnsi="標楷體" w:hint="eastAsia"/>
        </w:rPr>
        <w:t>、</w:t>
      </w:r>
      <w:r w:rsidRPr="00E62B86">
        <w:rPr>
          <w:rFonts w:hAnsi="標楷體" w:hint="eastAsia"/>
        </w:rPr>
        <w:t>國家發展委員會</w:t>
      </w:r>
      <w:r w:rsidRPr="009510E2">
        <w:rPr>
          <w:rFonts w:hAnsi="標楷體" w:hint="eastAsia"/>
        </w:rPr>
        <w:t>、內政部及經濟部，允宜積極檢討推動。</w:t>
      </w:r>
    </w:p>
    <w:p w:rsidR="00BC5C71" w:rsidRDefault="00BC5C71" w:rsidP="00640605">
      <w:pPr>
        <w:pStyle w:val="af"/>
        <w:ind w:left="283" w:hanging="283"/>
        <w:rPr>
          <w:b/>
        </w:rPr>
      </w:pPr>
      <w:r w:rsidRPr="00441D6C">
        <w:rPr>
          <w:rFonts w:hint="eastAsia"/>
          <w:b/>
          <w:bCs/>
          <w:snapToGrid/>
        </w:rPr>
        <w:t>表</w:t>
      </w:r>
      <w:r>
        <w:rPr>
          <w:b/>
          <w:bCs/>
          <w:snapToGrid/>
        </w:rPr>
        <w:t>3</w:t>
      </w:r>
      <w:r>
        <w:rPr>
          <w:rFonts w:hint="eastAsia"/>
          <w:b/>
          <w:bCs/>
          <w:snapToGrid/>
        </w:rPr>
        <w:t xml:space="preserve"> </w:t>
      </w:r>
      <w:r>
        <w:rPr>
          <w:rFonts w:hint="eastAsia"/>
          <w:b/>
        </w:rPr>
        <w:t>112年度前瞻</w:t>
      </w:r>
      <w:r w:rsidRPr="00D97FE3">
        <w:rPr>
          <w:rFonts w:hint="eastAsia"/>
          <w:b/>
        </w:rPr>
        <w:t>公共建設計畫</w:t>
      </w:r>
      <w:r w:rsidRPr="0087122D">
        <w:rPr>
          <w:rFonts w:hint="eastAsia"/>
          <w:b/>
        </w:rPr>
        <w:t>執行率未達</w:t>
      </w:r>
      <w:r>
        <w:rPr>
          <w:b/>
        </w:rPr>
        <w:t>80</w:t>
      </w:r>
      <w:r w:rsidRPr="0087122D">
        <w:rPr>
          <w:rFonts w:hint="eastAsia"/>
          <w:b/>
        </w:rPr>
        <w:t>%</w:t>
      </w:r>
      <w:r>
        <w:rPr>
          <w:rFonts w:hint="eastAsia"/>
          <w:b/>
        </w:rPr>
        <w:t>明細表</w:t>
      </w:r>
    </w:p>
    <w:p w:rsidR="00BC5C71" w:rsidRPr="000A6338" w:rsidRDefault="00BC5C71" w:rsidP="00640605">
      <w:pPr>
        <w:pStyle w:val="142"/>
        <w:jc w:val="right"/>
        <w:rPr>
          <w:rFonts w:hAnsi="標楷體"/>
        </w:rPr>
      </w:pPr>
      <w:r w:rsidRPr="00C104F2">
        <w:rPr>
          <w:rFonts w:hint="eastAsia"/>
          <w:snapToGrid/>
        </w:rPr>
        <w:t>單位：新臺幣</w:t>
      </w:r>
      <w:r>
        <w:rPr>
          <w:rFonts w:hint="eastAsia"/>
          <w:snapToGrid/>
        </w:rPr>
        <w:t>千</w:t>
      </w:r>
      <w:r w:rsidRPr="00C104F2">
        <w:rPr>
          <w:rFonts w:hint="eastAsia"/>
          <w:snapToGrid/>
        </w:rPr>
        <w:t>元</w:t>
      </w:r>
      <w:r>
        <w:rPr>
          <w:rFonts w:hint="eastAsia"/>
          <w:snapToGrid/>
        </w:rPr>
        <w:t>；</w:t>
      </w:r>
      <w:r w:rsidRPr="00D22EC6">
        <w:rPr>
          <w:rFonts w:hint="eastAsia"/>
          <w:snapToGrid/>
        </w:rPr>
        <w:t>%</w:t>
      </w:r>
    </w:p>
    <w:tbl>
      <w:tblPr>
        <w:tblW w:w="866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1"/>
        <w:gridCol w:w="854"/>
        <w:gridCol w:w="1707"/>
        <w:gridCol w:w="1211"/>
        <w:gridCol w:w="1211"/>
        <w:gridCol w:w="811"/>
        <w:gridCol w:w="812"/>
        <w:gridCol w:w="826"/>
        <w:gridCol w:w="812"/>
      </w:tblGrid>
      <w:tr w:rsidR="00BC5C71" w:rsidRPr="000A6338" w:rsidTr="00640605">
        <w:trPr>
          <w:trHeight w:val="340"/>
          <w:tblHeader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項次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主管</w:t>
            </w:r>
          </w:p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機關</w:t>
            </w:r>
          </w:p>
        </w:tc>
        <w:tc>
          <w:tcPr>
            <w:tcW w:w="1707" w:type="dxa"/>
            <w:vMerge w:val="restart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計畫名稱</w:t>
            </w:r>
          </w:p>
        </w:tc>
        <w:tc>
          <w:tcPr>
            <w:tcW w:w="1211" w:type="dxa"/>
            <w:vMerge w:val="restart"/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列管經費</w:t>
            </w:r>
          </w:p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A</w:t>
            </w:r>
          </w:p>
        </w:tc>
        <w:tc>
          <w:tcPr>
            <w:tcW w:w="1211" w:type="dxa"/>
            <w:vMerge w:val="restart"/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執行數</w:t>
            </w:r>
          </w:p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B</w:t>
            </w:r>
          </w:p>
        </w:tc>
        <w:tc>
          <w:tcPr>
            <w:tcW w:w="811" w:type="dxa"/>
            <w:vMerge w:val="restart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C5C71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執行率</w:t>
            </w:r>
          </w:p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B</w:t>
            </w:r>
            <w:r>
              <w:rPr>
                <w:snapToGrid/>
              </w:rPr>
              <w:t>/A</w:t>
            </w:r>
          </w:p>
        </w:tc>
        <w:tc>
          <w:tcPr>
            <w:tcW w:w="2450" w:type="dxa"/>
            <w:gridSpan w:val="3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94854">
              <w:rPr>
                <w:rFonts w:hint="eastAsia"/>
                <w:snapToGrid/>
              </w:rPr>
              <w:t>總累計進度</w:t>
            </w:r>
          </w:p>
        </w:tc>
      </w:tr>
      <w:tr w:rsidR="00BC5C71" w:rsidRPr="000A6338" w:rsidTr="00640605">
        <w:trPr>
          <w:trHeight w:val="340"/>
          <w:tblHeader/>
        </w:trPr>
        <w:tc>
          <w:tcPr>
            <w:tcW w:w="421" w:type="dxa"/>
            <w:vMerge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707" w:type="dxa"/>
            <w:vMerge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211" w:type="dxa"/>
            <w:vMerge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211" w:type="dxa"/>
            <w:vMerge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預定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 w:rsidRPr="000A6338">
              <w:rPr>
                <w:rFonts w:hint="eastAsia"/>
                <w:snapToGrid/>
              </w:rPr>
              <w:t>實際</w:t>
            </w:r>
          </w:p>
        </w:tc>
        <w:tc>
          <w:tcPr>
            <w:tcW w:w="812" w:type="dxa"/>
            <w:shd w:val="clear" w:color="auto" w:fill="auto"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差異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>交通部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臺北都會區大眾捷運系統環狀線北環段及南環段暨周邊土地開發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426,000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31.79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30.80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>-0.99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交通部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高鐵延伸屏東規劃作業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19,659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75.00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74.69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-0.31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交通部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臺中捷運藍線建設計畫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100,000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8.00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7.91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-0.09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交通部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新竹大車站計畫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60,000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0.10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0.10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交通部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高鐵延伸宜蘭計畫規劃作業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t>N.A.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6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交通部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桃園都會區大眾捷運系統航空城捷運線（綠線）G01站延伸至中壢火車站暨其土地整合發展計畫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120,000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3,498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2.92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3.70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3.59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-0.11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7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衛生福利部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整建長照衛福據點計畫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440,000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91,260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20.74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98.00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97.93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-0.07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交通部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公共充電樁設置及區域充電需求評估計畫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327,968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78,837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24.04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30.00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29.15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-0.85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9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 w:rsidRPr="00E62B86">
              <w:rPr>
                <w:rFonts w:hint="eastAsia"/>
              </w:rPr>
              <w:t>國家發展委員會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淨零公正轉型關鍵戰略推動計畫（112至113年）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99,920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46,786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46.82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50.00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49.50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-0.50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10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衛生福利部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建構0-2歲兒童社區公共托育計畫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740,300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455,542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61.53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85.00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84.06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-0.94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內政部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公共服務據點整備—公有危</w:t>
            </w:r>
            <w:r>
              <w:rPr>
                <w:rFonts w:hint="eastAsia"/>
              </w:rPr>
              <w:lastRenderedPageBreak/>
              <w:t>險建築補強重建（106—114年）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 w:rsidRPr="00647159">
              <w:lastRenderedPageBreak/>
              <w:t>1</w:t>
            </w:r>
            <w:r>
              <w:t>,</w:t>
            </w:r>
            <w:r w:rsidRPr="00647159">
              <w:t>534</w:t>
            </w:r>
            <w:r>
              <w:t>,</w:t>
            </w:r>
            <w:r w:rsidRPr="00647159">
              <w:t>424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 w:rsidRPr="00647159">
              <w:t>1</w:t>
            </w:r>
            <w:r>
              <w:t>,</w:t>
            </w:r>
            <w:r w:rsidRPr="00647159">
              <w:t>208</w:t>
            </w:r>
            <w:r>
              <w:t>,</w:t>
            </w:r>
            <w:r w:rsidRPr="00647159">
              <w:t>647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78.77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60.00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60.00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</w:tr>
      <w:tr w:rsidR="00BC5C71" w:rsidRPr="000A6338" w:rsidTr="00640605">
        <w:trPr>
          <w:trHeight w:val="340"/>
        </w:trPr>
        <w:tc>
          <w:tcPr>
            <w:tcW w:w="421" w:type="dxa"/>
            <w:shd w:val="clear" w:color="auto" w:fill="auto"/>
            <w:noWrap/>
            <w:vAlign w:val="center"/>
          </w:tcPr>
          <w:p w:rsidR="00BC5C71" w:rsidRPr="000A6338" w:rsidRDefault="00BC5C71" w:rsidP="0064060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12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center"/>
            </w:pPr>
            <w:r>
              <w:rPr>
                <w:rFonts w:hint="eastAsia"/>
              </w:rPr>
              <w:t>經濟部</w:t>
            </w:r>
          </w:p>
        </w:tc>
        <w:tc>
          <w:tcPr>
            <w:tcW w:w="1707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both"/>
            </w:pPr>
            <w:r>
              <w:rPr>
                <w:rFonts w:hint="eastAsia"/>
              </w:rPr>
              <w:t>高雄海洋科技產業創新專區公共建設計畫—第二期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83,000</w:t>
            </w:r>
          </w:p>
        </w:tc>
        <w:tc>
          <w:tcPr>
            <w:tcW w:w="1211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65,884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79.38</w:t>
            </w:r>
          </w:p>
        </w:tc>
        <w:tc>
          <w:tcPr>
            <w:tcW w:w="8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85.00</w:t>
            </w:r>
          </w:p>
        </w:tc>
        <w:tc>
          <w:tcPr>
            <w:tcW w:w="826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85.00</w:t>
            </w:r>
          </w:p>
        </w:tc>
        <w:tc>
          <w:tcPr>
            <w:tcW w:w="812" w:type="dxa"/>
            <w:shd w:val="clear" w:color="auto" w:fill="auto"/>
            <w:noWrap/>
            <w:vAlign w:val="center"/>
          </w:tcPr>
          <w:p w:rsidR="00BC5C71" w:rsidRDefault="00BC5C71" w:rsidP="00640605">
            <w:pPr>
              <w:pStyle w:val="142"/>
              <w:jc w:val="right"/>
            </w:pPr>
            <w:r>
              <w:rPr>
                <w:rFonts w:hint="eastAsia"/>
              </w:rPr>
              <w:t>0.00</w:t>
            </w:r>
          </w:p>
        </w:tc>
      </w:tr>
    </w:tbl>
    <w:p w:rsidR="00BC5C71" w:rsidRDefault="00BC5C71" w:rsidP="00640605">
      <w:pPr>
        <w:pStyle w:val="142"/>
        <w:ind w:leftChars="3" w:left="1173" w:hangingChars="479" w:hanging="1165"/>
      </w:pPr>
      <w:r>
        <w:rPr>
          <w:rFonts w:hint="eastAsia"/>
        </w:rPr>
        <w:t>說    明：1.</w:t>
      </w:r>
      <w:r w:rsidRPr="00ED1F9F">
        <w:rPr>
          <w:rFonts w:hint="eastAsia"/>
        </w:rPr>
        <w:t>本表列管經費僅指前瞻基礎建設計畫</w:t>
      </w:r>
      <w:r>
        <w:rPr>
          <w:rFonts w:hint="eastAsia"/>
        </w:rPr>
        <w:t>第4</w:t>
      </w:r>
      <w:r w:rsidRPr="00ED1F9F">
        <w:rPr>
          <w:rFonts w:hint="eastAsia"/>
        </w:rPr>
        <w:t>期</w:t>
      </w:r>
      <w:r>
        <w:rPr>
          <w:rFonts w:hint="eastAsia"/>
        </w:rPr>
        <w:t>112</w:t>
      </w:r>
      <w:r w:rsidRPr="00ED1F9F">
        <w:rPr>
          <w:rFonts w:hint="eastAsia"/>
        </w:rPr>
        <w:t>年度特別預算。</w:t>
      </w:r>
    </w:p>
    <w:p w:rsidR="00BC5C71" w:rsidRDefault="00BC5C71" w:rsidP="00640605">
      <w:pPr>
        <w:pStyle w:val="142"/>
        <w:ind w:leftChars="425" w:left="1455" w:hangingChars="103" w:hanging="251"/>
      </w:pPr>
      <w:r>
        <w:rPr>
          <w:rFonts w:hint="eastAsia"/>
        </w:rPr>
        <w:t>2.項次5</w:t>
      </w:r>
      <w:r>
        <w:rPr>
          <w:rFonts w:hAnsi="標楷體" w:hint="eastAsia"/>
        </w:rPr>
        <w:t>「</w:t>
      </w:r>
      <w:r w:rsidRPr="001A612A">
        <w:rPr>
          <w:rFonts w:hAnsi="標楷體" w:hint="eastAsia"/>
        </w:rPr>
        <w:t>高鐵延伸宜蘭計畫規劃作業</w:t>
      </w:r>
      <w:r>
        <w:rPr>
          <w:rFonts w:hAnsi="標楷體" w:hint="eastAsia"/>
        </w:rPr>
        <w:t>」</w:t>
      </w:r>
      <w:r w:rsidRPr="00E36FF1">
        <w:rPr>
          <w:rFonts w:hAnsi="標楷體" w:hint="eastAsia"/>
        </w:rPr>
        <w:t>預計辦理年度為106至115年，</w:t>
      </w:r>
      <w:r>
        <w:rPr>
          <w:rFonts w:hAnsi="標楷體" w:hint="eastAsia"/>
        </w:rPr>
        <w:t>該計畫於前瞻基礎建設計畫第4期特別預算僅編列113年度預算，未編列112年度預算，惟工程會亦列入112年度計畫執行率未達80</w:t>
      </w:r>
      <w:r>
        <w:rPr>
          <w:rFonts w:hAnsi="標楷體"/>
        </w:rPr>
        <w:t>%</w:t>
      </w:r>
      <w:r>
        <w:rPr>
          <w:rFonts w:hAnsi="標楷體" w:hint="eastAsia"/>
        </w:rPr>
        <w:t>之計畫。</w:t>
      </w:r>
    </w:p>
    <w:p w:rsidR="00BC5C71" w:rsidRDefault="00BC5C71" w:rsidP="00640605">
      <w:pPr>
        <w:pStyle w:val="142"/>
        <w:ind w:leftChars="4" w:left="11"/>
      </w:pPr>
      <w:r w:rsidRPr="00441D6C">
        <w:rPr>
          <w:rFonts w:hint="eastAsia"/>
        </w:rPr>
        <w:t>資料來源：</w:t>
      </w:r>
      <w:r>
        <w:rPr>
          <w:rFonts w:hint="eastAsia"/>
        </w:rPr>
        <w:t>工程會(</w:t>
      </w:r>
      <w:r w:rsidRPr="000C63A3">
        <w:rPr>
          <w:rFonts w:hint="eastAsia"/>
        </w:rPr>
        <w:t>GPMnet資料下載日期</w:t>
      </w:r>
      <w:r w:rsidRPr="001A3C39">
        <w:rPr>
          <w:rFonts w:hint="eastAsia"/>
        </w:rPr>
        <w:t>113年1月11日</w:t>
      </w:r>
      <w:r>
        <w:rPr>
          <w:rFonts w:hint="eastAsia"/>
        </w:rPr>
        <w:t>)；本中心整理。</w:t>
      </w:r>
    </w:p>
    <w:p w:rsidR="00BC5C71" w:rsidRPr="007A3785" w:rsidRDefault="00BC5C71" w:rsidP="00640605">
      <w:pPr>
        <w:ind w:left="566" w:firstLine="566"/>
      </w:pPr>
      <w:r>
        <w:rPr>
          <w:rFonts w:hint="eastAsia"/>
        </w:rPr>
        <w:t>綜上，</w:t>
      </w:r>
      <w:r w:rsidRPr="0058425D">
        <w:rPr>
          <w:rFonts w:hint="eastAsia"/>
        </w:rPr>
        <w:t>112年度公共建設計畫</w:t>
      </w:r>
      <w:r w:rsidRPr="00B93A8C">
        <w:rPr>
          <w:rFonts w:hint="eastAsia"/>
        </w:rPr>
        <w:t>列管經費</w:t>
      </w:r>
      <w:r w:rsidRPr="0058425D">
        <w:rPr>
          <w:rFonts w:hint="eastAsia"/>
        </w:rPr>
        <w:t>之執行率為近3年新高，惟一般公共建設計畫執行率未達80%之項數及占比均較111年度增加，前瞻公共建設計畫之部分軌道建設計畫執行率偏低或尚未執行，公共建設計畫之推動攸關公眾權益，允宜強化預算執行控管並積極檢討推動。</w:t>
      </w:r>
    </w:p>
    <w:p w:rsidR="00BC5C71" w:rsidRPr="002118A5" w:rsidRDefault="00BC5C71" w:rsidP="00640605">
      <w:pPr>
        <w:pStyle w:val="aa"/>
        <w:ind w:firstLine="486"/>
        <w:jc w:val="right"/>
      </w:pPr>
      <w:r w:rsidRPr="00441D6C">
        <w:rPr>
          <w:rFonts w:hint="eastAsia"/>
          <w:sz w:val="24"/>
        </w:rPr>
        <w:t>(分機：1916黃怡娟)</w:t>
      </w:r>
    </w:p>
    <w:sectPr w:rsidR="00BC5C71" w:rsidRPr="002118A5" w:rsidSect="00C56A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C56A83">
      <w:rPr>
        <w:rStyle w:val="af6"/>
        <w:noProof/>
      </w:rPr>
      <w:t>5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Default="00064496" w:rsidP="00640605">
      <w:pPr>
        <w:pStyle w:val="142"/>
        <w:ind w:leftChars="-1" w:left="182" w:hangingChars="76" w:hanging="185"/>
        <w:jc w:val="both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資料來源，行政院主計總處。</w:t>
      </w:r>
    </w:p>
  </w:footnote>
  <w:footnote w:id="2">
    <w:p w:rsidR="00064496" w:rsidRDefault="00064496" w:rsidP="00640605">
      <w:pPr>
        <w:pStyle w:val="142"/>
        <w:ind w:leftChars="-1" w:left="182" w:hangingChars="76" w:hanging="185"/>
        <w:jc w:val="both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據工程會說明，</w:t>
      </w:r>
      <w:r w:rsidRPr="000A5446">
        <w:rPr>
          <w:rFonts w:hint="eastAsia"/>
        </w:rPr>
        <w:t>一般公共建設計畫</w:t>
      </w:r>
      <w:r>
        <w:rPr>
          <w:rFonts w:hint="eastAsia"/>
        </w:rPr>
        <w:t>包括</w:t>
      </w:r>
      <w:r w:rsidRPr="000A5446">
        <w:rPr>
          <w:rFonts w:hint="eastAsia"/>
        </w:rPr>
        <w:t>公務預算、營業基金及非營業基金</w:t>
      </w:r>
      <w:r>
        <w:rPr>
          <w:rFonts w:hint="eastAsia"/>
        </w:rPr>
        <w:t>支應</w:t>
      </w:r>
      <w:r w:rsidRPr="000A5446">
        <w:rPr>
          <w:rFonts w:hint="eastAsia"/>
        </w:rPr>
        <w:t>之公共建設計畫。</w:t>
      </w:r>
    </w:p>
  </w:footnote>
  <w:footnote w:id="3">
    <w:p w:rsidR="00064496" w:rsidRPr="002678EE" w:rsidRDefault="00064496" w:rsidP="00640605">
      <w:pPr>
        <w:pStyle w:val="142"/>
        <w:ind w:leftChars="-1" w:left="250" w:hangingChars="104" w:hanging="253"/>
        <w:jc w:val="both"/>
      </w:pPr>
      <w:r>
        <w:rPr>
          <w:rStyle w:val="af5"/>
        </w:rPr>
        <w:footnoteRef/>
      </w:r>
      <w:r>
        <w:t xml:space="preserve"> </w:t>
      </w:r>
      <w:r w:rsidRPr="004A45F7">
        <w:rPr>
          <w:rFonts w:hint="eastAsia"/>
        </w:rPr>
        <w:t>前瞻建設計畫包含軌道建設、水環境建設、綠能建設、城鄉建設、因應少子化友善育兒空間建設、食品安全建設、人才培育促進就業建設及數位建設共計8項。</w:t>
      </w:r>
      <w:r>
        <w:rPr>
          <w:rFonts w:hint="eastAsia"/>
        </w:rPr>
        <w:t>據工程會表示，該</w:t>
      </w:r>
      <w:r w:rsidRPr="004A45F7">
        <w:rPr>
          <w:rFonts w:hint="eastAsia"/>
        </w:rPr>
        <w:t>會僅列管</w:t>
      </w:r>
      <w:r>
        <w:rPr>
          <w:rFonts w:hint="eastAsia"/>
        </w:rPr>
        <w:t>上述</w:t>
      </w:r>
      <w:r w:rsidRPr="004A45F7">
        <w:rPr>
          <w:rFonts w:hint="eastAsia"/>
        </w:rPr>
        <w:t>前7項計畫</w:t>
      </w:r>
      <w:r>
        <w:rPr>
          <w:rFonts w:hint="eastAsia"/>
        </w:rPr>
        <w:t>，</w:t>
      </w:r>
      <w:r w:rsidRPr="004A45F7">
        <w:rPr>
          <w:rFonts w:hint="eastAsia"/>
        </w:rPr>
        <w:t>數位建設屬科技發展計畫由</w:t>
      </w:r>
      <w:r w:rsidRPr="00425354">
        <w:rPr>
          <w:rFonts w:hint="eastAsia"/>
        </w:rPr>
        <w:t>國家科學及技術委員會</w:t>
      </w:r>
      <w:r w:rsidRPr="004A45F7">
        <w:rPr>
          <w:rFonts w:hint="eastAsia"/>
        </w:rPr>
        <w:t>列管。</w:t>
      </w:r>
    </w:p>
  </w:footnote>
  <w:footnote w:id="4">
    <w:p w:rsidR="00064496" w:rsidRPr="007E269C" w:rsidRDefault="00064496" w:rsidP="00640605">
      <w:pPr>
        <w:pStyle w:val="142"/>
        <w:ind w:leftChars="-1" w:left="250" w:hangingChars="104" w:hanging="253"/>
        <w:jc w:val="both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資料來源，</w:t>
      </w:r>
      <w:r w:rsidRPr="00A15834">
        <w:rPr>
          <w:rFonts w:hint="eastAsia"/>
        </w:rPr>
        <w:t>國家發展委員會</w:t>
      </w:r>
      <w:r>
        <w:rPr>
          <w:rFonts w:hint="eastAsia"/>
        </w:rPr>
        <w:t>來監督平臺。</w:t>
      </w:r>
    </w:p>
  </w:footnote>
  <w:footnote w:id="5">
    <w:p w:rsidR="00064496" w:rsidRPr="00082BE5" w:rsidRDefault="00064496" w:rsidP="00640605">
      <w:pPr>
        <w:pStyle w:val="142"/>
        <w:ind w:leftChars="-1" w:left="250" w:hangingChars="104" w:hanging="253"/>
        <w:jc w:val="both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資料來源，</w:t>
      </w:r>
      <w:r w:rsidRPr="00A15834">
        <w:rPr>
          <w:rFonts w:hint="eastAsia"/>
        </w:rPr>
        <w:t>國家發展委員會</w:t>
      </w:r>
      <w:r>
        <w:rPr>
          <w:rFonts w:hint="eastAsia"/>
        </w:rPr>
        <w:t>來監督平臺。</w:t>
      </w:r>
    </w:p>
  </w:footnote>
  <w:footnote w:id="6">
    <w:p w:rsidR="00064496" w:rsidRPr="00B3623F" w:rsidRDefault="00064496" w:rsidP="00640605">
      <w:pPr>
        <w:pStyle w:val="142"/>
        <w:ind w:leftChars="-1" w:left="250" w:hangingChars="104" w:hanging="253"/>
        <w:jc w:val="both"/>
      </w:pPr>
      <w:r>
        <w:rPr>
          <w:rStyle w:val="af5"/>
        </w:rPr>
        <w:footnoteRef/>
      </w:r>
      <w:r>
        <w:rPr>
          <w:rFonts w:hint="eastAsia"/>
        </w:rPr>
        <w:t xml:space="preserve"> </w:t>
      </w:r>
      <w:r w:rsidRPr="00B3623F">
        <w:rPr>
          <w:rFonts w:hint="eastAsia"/>
        </w:rPr>
        <w:t>「高鐵延伸宜蘭計畫規劃作業」於前瞻基礎建設計畫第4期特別預算僅編列113年度預算，未編列112年度預算，惟工程會亦列入112年度計畫執行率未達80%之計畫。</w:t>
      </w:r>
    </w:p>
  </w:footnote>
  <w:footnote w:id="7">
    <w:p w:rsidR="00064496" w:rsidRPr="00082BE5" w:rsidRDefault="00064496" w:rsidP="00640605">
      <w:pPr>
        <w:pStyle w:val="142"/>
        <w:ind w:leftChars="-1" w:left="250" w:hangingChars="104" w:hanging="253"/>
        <w:jc w:val="both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資料來源，國家發展委員會來監督平臺。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7B7912"/>
    <w:rsid w:val="007E4CE9"/>
    <w:rsid w:val="008A3B7F"/>
    <w:rsid w:val="008F3BB8"/>
    <w:rsid w:val="009155E3"/>
    <w:rsid w:val="0093328C"/>
    <w:rsid w:val="0094743A"/>
    <w:rsid w:val="009C53C7"/>
    <w:rsid w:val="00A05192"/>
    <w:rsid w:val="00A06650"/>
    <w:rsid w:val="00A11205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56A83"/>
    <w:rsid w:val="00C60665"/>
    <w:rsid w:val="00C629AF"/>
    <w:rsid w:val="00C708DE"/>
    <w:rsid w:val="00CE2AA0"/>
    <w:rsid w:val="00D64C7A"/>
    <w:rsid w:val="00DA2304"/>
    <w:rsid w:val="00DB57BC"/>
    <w:rsid w:val="00DC72FE"/>
    <w:rsid w:val="00E02B58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834E25AD-C055-4B15-9A2A-34DDF367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0A353-2AF1-4C9F-96DE-DBF87E36F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673</Words>
  <Characters>3842</Characters>
  <Application>Microsoft Office Word</Application>
  <DocSecurity>0</DocSecurity>
  <Lines>32</Lines>
  <Paragraphs>9</Paragraphs>
  <ScaleCrop>false</ScaleCrop>
  <Company>HOME</Company>
  <LinksUpToDate>false</LinksUpToDate>
  <CharactersWithSpaces>4506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2024-09-24T07:47:00Z</dcterms:created>
  <dcterms:modified xsi:type="dcterms:W3CDTF">2024-09-24T07:47:00Z</dcterms:modified>
</cp:coreProperties>
</file>