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C71" w:rsidRDefault="00BC5C71" w:rsidP="00640605">
      <w:pPr>
        <w:pStyle w:val="ac"/>
      </w:pPr>
      <w:bookmarkStart w:id="0" w:name="_Toc170724636"/>
      <w:bookmarkStart w:id="1" w:name="_GoBack"/>
      <w:bookmarkEnd w:id="1"/>
      <w:r w:rsidRPr="00620246">
        <w:rPr>
          <w:rFonts w:hint="eastAsia"/>
        </w:rPr>
        <w:t>112年度中央政府總決算審核報告整體評估報告</w:t>
      </w:r>
    </w:p>
    <w:p w:rsidR="00CE2AA0" w:rsidRPr="009E33C3" w:rsidRDefault="00CE2AA0" w:rsidP="00640605">
      <w:pPr>
        <w:pStyle w:val="14"/>
        <w:ind w:left="567" w:hanging="567"/>
      </w:pPr>
      <w:bookmarkStart w:id="2" w:name="_Toc141798096"/>
      <w:bookmarkStart w:id="3" w:name="_Toc177394284"/>
      <w:bookmarkEnd w:id="0"/>
      <w:r w:rsidRPr="009E33C3">
        <w:rPr>
          <w:rFonts w:hint="eastAsia"/>
        </w:rPr>
        <w:t>六、法院及檢察機關近年新收案件居高不下且未結案件逐漸累增，司法人員工作負荷益趨沉重，允宜積極研擬因應對策，俾益提升司法審判品質及效率</w:t>
      </w:r>
      <w:bookmarkEnd w:id="2"/>
      <w:bookmarkEnd w:id="3"/>
    </w:p>
    <w:p w:rsidR="00CE2AA0" w:rsidRPr="004A19DE" w:rsidRDefault="00CE2AA0" w:rsidP="00640605">
      <w:pPr>
        <w:ind w:left="566" w:firstLine="566"/>
      </w:pPr>
      <w:r w:rsidRPr="004A19DE">
        <w:rPr>
          <w:rFonts w:hint="eastAsia"/>
        </w:rPr>
        <w:t>憲法第16條規定，人民之訴訟權應予保障</w:t>
      </w:r>
      <w:r>
        <w:rPr>
          <w:rFonts w:hint="eastAsia"/>
        </w:rPr>
        <w:t>，隨社會、文化、經濟環境之變遷，民眾於處理紛爭或維護權益時，逐漸仰賴訴訟制度解決，加上因應犯罪類型多元，相關法規須配合檢討修正，以致</w:t>
      </w:r>
      <w:r w:rsidRPr="004A19DE">
        <w:rPr>
          <w:rFonts w:hint="eastAsia"/>
        </w:rPr>
        <w:t>司法案件量</w:t>
      </w:r>
      <w:r>
        <w:rPr>
          <w:rFonts w:hint="eastAsia"/>
        </w:rPr>
        <w:t>除</w:t>
      </w:r>
      <w:r w:rsidRPr="004A19DE">
        <w:rPr>
          <w:rFonts w:hint="eastAsia"/>
        </w:rPr>
        <w:t>持續增加</w:t>
      </w:r>
      <w:r>
        <w:rPr>
          <w:rFonts w:hint="eastAsia"/>
        </w:rPr>
        <w:t>外，複雜程度亦提升許多，相關</w:t>
      </w:r>
      <w:r w:rsidRPr="00A9772B">
        <w:rPr>
          <w:rFonts w:hint="eastAsia"/>
        </w:rPr>
        <w:t>司法</w:t>
      </w:r>
      <w:r>
        <w:rPr>
          <w:rFonts w:hint="eastAsia"/>
        </w:rPr>
        <w:t>人員</w:t>
      </w:r>
      <w:r w:rsidRPr="00A9772B">
        <w:rPr>
          <w:rFonts w:hint="eastAsia"/>
        </w:rPr>
        <w:t>工作</w:t>
      </w:r>
      <w:r>
        <w:rPr>
          <w:rFonts w:hint="eastAsia"/>
        </w:rPr>
        <w:t>負擔</w:t>
      </w:r>
      <w:r w:rsidRPr="00A9772B">
        <w:rPr>
          <w:rFonts w:hint="eastAsia"/>
        </w:rPr>
        <w:t>沉重</w:t>
      </w:r>
      <w:r>
        <w:rPr>
          <w:rFonts w:hint="eastAsia"/>
        </w:rPr>
        <w:t>，已引發各界重視，茲</w:t>
      </w:r>
      <w:r w:rsidRPr="004A19DE">
        <w:rPr>
          <w:rFonts w:hint="eastAsia"/>
        </w:rPr>
        <w:t>說明如下：</w:t>
      </w:r>
    </w:p>
    <w:p w:rsidR="00CE2AA0" w:rsidRPr="003C2B9C" w:rsidRDefault="00CE2AA0" w:rsidP="00640605">
      <w:pPr>
        <w:pStyle w:val="a5"/>
        <w:ind w:left="849" w:hanging="283"/>
        <w:rPr>
          <w:b/>
          <w:bCs/>
        </w:rPr>
      </w:pPr>
      <w:r w:rsidRPr="003C2B9C">
        <w:rPr>
          <w:rFonts w:hint="eastAsia"/>
          <w:b/>
          <w:bCs/>
        </w:rPr>
        <w:t>(一)地方法院民事及刑事案件之新收件數持續成長，112年度未結件數已累增至27萬餘件及9萬餘件，其增幅高於以前年度</w:t>
      </w:r>
    </w:p>
    <w:p w:rsidR="00CE2AA0" w:rsidRPr="009E33C3" w:rsidRDefault="00CE2AA0" w:rsidP="00640605">
      <w:pPr>
        <w:pStyle w:val="21"/>
        <w:ind w:left="850" w:firstLine="566"/>
      </w:pPr>
      <w:r w:rsidRPr="009E33C3">
        <w:rPr>
          <w:rFonts w:hint="eastAsia"/>
        </w:rPr>
        <w:t>法院組織法第2條規定：「法院審判民事、刑事及其他法律規定訴訟案件，並依法管轄非訟事件。」11</w:t>
      </w:r>
      <w:r w:rsidRPr="009E33C3">
        <w:t>2</w:t>
      </w:r>
      <w:r w:rsidRPr="009E33C3">
        <w:rPr>
          <w:rFonts w:hint="eastAsia"/>
        </w:rPr>
        <w:t>年度司法院及所屬各機關各類案件新收件數達3</w:t>
      </w:r>
      <w:r w:rsidRPr="009E33C3">
        <w:t>87</w:t>
      </w:r>
      <w:r w:rsidRPr="009E33C3">
        <w:rPr>
          <w:rFonts w:hint="eastAsia"/>
        </w:rPr>
        <w:t>萬6</w:t>
      </w:r>
      <w:r w:rsidRPr="009E33C3">
        <w:t>,060</w:t>
      </w:r>
      <w:r w:rsidRPr="009E33C3">
        <w:rPr>
          <w:rFonts w:hint="eastAsia"/>
        </w:rPr>
        <w:t>件，其中地方法院為3</w:t>
      </w:r>
      <w:r w:rsidRPr="009E33C3">
        <w:t>76</w:t>
      </w:r>
      <w:r w:rsidRPr="009E33C3">
        <w:rPr>
          <w:rFonts w:hint="eastAsia"/>
        </w:rPr>
        <w:t>萬6</w:t>
      </w:r>
      <w:r w:rsidRPr="009E33C3">
        <w:t>,276</w:t>
      </w:r>
      <w:r w:rsidRPr="009E33C3">
        <w:rPr>
          <w:rFonts w:hint="eastAsia"/>
        </w:rPr>
        <w:t>件，占比約97.2%；以近5年地方法院民事事件</w:t>
      </w:r>
      <w:r>
        <w:rPr>
          <w:rStyle w:val="af5"/>
        </w:rPr>
        <w:footnoteReference w:id="1"/>
      </w:r>
      <w:r w:rsidRPr="009E33C3">
        <w:rPr>
          <w:rFonts w:hint="eastAsia"/>
        </w:rPr>
        <w:t>來作進一步分析(詳表</w:t>
      </w:r>
      <w:r w:rsidRPr="009E33C3">
        <w:t>1</w:t>
      </w:r>
      <w:r w:rsidRPr="009E33C3">
        <w:rPr>
          <w:rFonts w:hint="eastAsia"/>
        </w:rPr>
        <w:t>)，新收件數自1</w:t>
      </w:r>
      <w:r w:rsidRPr="009E33C3">
        <w:t>08</w:t>
      </w:r>
      <w:r w:rsidRPr="009E33C3">
        <w:rPr>
          <w:rFonts w:hint="eastAsia"/>
        </w:rPr>
        <w:t>年度之2</w:t>
      </w:r>
      <w:r w:rsidRPr="009E33C3">
        <w:t>57</w:t>
      </w:r>
      <w:r w:rsidRPr="009E33C3">
        <w:rPr>
          <w:rFonts w:hint="eastAsia"/>
        </w:rPr>
        <w:t>萬6</w:t>
      </w:r>
      <w:r w:rsidRPr="009E33C3">
        <w:t>08</w:t>
      </w:r>
      <w:r w:rsidRPr="009E33C3">
        <w:rPr>
          <w:rFonts w:hint="eastAsia"/>
        </w:rPr>
        <w:t>件增至1</w:t>
      </w:r>
      <w:r w:rsidRPr="009E33C3">
        <w:t>12</w:t>
      </w:r>
      <w:r w:rsidRPr="009E33C3">
        <w:rPr>
          <w:rFonts w:hint="eastAsia"/>
        </w:rPr>
        <w:t>年度之3</w:t>
      </w:r>
      <w:r w:rsidRPr="009E33C3">
        <w:t>14</w:t>
      </w:r>
      <w:r w:rsidRPr="009E33C3">
        <w:rPr>
          <w:rFonts w:hint="eastAsia"/>
        </w:rPr>
        <w:t>萬6</w:t>
      </w:r>
      <w:r w:rsidRPr="009E33C3">
        <w:t>,9</w:t>
      </w:r>
      <w:r w:rsidRPr="009E33C3">
        <w:rPr>
          <w:rFonts w:hint="eastAsia"/>
        </w:rPr>
        <w:t>7</w:t>
      </w:r>
      <w:r w:rsidRPr="009E33C3">
        <w:t>3</w:t>
      </w:r>
      <w:r w:rsidRPr="009E33C3">
        <w:rPr>
          <w:rFonts w:hint="eastAsia"/>
        </w:rPr>
        <w:t>件，增幅</w:t>
      </w:r>
      <w:r w:rsidRPr="009E33C3">
        <w:t>22.4</w:t>
      </w:r>
      <w:r w:rsidRPr="009E33C3">
        <w:rPr>
          <w:rFonts w:hint="eastAsia"/>
        </w:rPr>
        <w:t>%，終結件數雖亦呈增加趨勢(增幅20.1%)，卻不及新收件數，故未結件數累增至1</w:t>
      </w:r>
      <w:r w:rsidRPr="009E33C3">
        <w:t>12</w:t>
      </w:r>
      <w:r w:rsidRPr="009E33C3">
        <w:rPr>
          <w:rFonts w:hint="eastAsia"/>
        </w:rPr>
        <w:t>年度已逾2</w:t>
      </w:r>
      <w:r w:rsidRPr="009E33C3">
        <w:t>7</w:t>
      </w:r>
      <w:r w:rsidRPr="009E33C3">
        <w:rPr>
          <w:rFonts w:hint="eastAsia"/>
        </w:rPr>
        <w:t>萬件，5年間增幅達</w:t>
      </w:r>
      <w:r w:rsidRPr="009E33C3">
        <w:t>59.5</w:t>
      </w:r>
      <w:r w:rsidRPr="009E33C3">
        <w:rPr>
          <w:rFonts w:hint="eastAsia"/>
        </w:rPr>
        <w:t>%，其中又以112年度增幅34.9%最鉅；另刑事案件部分(詳表</w:t>
      </w:r>
      <w:r w:rsidRPr="009E33C3">
        <w:t>2</w:t>
      </w:r>
      <w:r w:rsidRPr="009E33C3">
        <w:rPr>
          <w:rFonts w:hint="eastAsia"/>
        </w:rPr>
        <w:t>)，近5年新收件數雖未如民事事件有明顯遞增趨勢，惟因每年終結件數略低於新增件數，故未結件數自1</w:t>
      </w:r>
      <w:r w:rsidRPr="009E33C3">
        <w:t>0</w:t>
      </w:r>
      <w:r w:rsidRPr="009E33C3">
        <w:rPr>
          <w:rFonts w:hint="eastAsia"/>
        </w:rPr>
        <w:t>9年度起逐年增加，1</w:t>
      </w:r>
      <w:r w:rsidRPr="009E33C3">
        <w:t>12</w:t>
      </w:r>
      <w:r w:rsidRPr="009E33C3">
        <w:rPr>
          <w:rFonts w:hint="eastAsia"/>
        </w:rPr>
        <w:t>年度已達9萬3</w:t>
      </w:r>
      <w:r w:rsidRPr="009E33C3">
        <w:t>,173</w:t>
      </w:r>
      <w:r w:rsidRPr="009E33C3">
        <w:rPr>
          <w:rFonts w:hint="eastAsia"/>
        </w:rPr>
        <w:t>件，4年間增幅45.6%，其中112年度增幅14.1%，亦略高於以前年度，且終結案件平均所需日數增至1</w:t>
      </w:r>
      <w:r w:rsidRPr="009E33C3">
        <w:t>00.92</w:t>
      </w:r>
      <w:r w:rsidRPr="009E33C3">
        <w:rPr>
          <w:rFonts w:hint="eastAsia"/>
        </w:rPr>
        <w:t>日，為近5年最高。如以地方法院平均每法官每月辦結件數</w:t>
      </w:r>
      <w:r>
        <w:rPr>
          <w:rStyle w:val="af5"/>
        </w:rPr>
        <w:footnoteReference w:id="2"/>
      </w:r>
      <w:r w:rsidRPr="009E33C3">
        <w:rPr>
          <w:rFonts w:hint="eastAsia"/>
        </w:rPr>
        <w:t>觀之，民事執行及</w:t>
      </w:r>
      <w:r w:rsidRPr="009E33C3">
        <w:rPr>
          <w:rFonts w:hint="eastAsia"/>
        </w:rPr>
        <w:lastRenderedPageBreak/>
        <w:t>刑事案件各為134.24件及62.59件，均為近年最高。整體而言，近年地方法院法官工作負擔有逐漸加重之勢，且112年度未結件數之增幅有加劇情形。</w:t>
      </w:r>
    </w:p>
    <w:p w:rsidR="00CE2AA0" w:rsidRPr="0062243E" w:rsidRDefault="00CE2AA0" w:rsidP="00640605">
      <w:pPr>
        <w:ind w:leftChars="0" w:left="567" w:hangingChars="200" w:hanging="567"/>
        <w:rPr>
          <w:bCs/>
          <w:sz w:val="24"/>
          <w:szCs w:val="18"/>
        </w:rPr>
      </w:pPr>
      <w:r w:rsidRPr="009E33C3">
        <w:rPr>
          <w:rFonts w:hint="eastAsia"/>
          <w:b/>
          <w:bCs/>
        </w:rPr>
        <w:t>表1  108至1</w:t>
      </w:r>
      <w:r w:rsidRPr="009E33C3">
        <w:rPr>
          <w:b/>
          <w:bCs/>
        </w:rPr>
        <w:t>12</w:t>
      </w:r>
      <w:r w:rsidRPr="009E33C3">
        <w:rPr>
          <w:rFonts w:hint="eastAsia"/>
          <w:b/>
          <w:bCs/>
        </w:rPr>
        <w:t>年度地方法院民事事件辦理概況表</w:t>
      </w:r>
      <w:r>
        <w:rPr>
          <w:rFonts w:hint="eastAsia"/>
        </w:rPr>
        <w:t xml:space="preserve">  </w:t>
      </w:r>
      <w:r w:rsidRPr="0062243E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Pr="0062243E">
        <w:rPr>
          <w:rFonts w:hint="eastAsia"/>
        </w:rPr>
        <w:t xml:space="preserve"> </w:t>
      </w:r>
      <w:r w:rsidRPr="0062243E">
        <w:rPr>
          <w:rFonts w:hint="eastAsia"/>
          <w:bCs/>
          <w:sz w:val="24"/>
          <w:szCs w:val="18"/>
        </w:rPr>
        <w:t>單位：件；日</w:t>
      </w:r>
    </w:p>
    <w:tbl>
      <w:tblPr>
        <w:tblW w:w="8443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"/>
        <w:gridCol w:w="1361"/>
        <w:gridCol w:w="1361"/>
        <w:gridCol w:w="1247"/>
        <w:gridCol w:w="1191"/>
        <w:gridCol w:w="1242"/>
        <w:gridCol w:w="1243"/>
      </w:tblGrid>
      <w:tr w:rsidR="00CE2AA0" w:rsidRPr="009E33C3" w:rsidTr="00640605">
        <w:tc>
          <w:tcPr>
            <w:tcW w:w="79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年度</w:t>
            </w:r>
          </w:p>
        </w:tc>
        <w:tc>
          <w:tcPr>
            <w:tcW w:w="1361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新收件數</w:t>
            </w:r>
          </w:p>
        </w:tc>
        <w:tc>
          <w:tcPr>
            <w:tcW w:w="1361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終結件數</w:t>
            </w:r>
          </w:p>
        </w:tc>
        <w:tc>
          <w:tcPr>
            <w:tcW w:w="1247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未結件數</w:t>
            </w:r>
          </w:p>
        </w:tc>
        <w:tc>
          <w:tcPr>
            <w:tcW w:w="1191" w:type="dxa"/>
            <w:vMerge w:val="restart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終結事件平均每件所需日數</w:t>
            </w:r>
          </w:p>
        </w:tc>
        <w:tc>
          <w:tcPr>
            <w:tcW w:w="2485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平均每法官每月</w:t>
            </w:r>
            <w:r w:rsidRPr="009E33C3">
              <w:br/>
            </w:r>
            <w:r w:rsidRPr="009E33C3">
              <w:rPr>
                <w:rFonts w:hint="eastAsia"/>
              </w:rPr>
              <w:t>辦結件數</w:t>
            </w:r>
          </w:p>
        </w:tc>
      </w:tr>
      <w:tr w:rsidR="00CE2AA0" w:rsidRPr="004A19DE" w:rsidTr="00640605">
        <w:tc>
          <w:tcPr>
            <w:tcW w:w="79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4A19DE" w:rsidRDefault="00CE2AA0" w:rsidP="00640605">
            <w:pPr>
              <w:pStyle w:val="142"/>
              <w:ind w:left="567" w:hanging="567"/>
              <w:jc w:val="center"/>
            </w:pPr>
          </w:p>
        </w:tc>
        <w:tc>
          <w:tcPr>
            <w:tcW w:w="136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</w:p>
        </w:tc>
        <w:tc>
          <w:tcPr>
            <w:tcW w:w="136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</w:p>
        </w:tc>
        <w:tc>
          <w:tcPr>
            <w:tcW w:w="124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</w:p>
        </w:tc>
        <w:tc>
          <w:tcPr>
            <w:tcW w:w="1191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</w:p>
        </w:tc>
        <w:tc>
          <w:tcPr>
            <w:tcW w:w="12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E2AA0" w:rsidRPr="0062243E" w:rsidRDefault="00CE2AA0" w:rsidP="00640605">
            <w:pPr>
              <w:pStyle w:val="142"/>
              <w:ind w:left="567" w:hanging="567"/>
              <w:jc w:val="center"/>
            </w:pPr>
            <w:r w:rsidRPr="0062243E">
              <w:rPr>
                <w:rFonts w:hint="eastAsia"/>
              </w:rPr>
              <w:t>民事</w:t>
            </w:r>
            <w:r>
              <w:rPr>
                <w:rFonts w:hint="eastAsia"/>
              </w:rPr>
              <w:t>審判</w:t>
            </w: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E2AA0" w:rsidRPr="0062243E" w:rsidRDefault="00CE2AA0" w:rsidP="00640605">
            <w:pPr>
              <w:pStyle w:val="142"/>
              <w:ind w:left="567" w:hanging="567"/>
              <w:jc w:val="center"/>
            </w:pPr>
            <w:r w:rsidRPr="0062243E">
              <w:rPr>
                <w:rFonts w:hint="eastAsia"/>
              </w:rPr>
              <w:t>民事執行</w:t>
            </w:r>
          </w:p>
        </w:tc>
      </w:tr>
      <w:tr w:rsidR="00CE2AA0" w:rsidRPr="004A19DE" w:rsidTr="00640605">
        <w:tc>
          <w:tcPr>
            <w:tcW w:w="7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4A19DE" w:rsidRDefault="00CE2AA0" w:rsidP="00640605">
            <w:pPr>
              <w:pStyle w:val="142"/>
              <w:ind w:left="567" w:hanging="567"/>
              <w:jc w:val="center"/>
            </w:pPr>
            <w:r w:rsidRPr="004A19DE">
              <w:rPr>
                <w:rFonts w:hint="eastAsia"/>
              </w:rPr>
              <w:t>1</w:t>
            </w:r>
            <w:r w:rsidRPr="004A19DE">
              <w:t>08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2</w:t>
            </w:r>
            <w:r w:rsidRPr="004A19DE">
              <w:t>,570,608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2</w:t>
            </w:r>
            <w:r w:rsidRPr="004A19DE">
              <w:t>,562,005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1</w:t>
            </w:r>
            <w:r w:rsidRPr="004A19DE">
              <w:t>71,787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3</w:t>
            </w:r>
            <w:r w:rsidRPr="004A19DE">
              <w:t>4.25</w:t>
            </w:r>
          </w:p>
        </w:tc>
        <w:tc>
          <w:tcPr>
            <w:tcW w:w="12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71.48</w:t>
            </w: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53.50</w:t>
            </w:r>
          </w:p>
        </w:tc>
      </w:tr>
      <w:tr w:rsidR="00CE2AA0" w:rsidRPr="004A19DE" w:rsidTr="00640605">
        <w:tc>
          <w:tcPr>
            <w:tcW w:w="7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4A19DE" w:rsidRDefault="00CE2AA0" w:rsidP="00640605">
            <w:pPr>
              <w:pStyle w:val="142"/>
              <w:ind w:left="567" w:hanging="567"/>
              <w:jc w:val="center"/>
            </w:pPr>
            <w:r w:rsidRPr="004A19DE">
              <w:rPr>
                <w:rFonts w:hint="eastAsia"/>
              </w:rPr>
              <w:t>1</w:t>
            </w:r>
            <w:r w:rsidRPr="004A19DE">
              <w:t>09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2</w:t>
            </w:r>
            <w:r w:rsidRPr="004A19DE">
              <w:t>,703,774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2</w:t>
            </w:r>
            <w:r w:rsidRPr="004A19DE">
              <w:t>,706,108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1</w:t>
            </w:r>
            <w:r w:rsidRPr="004A19DE">
              <w:t>69,453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3</w:t>
            </w:r>
            <w:r w:rsidRPr="004A19DE">
              <w:t>3.37</w:t>
            </w:r>
          </w:p>
        </w:tc>
        <w:tc>
          <w:tcPr>
            <w:tcW w:w="12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74.36</w:t>
            </w: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80.22</w:t>
            </w:r>
          </w:p>
        </w:tc>
      </w:tr>
      <w:tr w:rsidR="00CE2AA0" w:rsidRPr="004A19DE" w:rsidTr="00640605">
        <w:tc>
          <w:tcPr>
            <w:tcW w:w="7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4A19DE" w:rsidRDefault="00CE2AA0" w:rsidP="00640605">
            <w:pPr>
              <w:pStyle w:val="142"/>
              <w:ind w:left="567" w:hanging="567"/>
              <w:jc w:val="center"/>
            </w:pPr>
            <w:r w:rsidRPr="004A19DE">
              <w:rPr>
                <w:rFonts w:hint="eastAsia"/>
              </w:rPr>
              <w:t>1</w:t>
            </w:r>
            <w:r w:rsidRPr="004A19DE">
              <w:t>10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2</w:t>
            </w:r>
            <w:r w:rsidRPr="004A19DE">
              <w:t>,629,993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2</w:t>
            </w:r>
            <w:r w:rsidRPr="004A19DE">
              <w:t>,614,215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1</w:t>
            </w:r>
            <w:r w:rsidRPr="004A19DE">
              <w:t>85,231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3</w:t>
            </w:r>
            <w:r w:rsidRPr="004A19DE">
              <w:t>3.34</w:t>
            </w:r>
          </w:p>
        </w:tc>
        <w:tc>
          <w:tcPr>
            <w:tcW w:w="12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68.71</w:t>
            </w: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60.46</w:t>
            </w:r>
          </w:p>
        </w:tc>
      </w:tr>
      <w:tr w:rsidR="00CE2AA0" w:rsidRPr="004A19DE" w:rsidTr="00640605">
        <w:tc>
          <w:tcPr>
            <w:tcW w:w="7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4A19DE" w:rsidRDefault="00CE2AA0" w:rsidP="00640605">
            <w:pPr>
              <w:pStyle w:val="142"/>
              <w:ind w:left="567" w:hanging="567"/>
              <w:jc w:val="center"/>
            </w:pPr>
            <w:r w:rsidRPr="004A19DE">
              <w:rPr>
                <w:rFonts w:hint="eastAsia"/>
              </w:rPr>
              <w:t>1</w:t>
            </w:r>
            <w:r w:rsidRPr="004A19DE">
              <w:t>11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2</w:t>
            </w:r>
            <w:r w:rsidRPr="004A19DE">
              <w:t>,894,37</w:t>
            </w:r>
            <w:r>
              <w:rPr>
                <w:rFonts w:hint="eastAsia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2</w:t>
            </w:r>
            <w:r w:rsidRPr="004A19DE">
              <w:t>,876,460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2</w:t>
            </w:r>
            <w:r w:rsidRPr="004A19DE">
              <w:t>03,14</w:t>
            </w:r>
            <w:r>
              <w:rPr>
                <w:rFonts w:hint="eastAsia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3</w:t>
            </w:r>
            <w:r w:rsidRPr="004A19DE">
              <w:t>2.53</w:t>
            </w:r>
          </w:p>
        </w:tc>
        <w:tc>
          <w:tcPr>
            <w:tcW w:w="12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74.35</w:t>
            </w: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109.93</w:t>
            </w:r>
          </w:p>
        </w:tc>
      </w:tr>
      <w:tr w:rsidR="00CE2AA0" w:rsidRPr="004A19DE" w:rsidTr="00640605">
        <w:tc>
          <w:tcPr>
            <w:tcW w:w="79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E2AA0" w:rsidRPr="004A19DE" w:rsidRDefault="00CE2AA0" w:rsidP="00640605">
            <w:pPr>
              <w:pStyle w:val="142"/>
              <w:ind w:left="567" w:hanging="567"/>
              <w:jc w:val="center"/>
            </w:pPr>
            <w:r w:rsidRPr="004A19DE">
              <w:rPr>
                <w:rFonts w:hint="eastAsia"/>
              </w:rPr>
              <w:t>1</w:t>
            </w:r>
            <w:r w:rsidRPr="004A19DE">
              <w:t>12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146</w:t>
            </w:r>
            <w:r w:rsidRPr="004A19DE">
              <w:t>,</w:t>
            </w:r>
            <w:r>
              <w:rPr>
                <w:rFonts w:hint="eastAsia"/>
              </w:rPr>
              <w:t>973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076</w:t>
            </w:r>
            <w:r w:rsidRPr="004A19DE">
              <w:t>,</w:t>
            </w:r>
            <w:r>
              <w:rPr>
                <w:rFonts w:hint="eastAsia"/>
              </w:rPr>
              <w:t>118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t>2</w:t>
            </w:r>
            <w:r>
              <w:rPr>
                <w:rFonts w:hint="eastAsia"/>
              </w:rPr>
              <w:t>73</w:t>
            </w:r>
            <w:r w:rsidRPr="004A19DE">
              <w:t>,</w:t>
            </w:r>
            <w:r>
              <w:rPr>
                <w:rFonts w:hint="eastAsia"/>
              </w:rPr>
              <w:t>998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 w:rsidRPr="004A19DE">
              <w:rPr>
                <w:rFonts w:hint="eastAsia"/>
              </w:rPr>
              <w:t>3</w:t>
            </w:r>
            <w:r>
              <w:rPr>
                <w:rFonts w:hint="eastAsia"/>
              </w:rPr>
              <w:t>3</w:t>
            </w:r>
            <w:r w:rsidRPr="004A19DE">
              <w:t>.</w:t>
            </w:r>
            <w:r>
              <w:rPr>
                <w:rFonts w:hint="eastAsia"/>
              </w:rPr>
              <w:t>95</w:t>
            </w:r>
          </w:p>
        </w:tc>
        <w:tc>
          <w:tcPr>
            <w:tcW w:w="1242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64.81</w:t>
            </w:r>
          </w:p>
        </w:tc>
        <w:tc>
          <w:tcPr>
            <w:tcW w:w="1243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E2AA0" w:rsidRPr="004A19DE" w:rsidRDefault="00CE2AA0" w:rsidP="00640605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134.24</w:t>
            </w:r>
          </w:p>
        </w:tc>
      </w:tr>
    </w:tbl>
    <w:p w:rsidR="00CE2AA0" w:rsidRDefault="00CE2AA0" w:rsidP="00640605">
      <w:pPr>
        <w:pStyle w:val="142"/>
        <w:ind w:left="567" w:hanging="567"/>
      </w:pPr>
      <w:r w:rsidRPr="004A19DE">
        <w:rPr>
          <w:rFonts w:hint="eastAsia"/>
        </w:rPr>
        <w:t>資料來源：</w:t>
      </w:r>
      <w:r>
        <w:rPr>
          <w:rFonts w:hint="eastAsia"/>
        </w:rPr>
        <w:t>司法統計年報</w:t>
      </w:r>
      <w:r w:rsidRPr="004A19DE">
        <w:rPr>
          <w:rFonts w:hint="eastAsia"/>
        </w:rPr>
        <w:t>。</w:t>
      </w:r>
    </w:p>
    <w:p w:rsidR="00CE2AA0" w:rsidRPr="004A19DE" w:rsidRDefault="00CE2AA0" w:rsidP="00640605">
      <w:pPr>
        <w:ind w:leftChars="0" w:left="0" w:firstLineChars="0" w:firstLine="0"/>
        <w:rPr>
          <w:b/>
          <w:bCs/>
          <w:sz w:val="24"/>
          <w:szCs w:val="18"/>
        </w:rPr>
      </w:pPr>
      <w:r w:rsidRPr="0062243E">
        <w:rPr>
          <w:rFonts w:hint="eastAsia"/>
          <w:b/>
        </w:rPr>
        <w:t>表2  10</w:t>
      </w:r>
      <w:r>
        <w:rPr>
          <w:rFonts w:hint="eastAsia"/>
          <w:b/>
        </w:rPr>
        <w:t>8</w:t>
      </w:r>
      <w:r w:rsidRPr="0062243E">
        <w:rPr>
          <w:rFonts w:hint="eastAsia"/>
          <w:b/>
        </w:rPr>
        <w:t>至1</w:t>
      </w:r>
      <w:r w:rsidRPr="0062243E">
        <w:rPr>
          <w:b/>
        </w:rPr>
        <w:t>12</w:t>
      </w:r>
      <w:r w:rsidRPr="0062243E">
        <w:rPr>
          <w:rFonts w:hint="eastAsia"/>
          <w:b/>
        </w:rPr>
        <w:t>年度地方法院刑事案件辦理概況</w:t>
      </w:r>
      <w:r>
        <w:rPr>
          <w:rFonts w:hint="eastAsia"/>
          <w:b/>
        </w:rPr>
        <w:t xml:space="preserve">表  </w:t>
      </w:r>
      <w:r>
        <w:t xml:space="preserve"> </w:t>
      </w:r>
      <w:r w:rsidRPr="004A19DE">
        <w:rPr>
          <w:rFonts w:hint="eastAsia"/>
        </w:rPr>
        <w:t xml:space="preserve">  </w:t>
      </w:r>
      <w:r w:rsidRPr="0062243E">
        <w:rPr>
          <w:rFonts w:hint="eastAsia"/>
          <w:bCs/>
          <w:sz w:val="24"/>
          <w:szCs w:val="18"/>
        </w:rPr>
        <w:t>單位：件；日</w:t>
      </w:r>
    </w:p>
    <w:tbl>
      <w:tblPr>
        <w:tblW w:w="8443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"/>
        <w:gridCol w:w="1361"/>
        <w:gridCol w:w="1361"/>
        <w:gridCol w:w="1247"/>
        <w:gridCol w:w="1871"/>
        <w:gridCol w:w="1837"/>
      </w:tblGrid>
      <w:tr w:rsidR="00CE2AA0" w:rsidRPr="009E33C3" w:rsidTr="00640605">
        <w:trPr>
          <w:tblHeader/>
        </w:trPr>
        <w:tc>
          <w:tcPr>
            <w:tcW w:w="76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年度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新收件數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終結件數</w:t>
            </w:r>
          </w:p>
        </w:tc>
        <w:tc>
          <w:tcPr>
            <w:tcW w:w="124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未結件數</w:t>
            </w:r>
          </w:p>
        </w:tc>
        <w:tc>
          <w:tcPr>
            <w:tcW w:w="1871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終結案件平均每件所需日數</w:t>
            </w:r>
          </w:p>
        </w:tc>
        <w:tc>
          <w:tcPr>
            <w:tcW w:w="1837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平均每法官</w:t>
            </w:r>
            <w:r w:rsidRPr="009E33C3">
              <w:br/>
            </w:r>
            <w:r w:rsidRPr="009E33C3">
              <w:rPr>
                <w:rFonts w:hint="eastAsia"/>
              </w:rPr>
              <w:t>每月辦結件數</w:t>
            </w:r>
          </w:p>
        </w:tc>
      </w:tr>
      <w:tr w:rsidR="00CE2AA0" w:rsidRPr="009E33C3" w:rsidTr="00640605"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1</w:t>
            </w:r>
            <w:r w:rsidRPr="009E33C3">
              <w:t>08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4</w:t>
            </w:r>
            <w:r w:rsidRPr="009E33C3">
              <w:t>61,960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4</w:t>
            </w:r>
            <w:r w:rsidRPr="009E33C3">
              <w:t>61,041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6</w:t>
            </w:r>
            <w:r w:rsidRPr="009E33C3">
              <w:t>5,134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8</w:t>
            </w:r>
            <w:r w:rsidRPr="009E33C3">
              <w:t>3.76</w:t>
            </w:r>
          </w:p>
        </w:tc>
        <w:tc>
          <w:tcPr>
            <w:tcW w:w="183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60.36</w:t>
            </w:r>
          </w:p>
        </w:tc>
      </w:tr>
      <w:tr w:rsidR="00CE2AA0" w:rsidRPr="009E33C3" w:rsidTr="00640605"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1</w:t>
            </w:r>
            <w:r w:rsidRPr="009E33C3">
              <w:t>09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4</w:t>
            </w:r>
            <w:r w:rsidRPr="009E33C3">
              <w:t>49,446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4</w:t>
            </w:r>
            <w:r w:rsidRPr="009E33C3">
              <w:t>50,595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6</w:t>
            </w:r>
            <w:r w:rsidRPr="009E33C3">
              <w:t>3,985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8</w:t>
            </w:r>
            <w:r w:rsidRPr="009E33C3">
              <w:t>5.46</w:t>
            </w:r>
          </w:p>
        </w:tc>
        <w:tc>
          <w:tcPr>
            <w:tcW w:w="183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58.92</w:t>
            </w:r>
          </w:p>
        </w:tc>
      </w:tr>
      <w:tr w:rsidR="00CE2AA0" w:rsidRPr="009E33C3" w:rsidTr="00640605"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1</w:t>
            </w:r>
            <w:r w:rsidRPr="009E33C3">
              <w:t>10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4</w:t>
            </w:r>
            <w:r w:rsidRPr="009E33C3">
              <w:t>07,426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3</w:t>
            </w:r>
            <w:r w:rsidRPr="009E33C3">
              <w:t>99,019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7</w:t>
            </w:r>
            <w:r w:rsidRPr="009E33C3">
              <w:t>2,392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1</w:t>
            </w:r>
            <w:r w:rsidRPr="009E33C3">
              <w:t>00.36</w:t>
            </w:r>
          </w:p>
        </w:tc>
        <w:tc>
          <w:tcPr>
            <w:tcW w:w="183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53.09</w:t>
            </w:r>
          </w:p>
        </w:tc>
      </w:tr>
      <w:tr w:rsidR="00CE2AA0" w:rsidRPr="009E33C3" w:rsidTr="00640605"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1</w:t>
            </w:r>
            <w:r w:rsidRPr="009E33C3">
              <w:t>11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4</w:t>
            </w:r>
            <w:r w:rsidRPr="009E33C3">
              <w:t>55,594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4</w:t>
            </w:r>
            <w:r w:rsidRPr="009E33C3">
              <w:t>46,326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8</w:t>
            </w:r>
            <w:r w:rsidRPr="009E33C3">
              <w:t>1,660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9</w:t>
            </w:r>
            <w:r w:rsidRPr="009E33C3">
              <w:t>9.78</w:t>
            </w:r>
          </w:p>
        </w:tc>
        <w:tc>
          <w:tcPr>
            <w:tcW w:w="183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59.67</w:t>
            </w:r>
          </w:p>
        </w:tc>
      </w:tr>
      <w:tr w:rsidR="00CE2AA0" w:rsidRPr="009E33C3" w:rsidTr="00640605"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E2AA0" w:rsidRPr="009E33C3" w:rsidRDefault="00CE2AA0" w:rsidP="00640605">
            <w:pPr>
              <w:pStyle w:val="142"/>
              <w:jc w:val="center"/>
            </w:pPr>
            <w:r w:rsidRPr="009E33C3">
              <w:rPr>
                <w:rFonts w:hint="eastAsia"/>
              </w:rPr>
              <w:t>1</w:t>
            </w:r>
            <w:r w:rsidRPr="009E33C3">
              <w:t>12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483</w:t>
            </w:r>
            <w:r w:rsidRPr="009E33C3">
              <w:t>,</w:t>
            </w:r>
            <w:r w:rsidRPr="009E33C3">
              <w:rPr>
                <w:rFonts w:hint="eastAsia"/>
              </w:rPr>
              <w:t>136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471</w:t>
            </w:r>
            <w:r w:rsidRPr="009E33C3">
              <w:t>,</w:t>
            </w:r>
            <w:r w:rsidRPr="009E33C3">
              <w:rPr>
                <w:rFonts w:hint="eastAsia"/>
              </w:rPr>
              <w:t>623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93</w:t>
            </w:r>
            <w:r w:rsidRPr="009E33C3">
              <w:t>,</w:t>
            </w:r>
            <w:r w:rsidRPr="009E33C3">
              <w:rPr>
                <w:rFonts w:hint="eastAsia"/>
              </w:rPr>
              <w:t>173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1</w:t>
            </w:r>
            <w:r w:rsidRPr="009E33C3">
              <w:t>0</w:t>
            </w:r>
            <w:r w:rsidRPr="009E33C3">
              <w:rPr>
                <w:rFonts w:hint="eastAsia"/>
              </w:rPr>
              <w:t>0</w:t>
            </w:r>
            <w:r w:rsidRPr="009E33C3">
              <w:t>.</w:t>
            </w:r>
            <w:r w:rsidRPr="009E33C3">
              <w:rPr>
                <w:rFonts w:hint="eastAsia"/>
              </w:rPr>
              <w:t>92</w:t>
            </w:r>
          </w:p>
        </w:tc>
        <w:tc>
          <w:tcPr>
            <w:tcW w:w="1837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</w:tcPr>
          <w:p w:rsidR="00CE2AA0" w:rsidRPr="009E33C3" w:rsidRDefault="00CE2AA0" w:rsidP="00640605">
            <w:pPr>
              <w:pStyle w:val="142"/>
              <w:jc w:val="right"/>
            </w:pPr>
            <w:r w:rsidRPr="009E33C3">
              <w:rPr>
                <w:rFonts w:hint="eastAsia"/>
              </w:rPr>
              <w:t>62.59</w:t>
            </w:r>
          </w:p>
        </w:tc>
      </w:tr>
    </w:tbl>
    <w:p w:rsidR="00CE2AA0" w:rsidRDefault="00CE2AA0" w:rsidP="00640605">
      <w:pPr>
        <w:pStyle w:val="142"/>
        <w:ind w:left="567" w:hanging="567"/>
        <w:jc w:val="both"/>
      </w:pPr>
      <w:r w:rsidRPr="004A19DE">
        <w:rPr>
          <w:rFonts w:hint="eastAsia"/>
        </w:rPr>
        <w:t>資料來源：</w:t>
      </w:r>
      <w:r>
        <w:rPr>
          <w:rFonts w:hint="eastAsia"/>
        </w:rPr>
        <w:t>司法統計年報</w:t>
      </w:r>
      <w:r w:rsidRPr="004A19DE">
        <w:rPr>
          <w:rFonts w:hint="eastAsia"/>
        </w:rPr>
        <w:t>。</w:t>
      </w:r>
    </w:p>
    <w:p w:rsidR="00CE2AA0" w:rsidRPr="00C23F81" w:rsidRDefault="00CE2AA0" w:rsidP="00640605">
      <w:pPr>
        <w:pStyle w:val="a5"/>
        <w:ind w:left="849" w:hanging="283"/>
        <w:rPr>
          <w:b/>
          <w:bCs/>
        </w:rPr>
      </w:pPr>
      <w:r w:rsidRPr="00C23F81">
        <w:rPr>
          <w:rFonts w:hint="eastAsia"/>
          <w:b/>
          <w:bCs/>
        </w:rPr>
        <w:t>(二)地方檢察署偵查案件新收件數連年成長，其中112年度電信網路詐欺案件占比已超逾3成，且未結件數近12萬件</w:t>
      </w:r>
    </w:p>
    <w:p w:rsidR="00CE2AA0" w:rsidRPr="007538F2" w:rsidRDefault="00CE2AA0" w:rsidP="00640605">
      <w:pPr>
        <w:pStyle w:val="21"/>
        <w:ind w:left="850" w:firstLine="566"/>
      </w:pPr>
      <w:r w:rsidRPr="007538F2">
        <w:rPr>
          <w:rFonts w:hint="eastAsia"/>
        </w:rPr>
        <w:t>法院組織法第</w:t>
      </w:r>
      <w:r w:rsidRPr="007538F2">
        <w:t>60</w:t>
      </w:r>
      <w:r w:rsidRPr="007538F2">
        <w:rPr>
          <w:rFonts w:hint="eastAsia"/>
        </w:rPr>
        <w:t>條規定略以，檢察官之職權包含實施偵查、提起公訴、實行公訴、協助自訴、擔當自訴、指揮刑事裁判之執行及其他法令所定職務之執行。11</w:t>
      </w:r>
      <w:r w:rsidRPr="007538F2">
        <w:t>2</w:t>
      </w:r>
      <w:r w:rsidRPr="007538F2">
        <w:rPr>
          <w:rFonts w:hint="eastAsia"/>
        </w:rPr>
        <w:t>年度地方檢察署各類案件新收件數</w:t>
      </w:r>
      <w:r w:rsidRPr="007538F2">
        <w:rPr>
          <w:rStyle w:val="af5"/>
        </w:rPr>
        <w:footnoteReference w:id="3"/>
      </w:r>
      <w:r w:rsidRPr="007538F2">
        <w:rPr>
          <w:rFonts w:hint="eastAsia"/>
        </w:rPr>
        <w:t>合共2</w:t>
      </w:r>
      <w:r w:rsidRPr="007538F2">
        <w:t>48</w:t>
      </w:r>
      <w:r w:rsidRPr="007538F2">
        <w:rPr>
          <w:rFonts w:hint="eastAsia"/>
        </w:rPr>
        <w:t>萬7</w:t>
      </w:r>
      <w:r w:rsidRPr="007538F2">
        <w:t>,299</w:t>
      </w:r>
      <w:r w:rsidRPr="007538F2">
        <w:rPr>
          <w:rFonts w:hint="eastAsia"/>
        </w:rPr>
        <w:t>件，由於偵查為檢察官主要職</w:t>
      </w:r>
      <w:r w:rsidRPr="007538F2">
        <w:rPr>
          <w:rFonts w:hint="eastAsia"/>
        </w:rPr>
        <w:lastRenderedPageBreak/>
        <w:t>權，且近年案件數明顯成長，爰以近</w:t>
      </w:r>
      <w:r w:rsidRPr="007538F2">
        <w:t>5</w:t>
      </w:r>
      <w:r w:rsidRPr="007538F2">
        <w:rPr>
          <w:rFonts w:hint="eastAsia"/>
        </w:rPr>
        <w:t>年地方檢察署偵查案件分析(詳表3)新收、終結及未結件數之變動情形，108年度各為47萬896件、47萬4</w:t>
      </w:r>
      <w:r w:rsidRPr="007538F2">
        <w:t>,</w:t>
      </w:r>
      <w:r w:rsidRPr="007538F2">
        <w:rPr>
          <w:rFonts w:hint="eastAsia"/>
        </w:rPr>
        <w:t>108件及6萬3</w:t>
      </w:r>
      <w:r w:rsidRPr="007538F2">
        <w:t>,</w:t>
      </w:r>
      <w:r w:rsidRPr="007538F2">
        <w:rPr>
          <w:rFonts w:hint="eastAsia"/>
        </w:rPr>
        <w:t>784件，112年度則各為7</w:t>
      </w:r>
      <w:r w:rsidRPr="007538F2">
        <w:t>3</w:t>
      </w:r>
      <w:r w:rsidRPr="007538F2">
        <w:rPr>
          <w:rFonts w:hint="eastAsia"/>
        </w:rPr>
        <w:t>萬3</w:t>
      </w:r>
      <w:r w:rsidRPr="007538F2">
        <w:t>,</w:t>
      </w:r>
      <w:r w:rsidRPr="007538F2">
        <w:rPr>
          <w:rFonts w:hint="eastAsia"/>
        </w:rPr>
        <w:t>505件、72萬4</w:t>
      </w:r>
      <w:r w:rsidRPr="007538F2">
        <w:t>,</w:t>
      </w:r>
      <w:r w:rsidRPr="007538F2">
        <w:rPr>
          <w:rFonts w:hint="eastAsia"/>
        </w:rPr>
        <w:t>245件及11萬9</w:t>
      </w:r>
      <w:r w:rsidRPr="007538F2">
        <w:t>,</w:t>
      </w:r>
      <w:r w:rsidRPr="007538F2">
        <w:rPr>
          <w:rFonts w:hint="eastAsia"/>
        </w:rPr>
        <w:t>424件，增幅分別為</w:t>
      </w:r>
      <w:r w:rsidRPr="007538F2">
        <w:t>55.8</w:t>
      </w:r>
      <w:r w:rsidRPr="007538F2">
        <w:rPr>
          <w:rFonts w:hint="eastAsia"/>
        </w:rPr>
        <w:t>%、</w:t>
      </w:r>
      <w:r w:rsidRPr="007538F2">
        <w:t>52.8</w:t>
      </w:r>
      <w:r w:rsidRPr="007538F2">
        <w:rPr>
          <w:rFonts w:hint="eastAsia"/>
        </w:rPr>
        <w:t>%及</w:t>
      </w:r>
      <w:r w:rsidRPr="007538F2">
        <w:t>87.2</w:t>
      </w:r>
      <w:r w:rsidRPr="007538F2">
        <w:rPr>
          <w:rFonts w:hint="eastAsia"/>
        </w:rPr>
        <w:t>%，且自110年度起偵查終結案件平均所需日數均高於60日。另參據臺灣高等檢察署公布</w:t>
      </w:r>
      <w:r w:rsidRPr="007538F2">
        <w:t>平均每一檢察官每月辦結案件折計件數</w:t>
      </w:r>
      <w:r w:rsidRPr="007538F2">
        <w:rPr>
          <w:rFonts w:hint="eastAsia"/>
        </w:rPr>
        <w:t>之統計資料</w:t>
      </w:r>
      <w:r w:rsidRPr="007538F2">
        <w:rPr>
          <w:rStyle w:val="af5"/>
        </w:rPr>
        <w:footnoteReference w:id="4"/>
      </w:r>
      <w:r w:rsidRPr="007538F2">
        <w:rPr>
          <w:rFonts w:hint="eastAsia"/>
        </w:rPr>
        <w:t>，112年度達130.96件，為近年最高。</w:t>
      </w:r>
    </w:p>
    <w:p w:rsidR="00CE2AA0" w:rsidRDefault="00CE2AA0" w:rsidP="00640605">
      <w:pPr>
        <w:pStyle w:val="21"/>
        <w:ind w:left="850" w:firstLine="566"/>
      </w:pPr>
      <w:r w:rsidRPr="004A19DE">
        <w:rPr>
          <w:rFonts w:hint="eastAsia"/>
        </w:rPr>
        <w:t>據法務部統計資料顯示，</w:t>
      </w:r>
      <w:r>
        <w:rPr>
          <w:rFonts w:hint="eastAsia"/>
        </w:rPr>
        <w:t>如進一步以罪名分析，</w:t>
      </w:r>
      <w:r w:rsidRPr="004A19DE">
        <w:rPr>
          <w:rFonts w:hint="eastAsia"/>
        </w:rPr>
        <w:t>近年地方檢察署偵查</w:t>
      </w:r>
      <w:r>
        <w:rPr>
          <w:rFonts w:hint="eastAsia"/>
        </w:rPr>
        <w:t>案件</w:t>
      </w:r>
      <w:r w:rsidRPr="004A19DE">
        <w:rPr>
          <w:rFonts w:hint="eastAsia"/>
        </w:rPr>
        <w:t>新收件數</w:t>
      </w:r>
      <w:r>
        <w:rPr>
          <w:rFonts w:hint="eastAsia"/>
        </w:rPr>
        <w:t>中，電信網路</w:t>
      </w:r>
      <w:r w:rsidRPr="004A19DE">
        <w:rPr>
          <w:rFonts w:hint="eastAsia"/>
        </w:rPr>
        <w:t>詐欺罪案件自109年度起超越毒品危害防制條例及公共危險罪，躍居各罪名之首</w:t>
      </w:r>
      <w:r>
        <w:rPr>
          <w:rFonts w:hint="eastAsia"/>
        </w:rPr>
        <w:t>，且逐年增加，109年度該類案件為5萬8</w:t>
      </w:r>
      <w:r>
        <w:t>,</w:t>
      </w:r>
      <w:r>
        <w:rPr>
          <w:rFonts w:hint="eastAsia"/>
        </w:rPr>
        <w:t>505件，占全部偵查新收件數之比率為11.7%，至112年度件數與占比各為22萬9</w:t>
      </w:r>
      <w:r>
        <w:t>,</w:t>
      </w:r>
      <w:r>
        <w:rPr>
          <w:rFonts w:hint="eastAsia"/>
        </w:rPr>
        <w:t>711件及31.3%，顯見電信網路詐欺案件</w:t>
      </w:r>
      <w:r w:rsidRPr="004A19DE">
        <w:rPr>
          <w:rFonts w:hint="eastAsia"/>
        </w:rPr>
        <w:t>大幅成長，對於</w:t>
      </w:r>
      <w:r>
        <w:rPr>
          <w:rFonts w:hint="eastAsia"/>
        </w:rPr>
        <w:t>面臨人力不足且</w:t>
      </w:r>
      <w:r w:rsidRPr="004A19DE">
        <w:rPr>
          <w:rFonts w:hint="eastAsia"/>
        </w:rPr>
        <w:t>已捉襟見肘之</w:t>
      </w:r>
      <w:r w:rsidRPr="004A19DE">
        <w:t>基層</w:t>
      </w:r>
      <w:r w:rsidRPr="004A19DE">
        <w:rPr>
          <w:rFonts w:hint="eastAsia"/>
        </w:rPr>
        <w:t>檢察人力，負擔更</w:t>
      </w:r>
      <w:r>
        <w:rPr>
          <w:rFonts w:hint="eastAsia"/>
        </w:rPr>
        <w:t>為之</w:t>
      </w:r>
      <w:r w:rsidRPr="004A19DE">
        <w:rPr>
          <w:rFonts w:hint="eastAsia"/>
        </w:rPr>
        <w:t>加重。</w:t>
      </w:r>
    </w:p>
    <w:p w:rsidR="00CE2AA0" w:rsidRPr="004A19DE" w:rsidRDefault="00CE2AA0" w:rsidP="00640605">
      <w:pPr>
        <w:ind w:leftChars="0" w:left="0" w:firstLineChars="0" w:firstLine="0"/>
      </w:pPr>
      <w:r w:rsidRPr="00C23F81">
        <w:rPr>
          <w:rFonts w:hint="eastAsia"/>
          <w:b/>
          <w:bCs/>
        </w:rPr>
        <w:t>表3  10</w:t>
      </w:r>
      <w:r w:rsidRPr="00C23F81">
        <w:rPr>
          <w:b/>
          <w:bCs/>
        </w:rPr>
        <w:t>8</w:t>
      </w:r>
      <w:r w:rsidRPr="00C23F81">
        <w:rPr>
          <w:rFonts w:hint="eastAsia"/>
          <w:b/>
          <w:bCs/>
        </w:rPr>
        <w:t>至1</w:t>
      </w:r>
      <w:r w:rsidRPr="00C23F81">
        <w:rPr>
          <w:b/>
          <w:bCs/>
        </w:rPr>
        <w:t>12</w:t>
      </w:r>
      <w:r w:rsidRPr="00C23F81">
        <w:rPr>
          <w:rFonts w:hint="eastAsia"/>
          <w:b/>
          <w:bCs/>
        </w:rPr>
        <w:t>年度地方檢察署偵查案件收結概況表</w:t>
      </w:r>
      <w:r>
        <w:t xml:space="preserve"> </w:t>
      </w:r>
      <w:r>
        <w:rPr>
          <w:rFonts w:hint="eastAsia"/>
        </w:rPr>
        <w:t xml:space="preserve">  </w:t>
      </w:r>
      <w:r w:rsidRPr="006420AE">
        <w:rPr>
          <w:rFonts w:hint="eastAsia"/>
          <w:sz w:val="24"/>
        </w:rPr>
        <w:t>單位：件；日</w:t>
      </w:r>
    </w:p>
    <w:tbl>
      <w:tblPr>
        <w:tblW w:w="8447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1417"/>
        <w:gridCol w:w="1417"/>
        <w:gridCol w:w="1417"/>
        <w:gridCol w:w="1531"/>
        <w:gridCol w:w="1928"/>
      </w:tblGrid>
      <w:tr w:rsidR="00CE2AA0" w:rsidRPr="00C23F81" w:rsidTr="00640605">
        <w:tc>
          <w:tcPr>
            <w:tcW w:w="737" w:type="dxa"/>
            <w:shd w:val="clear" w:color="auto" w:fill="auto"/>
            <w:vAlign w:val="center"/>
          </w:tcPr>
          <w:p w:rsidR="00CE2AA0" w:rsidRPr="00C23F81" w:rsidRDefault="00CE2AA0" w:rsidP="00640605">
            <w:pPr>
              <w:pStyle w:val="142"/>
              <w:jc w:val="center"/>
            </w:pPr>
            <w:r w:rsidRPr="00C23F81">
              <w:rPr>
                <w:rFonts w:hint="eastAsia"/>
              </w:rPr>
              <w:t>年度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AA0" w:rsidRPr="00C23F81" w:rsidRDefault="00CE2AA0" w:rsidP="00640605">
            <w:pPr>
              <w:pStyle w:val="142"/>
              <w:jc w:val="center"/>
            </w:pPr>
            <w:r w:rsidRPr="00C23F81">
              <w:rPr>
                <w:rFonts w:hint="eastAsia"/>
              </w:rPr>
              <w:t>新收件數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AA0" w:rsidRPr="00C23F81" w:rsidRDefault="00CE2AA0" w:rsidP="00640605">
            <w:pPr>
              <w:pStyle w:val="142"/>
              <w:jc w:val="center"/>
            </w:pPr>
            <w:r w:rsidRPr="00C23F81">
              <w:rPr>
                <w:rFonts w:hint="eastAsia"/>
              </w:rPr>
              <w:t>終結件數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2AA0" w:rsidRPr="00C23F81" w:rsidRDefault="00CE2AA0" w:rsidP="00640605">
            <w:pPr>
              <w:pStyle w:val="142"/>
              <w:jc w:val="center"/>
            </w:pPr>
            <w:r w:rsidRPr="00C23F81">
              <w:rPr>
                <w:rFonts w:hint="eastAsia"/>
              </w:rPr>
              <w:t>未結件數</w:t>
            </w:r>
          </w:p>
        </w:tc>
        <w:tc>
          <w:tcPr>
            <w:tcW w:w="153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CE2AA0" w:rsidRPr="00C23F81" w:rsidRDefault="00CE2AA0" w:rsidP="00640605">
            <w:pPr>
              <w:pStyle w:val="142"/>
              <w:jc w:val="center"/>
            </w:pPr>
            <w:r w:rsidRPr="00C23F81">
              <w:rPr>
                <w:rFonts w:hint="eastAsia"/>
              </w:rPr>
              <w:t>偵查終結案件平均每件</w:t>
            </w:r>
            <w:r w:rsidRPr="00C23F81">
              <w:br/>
            </w:r>
            <w:r w:rsidRPr="00C23F81">
              <w:rPr>
                <w:rFonts w:hint="eastAsia"/>
              </w:rPr>
              <w:t>所需日數</w:t>
            </w:r>
          </w:p>
        </w:tc>
        <w:tc>
          <w:tcPr>
            <w:tcW w:w="1928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E2AA0" w:rsidRPr="00C23F81" w:rsidRDefault="00CE2AA0" w:rsidP="00640605">
            <w:pPr>
              <w:pStyle w:val="142"/>
              <w:jc w:val="center"/>
            </w:pPr>
            <w:r w:rsidRPr="00C23F81">
              <w:t>平均每一檢察官每月辦結案件</w:t>
            </w:r>
            <w:r w:rsidRPr="00C23F81">
              <w:br/>
              <w:t>折計件數</w:t>
            </w:r>
          </w:p>
        </w:tc>
      </w:tr>
      <w:tr w:rsidR="00CE2AA0" w:rsidRPr="00C23F81" w:rsidTr="00640605">
        <w:tc>
          <w:tcPr>
            <w:tcW w:w="737" w:type="dxa"/>
            <w:shd w:val="clear" w:color="auto" w:fill="auto"/>
            <w:vAlign w:val="center"/>
          </w:tcPr>
          <w:p w:rsidR="00CE2AA0" w:rsidRPr="00C23F81" w:rsidRDefault="00CE2AA0" w:rsidP="00640605">
            <w:pPr>
              <w:pStyle w:val="142"/>
              <w:jc w:val="center"/>
            </w:pPr>
            <w:r w:rsidRPr="00C23F81">
              <w:rPr>
                <w:rFonts w:hint="eastAsia"/>
              </w:rPr>
              <w:t>1</w:t>
            </w:r>
            <w:r w:rsidRPr="00C23F81">
              <w:t>08</w:t>
            </w:r>
          </w:p>
        </w:tc>
        <w:tc>
          <w:tcPr>
            <w:tcW w:w="1417" w:type="dxa"/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4</w:t>
            </w:r>
            <w:r w:rsidRPr="00C23F81">
              <w:t>70,896</w:t>
            </w:r>
          </w:p>
        </w:tc>
        <w:tc>
          <w:tcPr>
            <w:tcW w:w="1417" w:type="dxa"/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4</w:t>
            </w:r>
            <w:r w:rsidRPr="00C23F81">
              <w:t>74,108</w:t>
            </w:r>
          </w:p>
        </w:tc>
        <w:tc>
          <w:tcPr>
            <w:tcW w:w="1417" w:type="dxa"/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6</w:t>
            </w:r>
            <w:r w:rsidRPr="00C23F81">
              <w:t>3,784</w:t>
            </w:r>
          </w:p>
        </w:tc>
        <w:tc>
          <w:tcPr>
            <w:tcW w:w="1531" w:type="dxa"/>
            <w:tcBorders>
              <w:right w:val="double" w:sz="4" w:space="0" w:color="auto"/>
            </w:tcBorders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5</w:t>
            </w:r>
            <w:r w:rsidRPr="00C23F81">
              <w:t>4.95</w:t>
            </w:r>
          </w:p>
        </w:tc>
        <w:tc>
          <w:tcPr>
            <w:tcW w:w="19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116.11</w:t>
            </w:r>
          </w:p>
        </w:tc>
      </w:tr>
      <w:tr w:rsidR="00CE2AA0" w:rsidRPr="00C23F81" w:rsidTr="00640605">
        <w:tc>
          <w:tcPr>
            <w:tcW w:w="737" w:type="dxa"/>
            <w:shd w:val="clear" w:color="auto" w:fill="auto"/>
            <w:vAlign w:val="center"/>
          </w:tcPr>
          <w:p w:rsidR="00CE2AA0" w:rsidRPr="00C23F81" w:rsidRDefault="00CE2AA0" w:rsidP="00640605">
            <w:pPr>
              <w:pStyle w:val="142"/>
              <w:jc w:val="center"/>
            </w:pPr>
            <w:r w:rsidRPr="00C23F81">
              <w:rPr>
                <w:rFonts w:hint="eastAsia"/>
              </w:rPr>
              <w:t>1</w:t>
            </w:r>
            <w:r w:rsidRPr="00C23F81">
              <w:t>09</w:t>
            </w:r>
          </w:p>
        </w:tc>
        <w:tc>
          <w:tcPr>
            <w:tcW w:w="1417" w:type="dxa"/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4</w:t>
            </w:r>
            <w:r w:rsidRPr="00C23F81">
              <w:t>99,607</w:t>
            </w:r>
          </w:p>
        </w:tc>
        <w:tc>
          <w:tcPr>
            <w:tcW w:w="1417" w:type="dxa"/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4</w:t>
            </w:r>
            <w:r w:rsidRPr="00C23F81">
              <w:t>84,565</w:t>
            </w:r>
          </w:p>
        </w:tc>
        <w:tc>
          <w:tcPr>
            <w:tcW w:w="1417" w:type="dxa"/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7</w:t>
            </w:r>
            <w:r w:rsidRPr="00C23F81">
              <w:t>8,942</w:t>
            </w:r>
          </w:p>
        </w:tc>
        <w:tc>
          <w:tcPr>
            <w:tcW w:w="1531" w:type="dxa"/>
            <w:tcBorders>
              <w:right w:val="double" w:sz="4" w:space="0" w:color="auto"/>
            </w:tcBorders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5</w:t>
            </w:r>
            <w:r w:rsidRPr="00C23F81">
              <w:t>3.49</w:t>
            </w:r>
          </w:p>
        </w:tc>
        <w:tc>
          <w:tcPr>
            <w:tcW w:w="19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113.20</w:t>
            </w:r>
          </w:p>
        </w:tc>
      </w:tr>
      <w:tr w:rsidR="00CE2AA0" w:rsidRPr="00C23F81" w:rsidTr="00640605">
        <w:tc>
          <w:tcPr>
            <w:tcW w:w="737" w:type="dxa"/>
            <w:shd w:val="clear" w:color="auto" w:fill="auto"/>
            <w:vAlign w:val="center"/>
          </w:tcPr>
          <w:p w:rsidR="00CE2AA0" w:rsidRPr="00C23F81" w:rsidRDefault="00CE2AA0" w:rsidP="00640605">
            <w:pPr>
              <w:pStyle w:val="142"/>
              <w:jc w:val="center"/>
            </w:pPr>
            <w:r w:rsidRPr="00C23F81">
              <w:rPr>
                <w:rFonts w:hint="eastAsia"/>
              </w:rPr>
              <w:t>1</w:t>
            </w:r>
            <w:r w:rsidRPr="00C23F81">
              <w:t>10</w:t>
            </w:r>
          </w:p>
        </w:tc>
        <w:tc>
          <w:tcPr>
            <w:tcW w:w="1417" w:type="dxa"/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5</w:t>
            </w:r>
            <w:r w:rsidRPr="00C23F81">
              <w:t>33,569</w:t>
            </w:r>
          </w:p>
        </w:tc>
        <w:tc>
          <w:tcPr>
            <w:tcW w:w="1417" w:type="dxa"/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5</w:t>
            </w:r>
            <w:r w:rsidRPr="00C23F81">
              <w:t>05,716</w:t>
            </w:r>
          </w:p>
        </w:tc>
        <w:tc>
          <w:tcPr>
            <w:tcW w:w="1417" w:type="dxa"/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1</w:t>
            </w:r>
            <w:r w:rsidRPr="00C23F81">
              <w:t>06,963</w:t>
            </w:r>
          </w:p>
        </w:tc>
        <w:tc>
          <w:tcPr>
            <w:tcW w:w="1531" w:type="dxa"/>
            <w:tcBorders>
              <w:right w:val="double" w:sz="4" w:space="0" w:color="auto"/>
            </w:tcBorders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6</w:t>
            </w:r>
            <w:r w:rsidRPr="00C23F81">
              <w:t>3.95</w:t>
            </w:r>
          </w:p>
        </w:tc>
        <w:tc>
          <w:tcPr>
            <w:tcW w:w="19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106.52</w:t>
            </w:r>
          </w:p>
        </w:tc>
      </w:tr>
      <w:tr w:rsidR="00CE2AA0" w:rsidRPr="00C23F81" w:rsidTr="00640605">
        <w:tc>
          <w:tcPr>
            <w:tcW w:w="737" w:type="dxa"/>
            <w:shd w:val="clear" w:color="auto" w:fill="auto"/>
            <w:vAlign w:val="center"/>
          </w:tcPr>
          <w:p w:rsidR="00CE2AA0" w:rsidRPr="00C23F81" w:rsidRDefault="00CE2AA0" w:rsidP="00640605">
            <w:pPr>
              <w:pStyle w:val="142"/>
              <w:jc w:val="center"/>
            </w:pPr>
            <w:r w:rsidRPr="00C23F81">
              <w:rPr>
                <w:rFonts w:hint="eastAsia"/>
              </w:rPr>
              <w:t>1</w:t>
            </w:r>
            <w:r w:rsidRPr="00C23F81">
              <w:t>11</w:t>
            </w:r>
          </w:p>
        </w:tc>
        <w:tc>
          <w:tcPr>
            <w:tcW w:w="1417" w:type="dxa"/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6</w:t>
            </w:r>
            <w:r w:rsidRPr="00C23F81">
              <w:t>39,301</w:t>
            </w:r>
          </w:p>
        </w:tc>
        <w:tc>
          <w:tcPr>
            <w:tcW w:w="1417" w:type="dxa"/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6</w:t>
            </w:r>
            <w:r w:rsidRPr="00C23F81">
              <w:t>36,468</w:t>
            </w:r>
          </w:p>
        </w:tc>
        <w:tc>
          <w:tcPr>
            <w:tcW w:w="1417" w:type="dxa"/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1</w:t>
            </w:r>
            <w:r w:rsidRPr="00C23F81">
              <w:t>10,002</w:t>
            </w:r>
          </w:p>
        </w:tc>
        <w:tc>
          <w:tcPr>
            <w:tcW w:w="1531" w:type="dxa"/>
            <w:tcBorders>
              <w:right w:val="double" w:sz="4" w:space="0" w:color="auto"/>
            </w:tcBorders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6</w:t>
            </w:r>
            <w:r w:rsidRPr="00C23F81">
              <w:t>1.99</w:t>
            </w:r>
          </w:p>
        </w:tc>
        <w:tc>
          <w:tcPr>
            <w:tcW w:w="19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122.66</w:t>
            </w:r>
          </w:p>
        </w:tc>
      </w:tr>
      <w:tr w:rsidR="00CE2AA0" w:rsidRPr="00C23F81" w:rsidTr="00640605">
        <w:tc>
          <w:tcPr>
            <w:tcW w:w="737" w:type="dxa"/>
            <w:shd w:val="clear" w:color="auto" w:fill="auto"/>
            <w:vAlign w:val="center"/>
          </w:tcPr>
          <w:p w:rsidR="00CE2AA0" w:rsidRPr="00C23F81" w:rsidRDefault="00CE2AA0" w:rsidP="00640605">
            <w:pPr>
              <w:pStyle w:val="142"/>
              <w:jc w:val="center"/>
            </w:pPr>
            <w:r w:rsidRPr="00C23F81">
              <w:rPr>
                <w:rFonts w:hint="eastAsia"/>
              </w:rPr>
              <w:t>1</w:t>
            </w:r>
            <w:r w:rsidRPr="00C23F81">
              <w:t>12</w:t>
            </w:r>
          </w:p>
        </w:tc>
        <w:tc>
          <w:tcPr>
            <w:tcW w:w="1417" w:type="dxa"/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733</w:t>
            </w:r>
            <w:r w:rsidRPr="00C23F81">
              <w:t>,</w:t>
            </w:r>
            <w:r w:rsidRPr="00C23F81">
              <w:rPr>
                <w:rFonts w:hint="eastAsia"/>
              </w:rPr>
              <w:t>505</w:t>
            </w:r>
          </w:p>
        </w:tc>
        <w:tc>
          <w:tcPr>
            <w:tcW w:w="1417" w:type="dxa"/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724</w:t>
            </w:r>
            <w:r w:rsidRPr="00C23F81">
              <w:t>,</w:t>
            </w:r>
            <w:r w:rsidRPr="00C23F81">
              <w:rPr>
                <w:rFonts w:hint="eastAsia"/>
              </w:rPr>
              <w:t>245</w:t>
            </w:r>
          </w:p>
        </w:tc>
        <w:tc>
          <w:tcPr>
            <w:tcW w:w="1417" w:type="dxa"/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119</w:t>
            </w:r>
            <w:r w:rsidRPr="00C23F81">
              <w:t>,</w:t>
            </w:r>
            <w:r w:rsidRPr="00C23F81">
              <w:rPr>
                <w:rFonts w:hint="eastAsia"/>
              </w:rPr>
              <w:t>424</w:t>
            </w:r>
          </w:p>
        </w:tc>
        <w:tc>
          <w:tcPr>
            <w:tcW w:w="1531" w:type="dxa"/>
            <w:tcBorders>
              <w:right w:val="double" w:sz="4" w:space="0" w:color="auto"/>
            </w:tcBorders>
            <w:shd w:val="clear" w:color="auto" w:fill="auto"/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6</w:t>
            </w:r>
            <w:r w:rsidRPr="00C23F81">
              <w:t>1.</w:t>
            </w:r>
            <w:r w:rsidRPr="00C23F81">
              <w:rPr>
                <w:rFonts w:hint="eastAsia"/>
              </w:rPr>
              <w:t>54</w:t>
            </w:r>
          </w:p>
        </w:tc>
        <w:tc>
          <w:tcPr>
            <w:tcW w:w="1928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</w:tcPr>
          <w:p w:rsidR="00CE2AA0" w:rsidRPr="00C23F81" w:rsidRDefault="00CE2AA0" w:rsidP="00640605">
            <w:pPr>
              <w:pStyle w:val="142"/>
              <w:jc w:val="right"/>
            </w:pPr>
            <w:r w:rsidRPr="00C23F81">
              <w:rPr>
                <w:rFonts w:hint="eastAsia"/>
              </w:rPr>
              <w:t>130.96</w:t>
            </w:r>
          </w:p>
        </w:tc>
      </w:tr>
    </w:tbl>
    <w:p w:rsidR="00CE2AA0" w:rsidRPr="003415F1" w:rsidRDefault="00CE2AA0" w:rsidP="00640605">
      <w:pPr>
        <w:pStyle w:val="142"/>
        <w:ind w:left="567" w:hanging="567"/>
      </w:pPr>
      <w:r w:rsidRPr="006420AE">
        <w:rPr>
          <w:rFonts w:hint="eastAsia"/>
        </w:rPr>
        <w:t>資料來源：法務統計</w:t>
      </w:r>
      <w:r>
        <w:rPr>
          <w:rFonts w:hint="eastAsia"/>
        </w:rPr>
        <w:t>年</w:t>
      </w:r>
      <w:r w:rsidRPr="006420AE">
        <w:rPr>
          <w:rFonts w:hint="eastAsia"/>
        </w:rPr>
        <w:t>報及臺灣法務統計專輯。</w:t>
      </w:r>
    </w:p>
    <w:p w:rsidR="00CE2AA0" w:rsidRPr="003F52A2" w:rsidRDefault="00CE2AA0" w:rsidP="00640605">
      <w:pPr>
        <w:ind w:left="566" w:firstLine="566"/>
        <w:rPr>
          <w:b/>
        </w:rPr>
      </w:pPr>
      <w:r>
        <w:rPr>
          <w:rFonts w:hint="eastAsia"/>
        </w:rPr>
        <w:t>綜上，近年</w:t>
      </w:r>
      <w:r w:rsidRPr="004A19DE">
        <w:rPr>
          <w:rFonts w:hint="eastAsia"/>
        </w:rPr>
        <w:t>司法案件數量</w:t>
      </w:r>
      <w:r>
        <w:rPr>
          <w:rFonts w:hint="eastAsia"/>
        </w:rPr>
        <w:t>不斷增加</w:t>
      </w:r>
      <w:r w:rsidRPr="004A19DE">
        <w:rPr>
          <w:rFonts w:hint="eastAsia"/>
        </w:rPr>
        <w:t>，</w:t>
      </w:r>
      <w:r>
        <w:rPr>
          <w:rFonts w:hint="eastAsia"/>
        </w:rPr>
        <w:t>法院及檢察機關負擔逐漸加重</w:t>
      </w:r>
      <w:r w:rsidRPr="004A19DE">
        <w:rPr>
          <w:rFonts w:hint="eastAsia"/>
        </w:rPr>
        <w:t>，</w:t>
      </w:r>
      <w:r>
        <w:rPr>
          <w:rFonts w:hint="eastAsia"/>
        </w:rPr>
        <w:t>除恐影響偵查或審判品質外，亦不利於司法人員身心健</w:t>
      </w:r>
      <w:r>
        <w:rPr>
          <w:rFonts w:hint="eastAsia"/>
        </w:rPr>
        <w:lastRenderedPageBreak/>
        <w:t>康發展。雖司法院及法務部近來已著手改善相關行政措施，如書類簡化、案件分類等，並運用資訊</w:t>
      </w:r>
      <w:r w:rsidRPr="004A19DE">
        <w:rPr>
          <w:rFonts w:hint="eastAsia"/>
        </w:rPr>
        <w:t>科技</w:t>
      </w:r>
      <w:r>
        <w:rPr>
          <w:rFonts w:hint="eastAsia"/>
        </w:rPr>
        <w:t>開發輔助系統，期有助</w:t>
      </w:r>
      <w:r w:rsidRPr="004A19DE">
        <w:rPr>
          <w:rFonts w:hint="eastAsia"/>
        </w:rPr>
        <w:t>提升</w:t>
      </w:r>
      <w:r>
        <w:rPr>
          <w:rFonts w:hint="eastAsia"/>
        </w:rPr>
        <w:t>偵查</w:t>
      </w:r>
      <w:r w:rsidRPr="004A19DE">
        <w:rPr>
          <w:rFonts w:hint="eastAsia"/>
        </w:rPr>
        <w:t>效率</w:t>
      </w:r>
      <w:r>
        <w:rPr>
          <w:rFonts w:hint="eastAsia"/>
        </w:rPr>
        <w:t>及審判效能，惟如前所述，對於紓解龐雜未結案件量之效果尚屬有限。此外，近來司法院及法務部雖有增補人力之評估或計畫</w:t>
      </w:r>
      <w:r>
        <w:rPr>
          <w:rStyle w:val="af5"/>
        </w:rPr>
        <w:footnoteReference w:id="5"/>
      </w:r>
      <w:r>
        <w:rPr>
          <w:rFonts w:hint="eastAsia"/>
        </w:rPr>
        <w:t>，惟中央機關</w:t>
      </w:r>
      <w:r w:rsidRPr="004A19DE">
        <w:rPr>
          <w:rFonts w:hint="eastAsia"/>
        </w:rPr>
        <w:t>總員額法</w:t>
      </w:r>
      <w:r>
        <w:rPr>
          <w:rFonts w:hint="eastAsia"/>
        </w:rPr>
        <w:t>及司法院及所屬機關員額管理辦法均有員額控管相關</w:t>
      </w:r>
      <w:r w:rsidRPr="004A19DE">
        <w:rPr>
          <w:rFonts w:hint="eastAsia"/>
        </w:rPr>
        <w:t>規定</w:t>
      </w:r>
      <w:r>
        <w:rPr>
          <w:rFonts w:hint="eastAsia"/>
        </w:rPr>
        <w:t>，考量人力資源有限，司法院及法務部允宜持續尋求</w:t>
      </w:r>
      <w:r w:rsidRPr="004A19DE">
        <w:rPr>
          <w:rFonts w:hint="eastAsia"/>
        </w:rPr>
        <w:t>簡化</w:t>
      </w:r>
      <w:r>
        <w:rPr>
          <w:rFonts w:hint="eastAsia"/>
        </w:rPr>
        <w:t>行政</w:t>
      </w:r>
      <w:r w:rsidRPr="004A19DE">
        <w:rPr>
          <w:rFonts w:hint="eastAsia"/>
        </w:rPr>
        <w:t>流程或提升辦案效率</w:t>
      </w:r>
      <w:r>
        <w:rPr>
          <w:rFonts w:hint="eastAsia"/>
        </w:rPr>
        <w:t>之方案，並就司法官養成作通盤規劃，在兼顧預算、人力及</w:t>
      </w:r>
      <w:r w:rsidRPr="004A19DE">
        <w:rPr>
          <w:rFonts w:hint="eastAsia"/>
        </w:rPr>
        <w:t>訴訟制度之公平正義</w:t>
      </w:r>
      <w:r>
        <w:rPr>
          <w:rFonts w:hint="eastAsia"/>
        </w:rPr>
        <w:t>等目標前提下，允宜提出完整改革方案，以逐步</w:t>
      </w:r>
      <w:r w:rsidRPr="004A19DE">
        <w:rPr>
          <w:rFonts w:hint="eastAsia"/>
        </w:rPr>
        <w:t>減輕司法</w:t>
      </w:r>
      <w:r>
        <w:rPr>
          <w:rFonts w:hint="eastAsia"/>
        </w:rPr>
        <w:t>人員</w:t>
      </w:r>
      <w:r w:rsidRPr="004A19DE">
        <w:rPr>
          <w:rFonts w:hint="eastAsia"/>
        </w:rPr>
        <w:t>之工作</w:t>
      </w:r>
      <w:r>
        <w:rPr>
          <w:rFonts w:hint="eastAsia"/>
        </w:rPr>
        <w:t>負擔，俾益提升司法審判品質及效率。</w:t>
      </w:r>
    </w:p>
    <w:p w:rsidR="00CE2AA0" w:rsidRPr="009E33C3" w:rsidRDefault="00CE2AA0" w:rsidP="00640605">
      <w:pPr>
        <w:pStyle w:val="ad"/>
        <w:ind w:left="567" w:hanging="567"/>
      </w:pPr>
      <w:r w:rsidRPr="00C364DF">
        <w:rPr>
          <w:rFonts w:hint="eastAsia"/>
        </w:rPr>
        <w:t>(分機：1934 劉宜姈）</w:t>
      </w:r>
    </w:p>
    <w:sectPr w:rsidR="00CE2AA0" w:rsidRPr="009E33C3" w:rsidSect="00BD0C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BD0C62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end"/>
    </w:r>
  </w:p>
  <w:p w:rsidR="00064496" w:rsidRDefault="00064496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640605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separate"/>
    </w:r>
    <w:r w:rsidR="006E3688">
      <w:rPr>
        <w:rStyle w:val="af6"/>
        <w:noProof/>
      </w:rPr>
      <w:t>4</w:t>
    </w:r>
    <w:r>
      <w:rPr>
        <w:rStyle w:val="af6"/>
      </w:rPr>
      <w:fldChar w:fldCharType="end"/>
    </w:r>
  </w:p>
  <w:p w:rsidR="00064496" w:rsidRPr="00BD0C62" w:rsidRDefault="00064496" w:rsidP="00BD0C62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footnote>
  <w:footnote w:id="1">
    <w:p w:rsidR="00064496" w:rsidRPr="009E33C3" w:rsidRDefault="00064496" w:rsidP="00640605">
      <w:pPr>
        <w:pStyle w:val="142"/>
      </w:pPr>
      <w:r>
        <w:rPr>
          <w:rStyle w:val="af5"/>
        </w:rPr>
        <w:footnoteRef/>
      </w:r>
      <w:r w:rsidRPr="009E33C3">
        <w:rPr>
          <w:rFonts w:hint="eastAsia"/>
        </w:rPr>
        <w:t>統計範圍含民事執行事件。</w:t>
      </w:r>
    </w:p>
  </w:footnote>
  <w:footnote w:id="2">
    <w:p w:rsidR="00064496" w:rsidRPr="009E33C3" w:rsidRDefault="00064496" w:rsidP="00640605">
      <w:pPr>
        <w:pStyle w:val="142"/>
        <w:ind w:left="73" w:hangingChars="30" w:hanging="73"/>
        <w:jc w:val="both"/>
      </w:pPr>
      <w:r>
        <w:rPr>
          <w:rStyle w:val="af5"/>
        </w:rPr>
        <w:footnoteRef/>
      </w:r>
      <w:r w:rsidRPr="00225003">
        <w:rPr>
          <w:rFonts w:hint="eastAsia"/>
        </w:rPr>
        <w:t>平均每法官每月辦結件數</w:t>
      </w:r>
      <w:r>
        <w:rPr>
          <w:rFonts w:hint="eastAsia"/>
        </w:rPr>
        <w:t>係</w:t>
      </w:r>
      <w:r w:rsidRPr="00225003">
        <w:rPr>
          <w:rFonts w:hint="eastAsia"/>
        </w:rPr>
        <w:t>法官工作負荷指標，計算方式</w:t>
      </w:r>
      <w:r>
        <w:rPr>
          <w:rFonts w:hint="eastAsia"/>
        </w:rPr>
        <w:t>由</w:t>
      </w:r>
      <w:r w:rsidRPr="00225003">
        <w:rPr>
          <w:rFonts w:hint="eastAsia"/>
        </w:rPr>
        <w:t>辦案法官終結案件件數除以實際辦案法官人數而得</w:t>
      </w:r>
      <w:r>
        <w:rPr>
          <w:rFonts w:hint="eastAsia"/>
        </w:rPr>
        <w:t>。</w:t>
      </w:r>
    </w:p>
  </w:footnote>
  <w:footnote w:id="3">
    <w:p w:rsidR="00064496" w:rsidRDefault="00064496" w:rsidP="00640605">
      <w:pPr>
        <w:pStyle w:val="142"/>
        <w:ind w:left="73" w:hangingChars="30" w:hanging="73"/>
        <w:jc w:val="both"/>
      </w:pPr>
      <w:r>
        <w:rPr>
          <w:rStyle w:val="af5"/>
        </w:rPr>
        <w:footnoteRef/>
      </w:r>
      <w:r>
        <w:rPr>
          <w:rFonts w:hint="eastAsia"/>
        </w:rPr>
        <w:t>地方檢察署新收之檢察案件數以「其他案件」為最大宗，約占6成，1</w:t>
      </w:r>
      <w:r>
        <w:t>0</w:t>
      </w:r>
      <w:r>
        <w:rPr>
          <w:rFonts w:hint="eastAsia"/>
        </w:rPr>
        <w:t>8年度至1</w:t>
      </w:r>
      <w:r>
        <w:t>1</w:t>
      </w:r>
      <w:r>
        <w:rPr>
          <w:rFonts w:hint="eastAsia"/>
        </w:rPr>
        <w:t>2年度之新收件數介於1</w:t>
      </w:r>
      <w:r>
        <w:t>27</w:t>
      </w:r>
      <w:r>
        <w:rPr>
          <w:rFonts w:hint="eastAsia"/>
        </w:rPr>
        <w:t>萬餘件至1</w:t>
      </w:r>
      <w:r>
        <w:t>4</w:t>
      </w:r>
      <w:r>
        <w:rPr>
          <w:rFonts w:hint="eastAsia"/>
        </w:rPr>
        <w:t>3萬餘件之間，各年度互有增減；另「執行案件」約占12%至15%，1</w:t>
      </w:r>
      <w:r>
        <w:t>0</w:t>
      </w:r>
      <w:r>
        <w:rPr>
          <w:rFonts w:hint="eastAsia"/>
        </w:rPr>
        <w:t>8年度至1</w:t>
      </w:r>
      <w:r>
        <w:t>1</w:t>
      </w:r>
      <w:r>
        <w:rPr>
          <w:rFonts w:hint="eastAsia"/>
        </w:rPr>
        <w:t>2年度之新收件數介於27萬餘件至33萬餘件之間108年至110年呈遞減趨勢，嗣又逐年增加；偵查為檢察官主要職權，且近年案件數明顯成長，爰以「偵查案件」為分析項目，</w:t>
      </w:r>
      <w:r>
        <w:t>依刑事訴訟程序之告訴、告發、自首，司法警察或其他機關移送，檢察官知有犯罪嫌疑自動檢舉偵辦等案件均屬於偵查案件</w:t>
      </w:r>
      <w:r>
        <w:rPr>
          <w:rFonts w:hint="eastAsia"/>
        </w:rPr>
        <w:t>。</w:t>
      </w:r>
    </w:p>
  </w:footnote>
  <w:footnote w:id="4">
    <w:p w:rsidR="00064496" w:rsidRPr="009F3BB2" w:rsidRDefault="00064496" w:rsidP="00640605">
      <w:pPr>
        <w:pStyle w:val="142"/>
        <w:ind w:left="73" w:hangingChars="30" w:hanging="73"/>
        <w:jc w:val="both"/>
      </w:pPr>
      <w:r>
        <w:rPr>
          <w:rStyle w:val="af5"/>
        </w:rPr>
        <w:footnoteRef/>
      </w:r>
      <w:r>
        <w:rPr>
          <w:rFonts w:hint="eastAsia"/>
        </w:rPr>
        <w:t>參見歷年臺灣高等檢察署-</w:t>
      </w:r>
      <w:r w:rsidRPr="009F3BB2">
        <w:rPr>
          <w:rFonts w:hint="eastAsia"/>
        </w:rPr>
        <w:t>臺灣法務統計專輯</w:t>
      </w:r>
      <w:r>
        <w:rPr>
          <w:rFonts w:hint="eastAsia"/>
        </w:rPr>
        <w:t>之表2「</w:t>
      </w:r>
      <w:r>
        <w:t>臺灣各地方檢察署刑事案件收結情形</w:t>
      </w:r>
      <w:r>
        <w:rPr>
          <w:rFonts w:hint="eastAsia"/>
        </w:rPr>
        <w:t>」，</w:t>
      </w:r>
      <w:r>
        <w:t>每一檢察官每月辦結案件折計件數</w:t>
      </w:r>
      <w:r>
        <w:rPr>
          <w:rFonts w:hint="eastAsia"/>
        </w:rPr>
        <w:t>係該年度</w:t>
      </w:r>
      <w:r>
        <w:t>終結案件折計件數</w:t>
      </w:r>
      <w:r>
        <w:rPr>
          <w:rFonts w:hint="eastAsia"/>
        </w:rPr>
        <w:t>除以</w:t>
      </w:r>
      <w:r>
        <w:t>實際辦案人數</w:t>
      </w:r>
      <w:r>
        <w:rPr>
          <w:rFonts w:hint="eastAsia"/>
        </w:rPr>
        <w:t>計算而得，其中</w:t>
      </w:r>
      <w:r>
        <w:t>實際辦案人數係指辦案檢察官人數扣除差假計算</w:t>
      </w:r>
      <w:r>
        <w:rPr>
          <w:rFonts w:hint="eastAsia"/>
        </w:rPr>
        <w:t>，以「人月數」為單位。</w:t>
      </w:r>
    </w:p>
  </w:footnote>
  <w:footnote w:id="5">
    <w:p w:rsidR="00064496" w:rsidRPr="00D84B2E" w:rsidRDefault="00064496" w:rsidP="00640605">
      <w:pPr>
        <w:pStyle w:val="142"/>
        <w:ind w:left="73" w:hangingChars="30" w:hanging="73"/>
        <w:jc w:val="both"/>
      </w:pPr>
      <w:r>
        <w:rPr>
          <w:rStyle w:val="af5"/>
        </w:rPr>
        <w:footnoteRef/>
      </w:r>
      <w:r>
        <w:rPr>
          <w:rFonts w:hint="eastAsia"/>
        </w:rPr>
        <w:t>依據113年4月24日本院</w:t>
      </w:r>
      <w:r w:rsidRPr="00966AC6">
        <w:rPr>
          <w:rFonts w:hint="eastAsia"/>
        </w:rPr>
        <w:t>司法及法制委員會</w:t>
      </w:r>
      <w:r>
        <w:rPr>
          <w:rFonts w:hint="eastAsia"/>
        </w:rPr>
        <w:t>「</w:t>
      </w:r>
      <w:r w:rsidRPr="00B90334">
        <w:rPr>
          <w:rFonts w:hint="eastAsia"/>
        </w:rPr>
        <w:t>如何透過行政簡化、訴訟減量與科技運用以降低基層司法體系負擔之成效與精進期程」</w:t>
      </w:r>
      <w:r>
        <w:rPr>
          <w:rFonts w:hint="eastAsia"/>
        </w:rPr>
        <w:t>之</w:t>
      </w:r>
      <w:r w:rsidRPr="00B90334">
        <w:rPr>
          <w:rFonts w:hint="eastAsia"/>
        </w:rPr>
        <w:t>專題報告</w:t>
      </w:r>
      <w:r>
        <w:rPr>
          <w:rFonts w:hint="eastAsia"/>
        </w:rPr>
        <w:t>，司法院表示113年司法機關預算員額總數已達1萬4</w:t>
      </w:r>
      <w:r>
        <w:t>,</w:t>
      </w:r>
      <w:r>
        <w:rPr>
          <w:rFonts w:hint="eastAsia"/>
        </w:rPr>
        <w:t>508人，距離總員額法司法機關員額高限僅餘492人；經評估需增加清理未結案件及迫切需求人力計5</w:t>
      </w:r>
      <w:r>
        <w:t>,</w:t>
      </w:r>
      <w:r>
        <w:rPr>
          <w:rFonts w:hint="eastAsia"/>
        </w:rPr>
        <w:t>536人。另依據</w:t>
      </w:r>
      <w:r w:rsidRPr="00966AC6">
        <w:rPr>
          <w:rFonts w:hint="eastAsia"/>
        </w:rPr>
        <w:t>行政院</w:t>
      </w:r>
      <w:r>
        <w:rPr>
          <w:rFonts w:hint="eastAsia"/>
        </w:rPr>
        <w:t>核定之</w:t>
      </w:r>
      <w:r w:rsidRPr="00966AC6">
        <w:rPr>
          <w:rFonts w:hint="eastAsia"/>
        </w:rPr>
        <w:t>「因應司法改革中程人力補充計畫」，</w:t>
      </w:r>
      <w:r>
        <w:rPr>
          <w:rFonts w:hint="eastAsia"/>
        </w:rPr>
        <w:t>法務部自</w:t>
      </w:r>
      <w:r w:rsidRPr="00966AC6">
        <w:rPr>
          <w:rFonts w:hint="eastAsia"/>
        </w:rPr>
        <w:t>111年至114年</w:t>
      </w:r>
      <w:r>
        <w:rPr>
          <w:rFonts w:hint="eastAsia"/>
        </w:rPr>
        <w:t>，</w:t>
      </w:r>
      <w:r w:rsidRPr="00966AC6">
        <w:rPr>
          <w:rFonts w:hint="eastAsia"/>
        </w:rPr>
        <w:t>請增檢察機關員額合計600人</w:t>
      </w:r>
      <w:r>
        <w:rPr>
          <w:rFonts w:hint="eastAsia"/>
        </w:rPr>
        <w:t>；另法務部112年經行政院同意</w:t>
      </w:r>
      <w:r w:rsidRPr="00966AC6">
        <w:rPr>
          <w:rFonts w:hint="eastAsia"/>
        </w:rPr>
        <w:t>進用</w:t>
      </w:r>
      <w:r>
        <w:rPr>
          <w:rFonts w:hint="eastAsia"/>
        </w:rPr>
        <w:t>約用</w:t>
      </w:r>
      <w:r w:rsidRPr="00966AC6">
        <w:rPr>
          <w:rFonts w:hint="eastAsia"/>
        </w:rPr>
        <w:t>檢察官助理</w:t>
      </w:r>
      <w:r>
        <w:rPr>
          <w:rFonts w:hint="eastAsia"/>
        </w:rPr>
        <w:t>100人，113年行政院同意再增額150人。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Pr="00BD0C62" w:rsidRDefault="00064496" w:rsidP="00BD0C62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0F98"/>
    <w:multiLevelType w:val="hybridMultilevel"/>
    <w:tmpl w:val="4FC0EE5C"/>
    <w:lvl w:ilvl="0" w:tplc="64BCD8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6B40746"/>
    <w:multiLevelType w:val="multilevel"/>
    <w:tmpl w:val="41942B24"/>
    <w:lvl w:ilvl="0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AEA7E64"/>
    <w:multiLevelType w:val="hybridMultilevel"/>
    <w:tmpl w:val="377295F2"/>
    <w:lvl w:ilvl="0" w:tplc="EEE68D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1B4027"/>
    <w:multiLevelType w:val="hybridMultilevel"/>
    <w:tmpl w:val="35F8C8CE"/>
    <w:lvl w:ilvl="0" w:tplc="EDD6F310">
      <w:start w:val="8"/>
      <w:numFmt w:val="bullet"/>
      <w:lvlText w:val="※"/>
      <w:lvlJc w:val="left"/>
      <w:pPr>
        <w:tabs>
          <w:tab w:val="num" w:pos="1156"/>
        </w:tabs>
        <w:ind w:left="115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6"/>
        </w:tabs>
        <w:ind w:left="17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6"/>
        </w:tabs>
        <w:ind w:left="22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6"/>
        </w:tabs>
        <w:ind w:left="27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6"/>
        </w:tabs>
        <w:ind w:left="31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6"/>
        </w:tabs>
        <w:ind w:left="36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6"/>
        </w:tabs>
        <w:ind w:left="41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6"/>
        </w:tabs>
        <w:ind w:left="46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6"/>
        </w:tabs>
        <w:ind w:left="5116" w:hanging="480"/>
      </w:pPr>
      <w:rPr>
        <w:rFonts w:ascii="Wingdings" w:hAnsi="Wingdings" w:hint="default"/>
      </w:rPr>
    </w:lvl>
  </w:abstractNum>
  <w:abstractNum w:abstractNumId="5" w15:restartNumberingAfterBreak="0">
    <w:nsid w:val="2DAC4918"/>
    <w:multiLevelType w:val="hybridMultilevel"/>
    <w:tmpl w:val="88965082"/>
    <w:lvl w:ilvl="0" w:tplc="36AA6A7C">
      <w:start w:val="1"/>
      <w:numFmt w:val="decimal"/>
      <w:lvlText w:val="※"/>
      <w:lvlJc w:val="left"/>
      <w:pPr>
        <w:tabs>
          <w:tab w:val="num" w:pos="360"/>
        </w:tabs>
        <w:ind w:left="360" w:hanging="360"/>
      </w:pPr>
      <w:rPr>
        <w:rFonts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0D34C6A"/>
    <w:multiLevelType w:val="hybridMultilevel"/>
    <w:tmpl w:val="3822D1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3706BD"/>
    <w:multiLevelType w:val="hybridMultilevel"/>
    <w:tmpl w:val="2D16F180"/>
    <w:lvl w:ilvl="0" w:tplc="95627476">
      <w:start w:val="3"/>
      <w:numFmt w:val="bullet"/>
      <w:lvlText w:val="※"/>
      <w:lvlJc w:val="left"/>
      <w:pPr>
        <w:tabs>
          <w:tab w:val="num" w:pos="887"/>
        </w:tabs>
        <w:ind w:left="887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7"/>
        </w:tabs>
        <w:ind w:left="148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7"/>
        </w:tabs>
        <w:ind w:left="196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7"/>
        </w:tabs>
        <w:ind w:left="244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7"/>
        </w:tabs>
        <w:ind w:left="292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7"/>
        </w:tabs>
        <w:ind w:left="340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7"/>
        </w:tabs>
        <w:ind w:left="388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7"/>
        </w:tabs>
        <w:ind w:left="436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7"/>
        </w:tabs>
        <w:ind w:left="4847" w:hanging="480"/>
      </w:pPr>
      <w:rPr>
        <w:rFonts w:ascii="Wingdings" w:hAnsi="Wingdings" w:hint="default"/>
      </w:rPr>
    </w:lvl>
  </w:abstractNum>
  <w:abstractNum w:abstractNumId="8" w15:restartNumberingAfterBreak="0">
    <w:nsid w:val="421F5342"/>
    <w:multiLevelType w:val="hybridMultilevel"/>
    <w:tmpl w:val="143CA87A"/>
    <w:lvl w:ilvl="0" w:tplc="4144221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6283F89"/>
    <w:multiLevelType w:val="hybridMultilevel"/>
    <w:tmpl w:val="3DF690B0"/>
    <w:lvl w:ilvl="0" w:tplc="C43CA96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0" w15:restartNumberingAfterBreak="0">
    <w:nsid w:val="53220C0C"/>
    <w:multiLevelType w:val="hybridMultilevel"/>
    <w:tmpl w:val="B306920C"/>
    <w:lvl w:ilvl="0" w:tplc="04090015">
      <w:start w:val="1"/>
      <w:numFmt w:val="taiwaneseCountingThousand"/>
      <w:lvlText w:val="%1、"/>
      <w:lvlJc w:val="left"/>
      <w:pPr>
        <w:ind w:left="53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CF3A32"/>
    <w:multiLevelType w:val="hybridMultilevel"/>
    <w:tmpl w:val="41942B24"/>
    <w:lvl w:ilvl="0" w:tplc="8D6AC31A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12" w15:restartNumberingAfterBreak="0">
    <w:nsid w:val="639A5712"/>
    <w:multiLevelType w:val="hybridMultilevel"/>
    <w:tmpl w:val="0DA4AEAE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6E104F3"/>
    <w:multiLevelType w:val="hybridMultilevel"/>
    <w:tmpl w:val="F6C22B70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7F4D20"/>
    <w:multiLevelType w:val="hybridMultilevel"/>
    <w:tmpl w:val="2A927E38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E835633"/>
    <w:multiLevelType w:val="hybridMultilevel"/>
    <w:tmpl w:val="731C7C9A"/>
    <w:lvl w:ilvl="0" w:tplc="91BC597C">
      <w:start w:val="1"/>
      <w:numFmt w:val="decimal"/>
      <w:lvlText w:val="第%1項、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E981ECB"/>
    <w:multiLevelType w:val="hybridMultilevel"/>
    <w:tmpl w:val="342A7CB8"/>
    <w:lvl w:ilvl="0" w:tplc="8766DBFE">
      <w:start w:val="17"/>
      <w:numFmt w:val="bullet"/>
      <w:lvlText w:val="※"/>
      <w:lvlJc w:val="left"/>
      <w:pPr>
        <w:tabs>
          <w:tab w:val="num" w:pos="346"/>
        </w:tabs>
        <w:ind w:left="34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46"/>
        </w:tabs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26"/>
        </w:tabs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6"/>
        </w:tabs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86"/>
        </w:tabs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66"/>
        </w:tabs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6"/>
        </w:tabs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26"/>
        </w:tabs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06"/>
        </w:tabs>
        <w:ind w:left="4306" w:hanging="480"/>
      </w:pPr>
      <w:rPr>
        <w:rFonts w:ascii="Wingdings" w:hAnsi="Wingdings" w:hint="default"/>
      </w:rPr>
    </w:lvl>
  </w:abstractNum>
  <w:abstractNum w:abstractNumId="17" w15:restartNumberingAfterBreak="0">
    <w:nsid w:val="6FC7669A"/>
    <w:multiLevelType w:val="hybridMultilevel"/>
    <w:tmpl w:val="5588B3E4"/>
    <w:lvl w:ilvl="0" w:tplc="5A642DB2">
      <w:start w:val="39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29935AD"/>
    <w:multiLevelType w:val="hybridMultilevel"/>
    <w:tmpl w:val="67409E98"/>
    <w:lvl w:ilvl="0" w:tplc="8C4CB3CE">
      <w:start w:val="1"/>
      <w:numFmt w:val="bullet"/>
      <w:lvlText w:val="※"/>
      <w:lvlJc w:val="left"/>
      <w:pPr>
        <w:tabs>
          <w:tab w:val="num" w:pos="1157"/>
        </w:tabs>
        <w:ind w:left="115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7"/>
        </w:tabs>
        <w:ind w:left="175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7"/>
        </w:tabs>
        <w:ind w:left="22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7"/>
        </w:tabs>
        <w:ind w:left="27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7"/>
        </w:tabs>
        <w:ind w:left="31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7"/>
        </w:tabs>
        <w:ind w:left="36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7"/>
        </w:tabs>
        <w:ind w:left="41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7"/>
        </w:tabs>
        <w:ind w:left="46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7"/>
        </w:tabs>
        <w:ind w:left="5117" w:hanging="480"/>
      </w:pPr>
      <w:rPr>
        <w:rFonts w:ascii="Wingdings" w:hAnsi="Wingdings" w:hint="default"/>
      </w:rPr>
    </w:lvl>
  </w:abstractNum>
  <w:abstractNum w:abstractNumId="19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1034E0"/>
    <w:multiLevelType w:val="hybridMultilevel"/>
    <w:tmpl w:val="B2EC7E66"/>
    <w:lvl w:ilvl="0" w:tplc="4C5262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E3F7DE7"/>
    <w:multiLevelType w:val="hybridMultilevel"/>
    <w:tmpl w:val="23DAA5F6"/>
    <w:lvl w:ilvl="0" w:tplc="1D3E19E8">
      <w:start w:val="2"/>
      <w:numFmt w:val="bullet"/>
      <w:lvlText w:val="※"/>
      <w:lvlJc w:val="left"/>
      <w:pPr>
        <w:tabs>
          <w:tab w:val="num" w:pos="-45"/>
        </w:tabs>
        <w:ind w:left="-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5"/>
        </w:tabs>
        <w:ind w:left="5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5"/>
        </w:tabs>
        <w:ind w:left="10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5"/>
        </w:tabs>
        <w:ind w:left="15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5"/>
        </w:tabs>
        <w:ind w:left="19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5"/>
        </w:tabs>
        <w:ind w:left="24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5"/>
        </w:tabs>
        <w:ind w:left="29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5"/>
        </w:tabs>
        <w:ind w:left="34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5"/>
        </w:tabs>
        <w:ind w:left="3915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4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5"/>
  </w:num>
  <w:num w:numId="12">
    <w:abstractNumId w:val="15"/>
  </w:num>
  <w:num w:numId="13">
    <w:abstractNumId w:val="0"/>
  </w:num>
  <w:num w:numId="14">
    <w:abstractNumId w:val="7"/>
  </w:num>
  <w:num w:numId="15">
    <w:abstractNumId w:val="8"/>
  </w:num>
  <w:num w:numId="16">
    <w:abstractNumId w:val="18"/>
  </w:num>
  <w:num w:numId="17">
    <w:abstractNumId w:val="20"/>
  </w:num>
  <w:num w:numId="18">
    <w:abstractNumId w:val="21"/>
  </w:num>
  <w:num w:numId="19">
    <w:abstractNumId w:val="16"/>
  </w:num>
  <w:num w:numId="20">
    <w:abstractNumId w:val="17"/>
  </w:num>
  <w:num w:numId="21">
    <w:abstractNumId w:val="1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55EFE"/>
    <w:rsid w:val="00056C2E"/>
    <w:rsid w:val="00064496"/>
    <w:rsid w:val="0006643B"/>
    <w:rsid w:val="00077E49"/>
    <w:rsid w:val="000A5DE5"/>
    <w:rsid w:val="000A78D4"/>
    <w:rsid w:val="000F0ED9"/>
    <w:rsid w:val="000F2C01"/>
    <w:rsid w:val="000F37FD"/>
    <w:rsid w:val="000F5283"/>
    <w:rsid w:val="00103618"/>
    <w:rsid w:val="00103E99"/>
    <w:rsid w:val="00134ED3"/>
    <w:rsid w:val="001435D4"/>
    <w:rsid w:val="00163CB3"/>
    <w:rsid w:val="0017126B"/>
    <w:rsid w:val="00183AD9"/>
    <w:rsid w:val="001B7074"/>
    <w:rsid w:val="001C0DD8"/>
    <w:rsid w:val="001D1032"/>
    <w:rsid w:val="002A790E"/>
    <w:rsid w:val="002C710B"/>
    <w:rsid w:val="002C7F69"/>
    <w:rsid w:val="002D3C26"/>
    <w:rsid w:val="00337B4D"/>
    <w:rsid w:val="003A0EBA"/>
    <w:rsid w:val="003A5E28"/>
    <w:rsid w:val="003B7E04"/>
    <w:rsid w:val="004017FA"/>
    <w:rsid w:val="00440ABE"/>
    <w:rsid w:val="004D0E24"/>
    <w:rsid w:val="005042BD"/>
    <w:rsid w:val="00522048"/>
    <w:rsid w:val="0057494E"/>
    <w:rsid w:val="005C739A"/>
    <w:rsid w:val="006352E4"/>
    <w:rsid w:val="00635332"/>
    <w:rsid w:val="00640605"/>
    <w:rsid w:val="00686F58"/>
    <w:rsid w:val="006E3688"/>
    <w:rsid w:val="007B7912"/>
    <w:rsid w:val="007E4CE9"/>
    <w:rsid w:val="008A3B7F"/>
    <w:rsid w:val="008F3BB8"/>
    <w:rsid w:val="009155E3"/>
    <w:rsid w:val="0093328C"/>
    <w:rsid w:val="0094743A"/>
    <w:rsid w:val="009C53C7"/>
    <w:rsid w:val="00A05192"/>
    <w:rsid w:val="00A06650"/>
    <w:rsid w:val="00A11205"/>
    <w:rsid w:val="00A15BFA"/>
    <w:rsid w:val="00A37D56"/>
    <w:rsid w:val="00A562A5"/>
    <w:rsid w:val="00A6527B"/>
    <w:rsid w:val="00AE7777"/>
    <w:rsid w:val="00B55401"/>
    <w:rsid w:val="00B650FC"/>
    <w:rsid w:val="00B67FAE"/>
    <w:rsid w:val="00B714E5"/>
    <w:rsid w:val="00B860F4"/>
    <w:rsid w:val="00B922F0"/>
    <w:rsid w:val="00B95916"/>
    <w:rsid w:val="00BA55F7"/>
    <w:rsid w:val="00BC5C71"/>
    <w:rsid w:val="00BD0C62"/>
    <w:rsid w:val="00BD4DE6"/>
    <w:rsid w:val="00C22934"/>
    <w:rsid w:val="00C41056"/>
    <w:rsid w:val="00C60665"/>
    <w:rsid w:val="00C629AF"/>
    <w:rsid w:val="00C708DE"/>
    <w:rsid w:val="00CE2AA0"/>
    <w:rsid w:val="00D64C7A"/>
    <w:rsid w:val="00DA2304"/>
    <w:rsid w:val="00DB57BC"/>
    <w:rsid w:val="00DC72FE"/>
    <w:rsid w:val="00E02B58"/>
    <w:rsid w:val="00E63CB9"/>
    <w:rsid w:val="00E75A6A"/>
    <w:rsid w:val="00EE64FD"/>
    <w:rsid w:val="00F24E82"/>
    <w:rsid w:val="00F312F0"/>
    <w:rsid w:val="00F42A94"/>
    <w:rsid w:val="00F64D1A"/>
    <w:rsid w:val="00F82E80"/>
    <w:rsid w:val="00FE2040"/>
    <w:rsid w:val="00FF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chartTrackingRefBased/>
  <w15:docId w15:val="{AE3FF9AD-BB60-41DF-81DE-63DCD00D6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8A3B7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8A3B7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A3B7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a9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link w:val="af0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"/>
    <w:link w:val="af2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left="0" w:hangingChars="200" w:hanging="200"/>
    </w:p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link w:val="af1"/>
    <w:uiPriority w:val="99"/>
    <w:rsid w:val="00C41056"/>
    <w:rPr>
      <w:rFonts w:ascii="標楷體" w:eastAsia="標楷體"/>
      <w:snapToGrid w:val="0"/>
      <w:kern w:val="2"/>
    </w:rPr>
  </w:style>
  <w:style w:type="paragraph" w:styleId="af3">
    <w:name w:val="footer"/>
    <w:basedOn w:val="a"/>
    <w:link w:val="af4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41056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BC5C71"/>
    <w:rPr>
      <w:vertAlign w:val="superscript"/>
    </w:rPr>
  </w:style>
  <w:style w:type="character" w:customStyle="1" w:styleId="11">
    <w:name w:val="(一)(二)(三) 字元1"/>
    <w:link w:val="a5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BC5C71"/>
    <w:rPr>
      <w:rFonts w:ascii="標楷體" w:eastAsia="標楷體"/>
      <w:snapToGrid w:val="0"/>
      <w:kern w:val="2"/>
      <w:sz w:val="24"/>
      <w:szCs w:val="28"/>
    </w:rPr>
  </w:style>
  <w:style w:type="character" w:customStyle="1" w:styleId="af0">
    <w:name w:val="前言(一)(二)(三) 字元"/>
    <w:link w:val="af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BC5C71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styleId="af6">
    <w:name w:val="page number"/>
    <w:basedOn w:val="a0"/>
    <w:rsid w:val="00BC5C71"/>
  </w:style>
  <w:style w:type="paragraph" w:styleId="af7">
    <w:name w:val="footnote text"/>
    <w:basedOn w:val="a"/>
    <w:link w:val="af8"/>
    <w:uiPriority w:val="99"/>
    <w:qFormat/>
    <w:rsid w:val="00BC5C71"/>
    <w:pPr>
      <w:snapToGrid w:val="0"/>
      <w:spacing w:line="240" w:lineRule="auto"/>
      <w:ind w:leftChars="0" w:left="0" w:firstLineChars="0" w:firstLine="0"/>
    </w:pPr>
    <w:rPr>
      <w:bCs/>
      <w:noProof/>
      <w:snapToGrid/>
      <w:kern w:val="0"/>
      <w:sz w:val="20"/>
    </w:rPr>
  </w:style>
  <w:style w:type="character" w:customStyle="1" w:styleId="af8">
    <w:name w:val="註腳文字 字元"/>
    <w:link w:val="af7"/>
    <w:uiPriority w:val="99"/>
    <w:rsid w:val="00BC5C71"/>
    <w:rPr>
      <w:rFonts w:ascii="標楷體" w:eastAsia="標楷體"/>
      <w:bCs/>
      <w:noProof/>
      <w:szCs w:val="28"/>
    </w:rPr>
  </w:style>
  <w:style w:type="paragraph" w:customStyle="1" w:styleId="Default">
    <w:name w:val="Default"/>
    <w:rsid w:val="00BC5C71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1230">
    <w:name w:val="1.2.3. 字元"/>
    <w:link w:val="123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姓名及分機 字元"/>
    <w:link w:val="ad"/>
    <w:rsid w:val="00BC5C71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註腳"/>
    <w:basedOn w:val="af7"/>
    <w:qFormat/>
    <w:rsid w:val="00CE2AA0"/>
    <w:pPr>
      <w:spacing w:line="260" w:lineRule="exact"/>
      <w:ind w:left="194" w:hangingChars="87" w:hanging="194"/>
    </w:pPr>
    <w:rPr>
      <w:sz w:val="24"/>
      <w:szCs w:val="22"/>
    </w:rPr>
  </w:style>
  <w:style w:type="character" w:customStyle="1" w:styleId="145">
    <w:name w:val="第二層(14號字) 字元"/>
    <w:rsid w:val="00CE2AA0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6">
    <w:name w:val="註腳(表格內文14行高左右齊)"/>
    <w:basedOn w:val="142"/>
    <w:qFormat/>
    <w:rsid w:val="00CE2AA0"/>
    <w:pPr>
      <w:wordWrap w:val="0"/>
      <w:ind w:leftChars="-15" w:left="153" w:hangingChars="80" w:hanging="195"/>
      <w:jc w:val="both"/>
    </w:pPr>
  </w:style>
  <w:style w:type="character" w:styleId="afa">
    <w:name w:val="Emphasis"/>
    <w:uiPriority w:val="20"/>
    <w:qFormat/>
    <w:rsid w:val="00CE2AA0"/>
    <w:rPr>
      <w:i/>
      <w:iCs/>
    </w:rPr>
  </w:style>
  <w:style w:type="paragraph" w:styleId="afb">
    <w:name w:val="Balloon Text"/>
    <w:basedOn w:val="a"/>
    <w:link w:val="afc"/>
    <w:uiPriority w:val="99"/>
    <w:semiHidden/>
    <w:unhideWhenUsed/>
    <w:rsid w:val="00CE2AA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2AA0"/>
    <w:rPr>
      <w:rFonts w:ascii="Calibri Light" w:hAnsi="Calibri Light"/>
      <w:snapToGrid w:val="0"/>
      <w:kern w:val="2"/>
      <w:sz w:val="18"/>
      <w:szCs w:val="18"/>
    </w:rPr>
  </w:style>
  <w:style w:type="paragraph" w:customStyle="1" w:styleId="220">
    <w:name w:val="樣式 左:  2 字元 第一行:  2 字元"/>
    <w:basedOn w:val="a"/>
    <w:rsid w:val="00CE2AA0"/>
    <w:pPr>
      <w:ind w:left="566" w:firstLine="566"/>
    </w:pPr>
    <w:rPr>
      <w:rFonts w:cs="新細明體"/>
      <w:szCs w:val="20"/>
    </w:rPr>
  </w:style>
  <w:style w:type="paragraph" w:customStyle="1" w:styleId="210">
    <w:name w:val="樣式 (一)(二)(三) + 粗體 左:  2 字元 凸出:  1 字元"/>
    <w:basedOn w:val="a5"/>
    <w:rsid w:val="00CE2AA0"/>
    <w:pPr>
      <w:ind w:left="849" w:hanging="283"/>
    </w:pPr>
    <w:rPr>
      <w:rFonts w:cs="新細明體"/>
      <w:bCs/>
      <w:szCs w:val="20"/>
    </w:rPr>
  </w:style>
  <w:style w:type="character" w:styleId="afd">
    <w:name w:val="Hyperlink"/>
    <w:uiPriority w:val="99"/>
    <w:unhideWhenUsed/>
    <w:rsid w:val="00CE2AA0"/>
    <w:rPr>
      <w:color w:val="0000FF"/>
      <w:u w:val="single"/>
    </w:rPr>
  </w:style>
  <w:style w:type="character" w:customStyle="1" w:styleId="afe">
    <w:name w:val="(一)(二)(三) 字元"/>
    <w:rsid w:val="00CE2AA0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0">
    <w:name w:val="標題 1 字元"/>
    <w:link w:val="1"/>
    <w:rsid w:val="008A3B7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8A3B7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A3B7F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0">
    <w:name w:val="表格內文(16行高)"/>
    <w:basedOn w:val="ab"/>
    <w:link w:val="161"/>
    <w:qFormat/>
    <w:rsid w:val="008A3B7F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8A3B7F"/>
    <w:rPr>
      <w:rFonts w:ascii="標楷體" w:eastAsia="標楷體"/>
      <w:snapToGrid w:val="0"/>
      <w:kern w:val="2"/>
      <w:sz w:val="28"/>
      <w:szCs w:val="28"/>
    </w:rPr>
  </w:style>
  <w:style w:type="table" w:styleId="aff">
    <w:name w:val="Table Grid"/>
    <w:basedOn w:val="a1"/>
    <w:uiPriority w:val="59"/>
    <w:rsid w:val="008A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8A3B7F"/>
    <w:rPr>
      <w:rFonts w:ascii="標楷體" w:eastAsia="標楷體"/>
      <w:snapToGrid w:val="0"/>
      <w:kern w:val="2"/>
      <w:sz w:val="24"/>
      <w:szCs w:val="28"/>
    </w:rPr>
  </w:style>
  <w:style w:type="paragraph" w:customStyle="1" w:styleId="aff0">
    <w:name w:val="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idx1">
    <w:name w:val="idx1"/>
    <w:basedOn w:val="a0"/>
    <w:rsid w:val="008A3B7F"/>
  </w:style>
  <w:style w:type="character" w:customStyle="1" w:styleId="green">
    <w:name w:val="green"/>
    <w:basedOn w:val="a0"/>
    <w:rsid w:val="008A3B7F"/>
  </w:style>
  <w:style w:type="character" w:customStyle="1" w:styleId="aff3">
    <w:name w:val="字元"/>
    <w:semiHidden/>
    <w:rsid w:val="008A3B7F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Indent 2"/>
    <w:basedOn w:val="a"/>
    <w:link w:val="27"/>
    <w:rsid w:val="008A3B7F"/>
    <w:pPr>
      <w:ind w:left="567" w:firstLine="567"/>
    </w:pPr>
  </w:style>
  <w:style w:type="character" w:customStyle="1" w:styleId="27">
    <w:name w:val="本文縮排 2 字元"/>
    <w:link w:val="26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 字元 字元 字元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4">
    <w:name w:val="Body Text Indent"/>
    <w:basedOn w:val="a"/>
    <w:link w:val="aff5"/>
    <w:rsid w:val="008A3B7F"/>
    <w:pPr>
      <w:spacing w:after="120"/>
      <w:ind w:left="480"/>
    </w:pPr>
  </w:style>
  <w:style w:type="character" w:customStyle="1" w:styleId="aff5">
    <w:name w:val="本文縮排 字元"/>
    <w:link w:val="aff4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aff6">
    <w:name w:val="字元 字元 字元 字元 字元 字元 字元 字元 字元 字元 字元 字元 字元 字元 字元 字元 字元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7">
    <w:name w:val="表格內文(14行高) 字元 字元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annotation reference"/>
    <w:semiHidden/>
    <w:rsid w:val="008A3B7F"/>
    <w:rPr>
      <w:sz w:val="18"/>
      <w:szCs w:val="18"/>
    </w:rPr>
  </w:style>
  <w:style w:type="paragraph" w:styleId="aff8">
    <w:name w:val="annotation text"/>
    <w:basedOn w:val="a"/>
    <w:link w:val="aff9"/>
    <w:semiHidden/>
    <w:rsid w:val="008A3B7F"/>
    <w:pPr>
      <w:jc w:val="left"/>
    </w:pPr>
  </w:style>
  <w:style w:type="character" w:customStyle="1" w:styleId="aff9">
    <w:name w:val="註解文字 字元"/>
    <w:link w:val="aff8"/>
    <w:semiHidden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annotation subject"/>
    <w:basedOn w:val="aff8"/>
    <w:next w:val="aff8"/>
    <w:link w:val="affb"/>
    <w:semiHidden/>
    <w:rsid w:val="008A3B7F"/>
    <w:rPr>
      <w:b/>
      <w:bCs/>
    </w:rPr>
  </w:style>
  <w:style w:type="character" w:customStyle="1" w:styleId="affb">
    <w:name w:val="註解主旨 字元"/>
    <w:link w:val="affa"/>
    <w:semiHidden/>
    <w:rsid w:val="008A3B7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affc">
    <w:name w:val="姓名及分機 字元 字元"/>
    <w:rsid w:val="008A3B7F"/>
    <w:rPr>
      <w:rFonts w:ascii="標楷體" w:eastAsia="標楷體" w:hAnsi="Verdana" w:cs="新細明體"/>
      <w:snapToGrid w:val="0"/>
      <w:color w:val="414141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rsid w:val="008A3B7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8A3B7F"/>
    <w:rPr>
      <w:rFonts w:ascii="Arial Unicode MS" w:eastAsia="Arial Unicode MS" w:hAnsi="Arial Unicode MS" w:cs="Arial Unicode MS"/>
      <w:color w:val="000000"/>
    </w:rPr>
  </w:style>
  <w:style w:type="character" w:customStyle="1" w:styleId="categoryright1">
    <w:name w:val="categoryright1"/>
    <w:rsid w:val="008A3B7F"/>
    <w:rPr>
      <w:b w:val="0"/>
      <w:bCs w:val="0"/>
    </w:rPr>
  </w:style>
  <w:style w:type="character" w:customStyle="1" w:styleId="h11">
    <w:name w:val="h11"/>
    <w:rsid w:val="008A3B7F"/>
    <w:rPr>
      <w:b/>
      <w:bCs/>
      <w:color w:val="FF6600"/>
      <w:sz w:val="24"/>
      <w:szCs w:val="24"/>
    </w:rPr>
  </w:style>
  <w:style w:type="paragraph" w:styleId="31">
    <w:name w:val="toc 3"/>
    <w:basedOn w:val="a"/>
    <w:next w:val="a"/>
    <w:autoRedefine/>
    <w:semiHidden/>
    <w:rsid w:val="008A3B7F"/>
    <w:pPr>
      <w:ind w:leftChars="400" w:left="960"/>
    </w:pPr>
  </w:style>
  <w:style w:type="paragraph" w:styleId="4">
    <w:name w:val="toc 4"/>
    <w:basedOn w:val="a"/>
    <w:next w:val="a"/>
    <w:autoRedefine/>
    <w:semiHidden/>
    <w:rsid w:val="008A3B7F"/>
    <w:pPr>
      <w:ind w:leftChars="600" w:left="1440"/>
    </w:pPr>
  </w:style>
  <w:style w:type="paragraph" w:styleId="5">
    <w:name w:val="toc 5"/>
    <w:basedOn w:val="a"/>
    <w:next w:val="a"/>
    <w:autoRedefine/>
    <w:semiHidden/>
    <w:rsid w:val="008A3B7F"/>
    <w:pPr>
      <w:ind w:leftChars="800" w:left="1920"/>
    </w:pPr>
  </w:style>
  <w:style w:type="paragraph" w:styleId="6">
    <w:name w:val="toc 6"/>
    <w:basedOn w:val="a"/>
    <w:next w:val="a"/>
    <w:autoRedefine/>
    <w:semiHidden/>
    <w:rsid w:val="008A3B7F"/>
    <w:pPr>
      <w:ind w:leftChars="1000" w:left="2400"/>
    </w:pPr>
  </w:style>
  <w:style w:type="paragraph" w:styleId="7">
    <w:name w:val="toc 7"/>
    <w:basedOn w:val="a"/>
    <w:next w:val="a"/>
    <w:autoRedefine/>
    <w:semiHidden/>
    <w:rsid w:val="008A3B7F"/>
    <w:pPr>
      <w:ind w:leftChars="1200" w:left="2880"/>
    </w:pPr>
  </w:style>
  <w:style w:type="paragraph" w:styleId="8">
    <w:name w:val="toc 8"/>
    <w:basedOn w:val="a"/>
    <w:next w:val="a"/>
    <w:autoRedefine/>
    <w:semiHidden/>
    <w:rsid w:val="008A3B7F"/>
    <w:pPr>
      <w:ind w:leftChars="1400" w:left="3360"/>
    </w:pPr>
  </w:style>
  <w:style w:type="paragraph" w:styleId="9">
    <w:name w:val="toc 9"/>
    <w:basedOn w:val="a"/>
    <w:next w:val="a"/>
    <w:autoRedefine/>
    <w:semiHidden/>
    <w:rsid w:val="008A3B7F"/>
    <w:pPr>
      <w:ind w:leftChars="1600" w:left="3840"/>
    </w:pPr>
  </w:style>
  <w:style w:type="paragraph" w:customStyle="1" w:styleId="28">
    <w:name w:val="內文2(預備金及追加用)"/>
    <w:link w:val="29"/>
    <w:rsid w:val="008A3B7F"/>
    <w:pPr>
      <w:spacing w:line="480" w:lineRule="exact"/>
      <w:ind w:left="200" w:hangingChars="200" w:hanging="200"/>
    </w:pPr>
    <w:rPr>
      <w:rFonts w:eastAsia="標楷體"/>
      <w:kern w:val="2"/>
      <w:sz w:val="28"/>
      <w:szCs w:val="24"/>
    </w:rPr>
  </w:style>
  <w:style w:type="character" w:customStyle="1" w:styleId="29">
    <w:name w:val="內文2(預備金及追加用) 字元"/>
    <w:link w:val="28"/>
    <w:rsid w:val="008A3B7F"/>
    <w:rPr>
      <w:rFonts w:eastAsia="標楷體"/>
      <w:kern w:val="2"/>
      <w:sz w:val="28"/>
      <w:szCs w:val="24"/>
    </w:rPr>
  </w:style>
  <w:style w:type="character" w:customStyle="1" w:styleId="a4">
    <w:name w:val="預備金及追加預算標題 字元"/>
    <w:link w:val="a3"/>
    <w:rsid w:val="008A3B7F"/>
    <w:rPr>
      <w:rFonts w:ascii="標楷體" w:eastAsia="標楷體"/>
      <w:b/>
      <w:snapToGrid w:val="0"/>
      <w:kern w:val="2"/>
      <w:sz w:val="28"/>
    </w:rPr>
  </w:style>
  <w:style w:type="character" w:customStyle="1" w:styleId="affd">
    <w:name w:val="(一)(二)(三) 字元 字元"/>
    <w:rsid w:val="008A3B7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e">
    <w:name w:val="(一)(二)(三) 字元 字元 字元"/>
    <w:rsid w:val="008A3B7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0">
    <w:name w:val="字元 字元5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Default"/>
    <w:next w:val="Default"/>
    <w:uiPriority w:val="99"/>
    <w:rsid w:val="008A3B7F"/>
    <w:pPr>
      <w:spacing w:before="100" w:after="100"/>
    </w:pPr>
    <w:rPr>
      <w:rFonts w:ascii="新細明體" w:eastAsia="新細明體" w:hAnsi="Times New Roman" w:cs="Times New Roman"/>
      <w:color w:val="auto"/>
    </w:rPr>
  </w:style>
  <w:style w:type="paragraph" w:customStyle="1" w:styleId="17">
    <w:name w:val="本文1"/>
    <w:basedOn w:val="a"/>
    <w:rsid w:val="008A3B7F"/>
    <w:pPr>
      <w:adjustRightInd w:val="0"/>
      <w:snapToGrid w:val="0"/>
      <w:spacing w:before="120" w:after="120" w:line="360" w:lineRule="auto"/>
      <w:ind w:leftChars="0" w:left="357" w:firstLineChars="0" w:firstLine="720"/>
      <w:textAlignment w:val="baseline"/>
    </w:pPr>
    <w:rPr>
      <w:snapToGrid/>
      <w:spacing w:val="30"/>
      <w:kern w:val="0"/>
      <w:szCs w:val="20"/>
    </w:rPr>
  </w:style>
  <w:style w:type="paragraph" w:customStyle="1" w:styleId="2a">
    <w:name w:val="字元 字元2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">
    <w:name w:val="壹"/>
    <w:basedOn w:val="a"/>
    <w:rsid w:val="008A3B7F"/>
    <w:pPr>
      <w:spacing w:beforeLines="50" w:before="190" w:line="240" w:lineRule="auto"/>
      <w:ind w:leftChars="0" w:left="0" w:firstLineChars="0" w:firstLine="0"/>
      <w:jc w:val="left"/>
    </w:pPr>
    <w:rPr>
      <w:rFonts w:hAnsi="標楷體"/>
      <w:b/>
      <w:bCs/>
      <w:snapToGrid/>
      <w:sz w:val="36"/>
      <w:szCs w:val="36"/>
    </w:rPr>
  </w:style>
  <w:style w:type="paragraph" w:styleId="32">
    <w:name w:val="Body Text 3"/>
    <w:basedOn w:val="a"/>
    <w:link w:val="33"/>
    <w:rsid w:val="008A3B7F"/>
    <w:pPr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3">
    <w:name w:val="本文 3 字元"/>
    <w:link w:val="32"/>
    <w:rsid w:val="008A3B7F"/>
    <w:rPr>
      <w:kern w:val="2"/>
      <w:sz w:val="16"/>
      <w:szCs w:val="16"/>
    </w:rPr>
  </w:style>
  <w:style w:type="paragraph" w:styleId="afff0">
    <w:name w:val="caption"/>
    <w:basedOn w:val="a"/>
    <w:next w:val="a"/>
    <w:qFormat/>
    <w:rsid w:val="008A3B7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paragraph" w:customStyle="1" w:styleId="2b">
    <w:name w:val="字元 字元2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ff2">
    <w:name w:val="註腳文字(標準) 字元"/>
    <w:link w:val="afff3"/>
    <w:locked/>
    <w:rsid w:val="008A3B7F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f3">
    <w:name w:val="註腳文字(標準)"/>
    <w:basedOn w:val="af7"/>
    <w:link w:val="afff2"/>
    <w:qFormat/>
    <w:rsid w:val="008A3B7F"/>
    <w:pPr>
      <w:spacing w:line="280" w:lineRule="exact"/>
      <w:ind w:left="142" w:hanging="142"/>
    </w:pPr>
    <w:rPr>
      <w:rFonts w:hAnsi="標楷體"/>
      <w:bCs w:val="0"/>
      <w:noProof w:val="0"/>
      <w:kern w:val="2"/>
      <w:sz w:val="24"/>
      <w:szCs w:val="24"/>
      <w:lang w:val="x-none"/>
    </w:rPr>
  </w:style>
  <w:style w:type="paragraph" w:customStyle="1" w:styleId="afff4">
    <w:name w:val="附註"/>
    <w:basedOn w:val="142"/>
    <w:link w:val="afff5"/>
    <w:qFormat/>
    <w:rsid w:val="008A3B7F"/>
    <w:pPr>
      <w:ind w:left="61" w:hangingChars="25" w:hanging="61"/>
    </w:pPr>
    <w:rPr>
      <w:snapToGrid/>
      <w:lang w:val="x-none" w:eastAsia="x-none"/>
    </w:rPr>
  </w:style>
  <w:style w:type="character" w:customStyle="1" w:styleId="afff5">
    <w:name w:val="附註 字元"/>
    <w:link w:val="afff4"/>
    <w:rsid w:val="008A3B7F"/>
    <w:rPr>
      <w:rFonts w:ascii="標楷體" w:eastAsia="標楷體"/>
      <w:kern w:val="2"/>
      <w:sz w:val="24"/>
      <w:szCs w:val="28"/>
      <w:lang w:val="x-none" w:eastAsia="x-none"/>
    </w:rPr>
  </w:style>
  <w:style w:type="character" w:customStyle="1" w:styleId="221">
    <w:name w:val="(一)下內文縮2 字元2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12310">
    <w:name w:val="1.2.3. 字元1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211">
    <w:name w:val="表格內文(12行及11號)"/>
    <w:basedOn w:val="142"/>
    <w:qFormat/>
    <w:rsid w:val="008A3B7F"/>
    <w:pPr>
      <w:spacing w:line="220" w:lineRule="exact"/>
      <w:jc w:val="both"/>
    </w:pPr>
    <w:rPr>
      <w:rFonts w:hAnsi="標楷體" w:cs="新細明體"/>
      <w:snapToGrid/>
      <w:spacing w:val="-20"/>
      <w:sz w:val="22"/>
      <w:szCs w:val="22"/>
      <w:lang w:eastAsia="zh-HK"/>
    </w:rPr>
  </w:style>
  <w:style w:type="paragraph" w:customStyle="1" w:styleId="12110">
    <w:name w:val="表格內文（12高11字及排)"/>
    <w:basedOn w:val="142"/>
    <w:qFormat/>
    <w:rsid w:val="008A3B7F"/>
    <w:pPr>
      <w:spacing w:line="220" w:lineRule="exact"/>
      <w:ind w:leftChars="1" w:left="192" w:hangingChars="105" w:hanging="189"/>
    </w:pPr>
    <w:rPr>
      <w:rFonts w:hAnsi="標楷體"/>
      <w:snapToGrid/>
      <w:spacing w:val="-20"/>
      <w:sz w:val="22"/>
      <w:szCs w:val="22"/>
    </w:rPr>
  </w:style>
  <w:style w:type="paragraph" w:customStyle="1" w:styleId="0">
    <w:name w:val="0註腳文字"/>
    <w:basedOn w:val="142"/>
    <w:qFormat/>
    <w:rsid w:val="008A3B7F"/>
    <w:pPr>
      <w:ind w:leftChars="5" w:left="99" w:hangingChars="35" w:hanging="85"/>
      <w:jc w:val="both"/>
    </w:pPr>
    <w:rPr>
      <w:snapToGrid/>
      <w:lang w:eastAsia="zh-HK"/>
    </w:rPr>
  </w:style>
  <w:style w:type="paragraph" w:customStyle="1" w:styleId="2c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表格內文之標頭"/>
    <w:basedOn w:val="142"/>
    <w:rsid w:val="009C53C7"/>
    <w:pPr>
      <w:spacing w:before="250"/>
    </w:pPr>
    <w:rPr>
      <w:rFonts w:cs="新細明體"/>
      <w:b/>
      <w:bCs/>
      <w:sz w:val="28"/>
      <w:szCs w:val="20"/>
    </w:rPr>
  </w:style>
  <w:style w:type="paragraph" w:customStyle="1" w:styleId="18">
    <w:name w:val="字元 字元1 字元 字元 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7">
    <w:name w:val="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8">
    <w:name w:val="Subtitle"/>
    <w:basedOn w:val="a"/>
    <w:next w:val="a"/>
    <w:link w:val="afff9"/>
    <w:uiPriority w:val="11"/>
    <w:qFormat/>
    <w:rsid w:val="00B650FC"/>
    <w:pPr>
      <w:spacing w:after="60"/>
      <w:jc w:val="center"/>
      <w:outlineLvl w:val="1"/>
    </w:pPr>
    <w:rPr>
      <w:rFonts w:ascii="Cambria" w:eastAsia="新細明體" w:hAnsi="Cambria"/>
      <w:i/>
      <w:iCs/>
      <w:sz w:val="24"/>
      <w:szCs w:val="24"/>
    </w:rPr>
  </w:style>
  <w:style w:type="character" w:customStyle="1" w:styleId="afff9">
    <w:name w:val="副標題 字元"/>
    <w:link w:val="afff8"/>
    <w:uiPriority w:val="11"/>
    <w:rsid w:val="00B650FC"/>
    <w:rPr>
      <w:rFonts w:ascii="Cambria" w:hAnsi="Cambria"/>
      <w:i/>
      <w:iCs/>
      <w:snapToGrid w:val="0"/>
      <w:kern w:val="2"/>
      <w:sz w:val="24"/>
      <w:szCs w:val="24"/>
    </w:rPr>
  </w:style>
  <w:style w:type="character" w:customStyle="1" w:styleId="148">
    <w:name w:val="表格內文(14行高) 字元 字元 字元"/>
    <w:rsid w:val="00183AD9"/>
    <w:rPr>
      <w:rFonts w:ascii="標楷體" w:eastAsia="標楷體"/>
      <w:snapToGrid w:val="0"/>
      <w:kern w:val="2"/>
      <w:sz w:val="24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E4B14-91CE-465A-86BE-A2179D196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404</Words>
  <Characters>2303</Characters>
  <Application>Microsoft Office Word</Application>
  <DocSecurity>0</DocSecurity>
  <Lines>19</Lines>
  <Paragraphs>5</Paragraphs>
  <ScaleCrop>false</ScaleCrop>
  <Company>HOME</Company>
  <LinksUpToDate>false</LinksUpToDate>
  <CharactersWithSpaces>2702</CharactersWithSpaces>
  <SharedDoc>false</SharedDoc>
  <HLinks>
    <vt:vector size="222" baseType="variant"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_Toc177394314</vt:lpwstr>
      </vt:variant>
      <vt:variant>
        <vt:i4>1441852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_Toc177394313</vt:lpwstr>
      </vt:variant>
      <vt:variant>
        <vt:i4>1441852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_Toc177394312</vt:lpwstr>
      </vt:variant>
      <vt:variant>
        <vt:i4>1441852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_Toc177394311</vt:lpwstr>
      </vt:variant>
      <vt:variant>
        <vt:i4>1441852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_Toc177394310</vt:lpwstr>
      </vt:variant>
      <vt:variant>
        <vt:i4>1507388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_Toc177394309</vt:lpwstr>
      </vt:variant>
      <vt:variant>
        <vt:i4>1507388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_Toc177394308</vt:lpwstr>
      </vt:variant>
      <vt:variant>
        <vt:i4>1507388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_Toc177394307</vt:lpwstr>
      </vt:variant>
      <vt:variant>
        <vt:i4>1507388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_Toc177394306</vt:lpwstr>
      </vt:variant>
      <vt:variant>
        <vt:i4>1507388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_Toc177394305</vt:lpwstr>
      </vt:variant>
      <vt:variant>
        <vt:i4>1507388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_Toc177394304</vt:lpwstr>
      </vt:variant>
      <vt:variant>
        <vt:i4>1507388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_Toc177394303</vt:lpwstr>
      </vt:variant>
      <vt:variant>
        <vt:i4>1507388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_Toc177394302</vt:lpwstr>
      </vt:variant>
      <vt:variant>
        <vt:i4>1507388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_Toc177394301</vt:lpwstr>
      </vt:variant>
      <vt:variant>
        <vt:i4>1507388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_Toc177394300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_Toc177394299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_Toc177394298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_Toc177394297</vt:lpwstr>
      </vt:variant>
      <vt:variant>
        <vt:i4>1966141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_Toc177394296</vt:lpwstr>
      </vt:variant>
      <vt:variant>
        <vt:i4>1966141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_Toc177394295</vt:lpwstr>
      </vt:variant>
      <vt:variant>
        <vt:i4>1966141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_Toc177394294</vt:lpwstr>
      </vt:variant>
      <vt:variant>
        <vt:i4>1966141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_Toc177394293</vt:lpwstr>
      </vt:variant>
      <vt:variant>
        <vt:i4>1966141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_Toc177394292</vt:lpwstr>
      </vt:variant>
      <vt:variant>
        <vt:i4>1966141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_Toc177394291</vt:lpwstr>
      </vt:variant>
      <vt:variant>
        <vt:i4>1966141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_Toc177394290</vt:lpwstr>
      </vt:variant>
      <vt:variant>
        <vt:i4>2031677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_Toc177394289</vt:lpwstr>
      </vt:variant>
      <vt:variant>
        <vt:i4>2031677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_Toc177394288</vt:lpwstr>
      </vt:variant>
      <vt:variant>
        <vt:i4>2031677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_Toc177394287</vt:lpwstr>
      </vt:variant>
      <vt:variant>
        <vt:i4>2031677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_Toc177394286</vt:lpwstr>
      </vt:variant>
      <vt:variant>
        <vt:i4>2031677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_Toc177394285</vt:lpwstr>
      </vt:variant>
      <vt:variant>
        <vt:i4>2031677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_Toc177394284</vt:lpwstr>
      </vt:variant>
      <vt:variant>
        <vt:i4>2031677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_Toc177394283</vt:lpwstr>
      </vt:variant>
      <vt:variant>
        <vt:i4>2031677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_Toc177394282</vt:lpwstr>
      </vt:variant>
      <vt:variant>
        <vt:i4>2031677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_Toc177394281</vt:lpwstr>
      </vt:variant>
      <vt:variant>
        <vt:i4>2031677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_Toc177394280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_Toc177394279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_Toc177394278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1899-12-31T16:00:00Z</cp:lastPrinted>
  <dcterms:created xsi:type="dcterms:W3CDTF">2024-09-24T07:47:00Z</dcterms:created>
  <dcterms:modified xsi:type="dcterms:W3CDTF">2024-09-24T07:47:00Z</dcterms:modified>
</cp:coreProperties>
</file>