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r w:rsidRPr="00620246">
        <w:rPr>
          <w:rFonts w:hint="eastAsia"/>
        </w:rPr>
        <w:t>112年度中央政府總決算審核報告整體評估報告</w:t>
      </w:r>
    </w:p>
    <w:p w:rsidR="00CE2AA0" w:rsidRPr="006D382F" w:rsidRDefault="00CE2AA0" w:rsidP="00640605">
      <w:pPr>
        <w:pStyle w:val="14"/>
        <w:ind w:left="567" w:hanging="567"/>
      </w:pPr>
      <w:bookmarkStart w:id="1" w:name="_Toc176028925"/>
      <w:bookmarkStart w:id="2" w:name="_Toc177394286"/>
      <w:bookmarkEnd w:id="0"/>
      <w:r>
        <w:rPr>
          <w:rFonts w:hint="eastAsia"/>
        </w:rPr>
        <w:t>八</w:t>
      </w:r>
      <w:r w:rsidRPr="006D382F">
        <w:rPr>
          <w:rFonts w:hint="eastAsia"/>
        </w:rPr>
        <w:t>、112年汽機車竊盜案發生數</w:t>
      </w:r>
      <w:r>
        <w:rPr>
          <w:rFonts w:hint="eastAsia"/>
        </w:rPr>
        <w:t>增加</w:t>
      </w:r>
      <w:r w:rsidRPr="006D382F">
        <w:rPr>
          <w:rFonts w:hint="eastAsia"/>
        </w:rPr>
        <w:t>及破獲率</w:t>
      </w:r>
      <w:r>
        <w:rPr>
          <w:rFonts w:hint="eastAsia"/>
        </w:rPr>
        <w:t>下降</w:t>
      </w:r>
      <w:r w:rsidRPr="006D382F">
        <w:rPr>
          <w:rFonts w:hint="eastAsia"/>
        </w:rPr>
        <w:t>，毒品</w:t>
      </w:r>
      <w:r>
        <w:rPr>
          <w:rFonts w:hint="eastAsia"/>
        </w:rPr>
        <w:t>持有新收人數為近10年最高且施用者</w:t>
      </w:r>
      <w:r w:rsidRPr="006D382F">
        <w:rPr>
          <w:rFonts w:hint="eastAsia"/>
        </w:rPr>
        <w:t>之再犯情形嚴重，另民眾咸認酒駕</w:t>
      </w:r>
      <w:r>
        <w:rPr>
          <w:rFonts w:hint="eastAsia"/>
        </w:rPr>
        <w:t>係</w:t>
      </w:r>
      <w:r w:rsidRPr="006D382F">
        <w:rPr>
          <w:rFonts w:hint="eastAsia"/>
        </w:rPr>
        <w:t>交通</w:t>
      </w:r>
      <w:r>
        <w:rPr>
          <w:rFonts w:hint="eastAsia"/>
        </w:rPr>
        <w:t>違規首惡</w:t>
      </w:r>
      <w:r w:rsidRPr="006D382F">
        <w:rPr>
          <w:rFonts w:hint="eastAsia"/>
        </w:rPr>
        <w:t>，允宜加強查</w:t>
      </w:r>
      <w:r>
        <w:rPr>
          <w:rFonts w:hint="eastAsia"/>
        </w:rPr>
        <w:t>察</w:t>
      </w:r>
      <w:bookmarkEnd w:id="1"/>
      <w:bookmarkEnd w:id="2"/>
    </w:p>
    <w:p w:rsidR="00CE2AA0" w:rsidRPr="00B615C5" w:rsidRDefault="00CE2AA0" w:rsidP="00640605">
      <w:pPr>
        <w:ind w:left="566" w:firstLine="566"/>
      </w:pPr>
      <w:r>
        <w:rPr>
          <w:rFonts w:hint="eastAsia"/>
        </w:rPr>
        <w:t>中央政府為維護治安，每年投入逾百億元經費以打擊犯罪(詳表1)；惟</w:t>
      </w:r>
      <w:r w:rsidRPr="00B615C5">
        <w:rPr>
          <w:rFonts w:hint="eastAsia"/>
        </w:rPr>
        <w:t>112年度刑事案件發生數27萬</w:t>
      </w:r>
      <w:r>
        <w:rPr>
          <w:rFonts w:hint="eastAsia"/>
        </w:rPr>
        <w:t>5</w:t>
      </w:r>
      <w:r w:rsidRPr="00B615C5">
        <w:t>,</w:t>
      </w:r>
      <w:r>
        <w:t>268</w:t>
      </w:r>
      <w:r w:rsidRPr="00B615C5">
        <w:rPr>
          <w:rFonts w:hint="eastAsia"/>
        </w:rPr>
        <w:t>件</w:t>
      </w:r>
      <w:r>
        <w:rPr>
          <w:rFonts w:hint="eastAsia"/>
        </w:rPr>
        <w:t>，較111年度增加9</w:t>
      </w:r>
      <w:r>
        <w:t>,750</w:t>
      </w:r>
      <w:r>
        <w:rPr>
          <w:rFonts w:hint="eastAsia"/>
        </w:rPr>
        <w:t>件</w:t>
      </w:r>
      <w:r w:rsidRPr="00B615C5">
        <w:rPr>
          <w:rFonts w:hint="eastAsia"/>
        </w:rPr>
        <w:t>，其中以竊盜案3萬8</w:t>
      </w:r>
      <w:r w:rsidRPr="00B615C5">
        <w:t>,</w:t>
      </w:r>
      <w:r>
        <w:t>339</w:t>
      </w:r>
      <w:r w:rsidRPr="00B615C5">
        <w:rPr>
          <w:rFonts w:hint="eastAsia"/>
        </w:rPr>
        <w:t>件占比最高，占全般刑案總數之13.</w:t>
      </w:r>
      <w:r w:rsidRPr="00B615C5">
        <w:t>9</w:t>
      </w:r>
      <w:r>
        <w:t>3</w:t>
      </w:r>
      <w:r w:rsidRPr="00B615C5">
        <w:rPr>
          <w:rFonts w:hint="eastAsia"/>
        </w:rPr>
        <w:t>%，其次為詐欺案3萬7</w:t>
      </w:r>
      <w:r w:rsidRPr="00B615C5">
        <w:t>,</w:t>
      </w:r>
      <w:r>
        <w:t>823</w:t>
      </w:r>
      <w:r w:rsidRPr="00B615C5">
        <w:rPr>
          <w:rFonts w:hint="eastAsia"/>
        </w:rPr>
        <w:t>件(占刑案總數之13.74%)，再次為毒品案3萬6</w:t>
      </w:r>
      <w:r w:rsidRPr="00B615C5">
        <w:t>,</w:t>
      </w:r>
      <w:r>
        <w:t>435</w:t>
      </w:r>
      <w:r w:rsidRPr="00B615C5">
        <w:rPr>
          <w:rFonts w:hint="eastAsia"/>
        </w:rPr>
        <w:t>件(</w:t>
      </w:r>
      <w:r>
        <w:rPr>
          <w:rFonts w:hint="eastAsia"/>
        </w:rPr>
        <w:t>占</w:t>
      </w:r>
      <w:r w:rsidRPr="00B615C5">
        <w:rPr>
          <w:rFonts w:hint="eastAsia"/>
        </w:rPr>
        <w:t>13.2</w:t>
      </w:r>
      <w:r>
        <w:rPr>
          <w:rFonts w:hint="eastAsia"/>
        </w:rPr>
        <w:t>4</w:t>
      </w:r>
      <w:r w:rsidRPr="00B615C5">
        <w:rPr>
          <w:rFonts w:hint="eastAsia"/>
        </w:rPr>
        <w:t>%)及酒後駕車3萬3</w:t>
      </w:r>
      <w:r w:rsidRPr="00B615C5">
        <w:t>,</w:t>
      </w:r>
      <w:r w:rsidRPr="00B615C5">
        <w:rPr>
          <w:rFonts w:hint="eastAsia"/>
        </w:rPr>
        <w:t>4</w:t>
      </w:r>
      <w:r>
        <w:rPr>
          <w:rFonts w:hint="eastAsia"/>
        </w:rPr>
        <w:t>66</w:t>
      </w:r>
      <w:r w:rsidRPr="00B615C5">
        <w:rPr>
          <w:rFonts w:hint="eastAsia"/>
        </w:rPr>
        <w:t>件(</w:t>
      </w:r>
      <w:r>
        <w:rPr>
          <w:rFonts w:hint="eastAsia"/>
        </w:rPr>
        <w:t>占</w:t>
      </w:r>
      <w:r w:rsidRPr="00B615C5">
        <w:rPr>
          <w:rFonts w:hint="eastAsia"/>
        </w:rPr>
        <w:t>12.</w:t>
      </w:r>
      <w:r>
        <w:rPr>
          <w:rFonts w:hint="eastAsia"/>
        </w:rPr>
        <w:t>16</w:t>
      </w:r>
      <w:r w:rsidRPr="00B615C5">
        <w:rPr>
          <w:rFonts w:hint="eastAsia"/>
        </w:rPr>
        <w:t>%)等(詳表2</w:t>
      </w:r>
      <w:r>
        <w:rPr>
          <w:rFonts w:hint="eastAsia"/>
        </w:rPr>
        <w:t>)</w:t>
      </w:r>
      <w:r w:rsidRPr="00B615C5">
        <w:rPr>
          <w:rFonts w:hint="eastAsia"/>
        </w:rPr>
        <w:t>，謹就</w:t>
      </w:r>
      <w:r>
        <w:rPr>
          <w:rFonts w:hint="eastAsia"/>
        </w:rPr>
        <w:t>竊盜、毒品及酒駕案件</w:t>
      </w:r>
      <w:r w:rsidRPr="00B615C5">
        <w:rPr>
          <w:rFonts w:hint="eastAsia"/>
        </w:rPr>
        <w:t>分述如下</w:t>
      </w:r>
      <w:r w:rsidRPr="00B615C5">
        <w:rPr>
          <w:rStyle w:val="af5"/>
        </w:rPr>
        <w:footnoteReference w:id="1"/>
      </w:r>
      <w:r w:rsidRPr="00B615C5">
        <w:rPr>
          <w:rFonts w:hint="eastAsia"/>
        </w:rPr>
        <w:t>：</w:t>
      </w:r>
    </w:p>
    <w:p w:rsidR="00CE2AA0" w:rsidRPr="006E6580" w:rsidRDefault="00CE2AA0" w:rsidP="00640605">
      <w:pPr>
        <w:ind w:leftChars="-19" w:left="-54" w:firstLineChars="0" w:firstLine="0"/>
        <w:rPr>
          <w:rFonts w:hAnsi="標楷體" w:cs="新細明體"/>
          <w:snapToGrid/>
          <w:kern w:val="0"/>
          <w:sz w:val="24"/>
          <w:szCs w:val="24"/>
        </w:rPr>
      </w:pPr>
      <w:r w:rsidRPr="007941E0">
        <w:rPr>
          <w:rFonts w:hint="eastAsia"/>
          <w:b/>
        </w:rPr>
        <w:t>表</w:t>
      </w:r>
      <w:r>
        <w:rPr>
          <w:rFonts w:hint="eastAsia"/>
          <w:b/>
        </w:rPr>
        <w:t>1</w:t>
      </w:r>
      <w:r w:rsidRPr="007941E0">
        <w:rPr>
          <w:rFonts w:hint="eastAsia"/>
          <w:b/>
        </w:rPr>
        <w:t xml:space="preserve">　</w:t>
      </w:r>
      <w:r>
        <w:rPr>
          <w:rFonts w:hint="eastAsia"/>
          <w:b/>
        </w:rPr>
        <w:t xml:space="preserve">110-112年度治安經費明細表         </w:t>
      </w:r>
      <w:r>
        <w:rPr>
          <w:b/>
        </w:rPr>
        <w:t xml:space="preserve">    </w:t>
      </w:r>
      <w:r>
        <w:rPr>
          <w:rFonts w:hint="eastAsia"/>
          <w:b/>
        </w:rPr>
        <w:t xml:space="preserve">   </w:t>
      </w:r>
      <w:r w:rsidRPr="006E6580">
        <w:rPr>
          <w:rFonts w:hAnsi="標楷體" w:cs="新細明體" w:hint="eastAsia"/>
          <w:snapToGrid/>
          <w:kern w:val="0"/>
          <w:sz w:val="24"/>
          <w:szCs w:val="24"/>
        </w:rPr>
        <w:t xml:space="preserve"> 單位：新</w:t>
      </w:r>
      <w:r>
        <w:rPr>
          <w:rFonts w:hAnsi="標楷體" w:cs="新細明體" w:hint="eastAsia"/>
          <w:snapToGrid/>
          <w:kern w:val="0"/>
          <w:sz w:val="24"/>
          <w:szCs w:val="24"/>
        </w:rPr>
        <w:t>臺</w:t>
      </w:r>
      <w:r w:rsidRPr="006E6580">
        <w:rPr>
          <w:rFonts w:hAnsi="標楷體" w:cs="新細明體" w:hint="eastAsia"/>
          <w:snapToGrid/>
          <w:kern w:val="0"/>
          <w:sz w:val="24"/>
          <w:szCs w:val="24"/>
        </w:rPr>
        <w:t>幣千元</w:t>
      </w:r>
    </w:p>
    <w:tbl>
      <w:tblPr>
        <w:tblW w:w="85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04"/>
        <w:gridCol w:w="3969"/>
        <w:gridCol w:w="1073"/>
        <w:gridCol w:w="1073"/>
        <w:gridCol w:w="1087"/>
      </w:tblGrid>
      <w:tr w:rsidR="00CE2AA0" w:rsidRPr="006E6580" w:rsidTr="00640605">
        <w:trPr>
          <w:trHeight w:val="870"/>
          <w:tblHeader/>
        </w:trPr>
        <w:tc>
          <w:tcPr>
            <w:tcW w:w="1304" w:type="dxa"/>
            <w:shd w:val="clear" w:color="000000" w:fill="FFFFFF"/>
            <w:vAlign w:val="center"/>
            <w:hideMark/>
          </w:tcPr>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機關(基金)名稱</w:t>
            </w:r>
          </w:p>
        </w:tc>
        <w:tc>
          <w:tcPr>
            <w:tcW w:w="3969" w:type="dxa"/>
            <w:shd w:val="clear" w:color="000000" w:fill="FFFFFF"/>
            <w:vAlign w:val="center"/>
            <w:hideMark/>
          </w:tcPr>
          <w:p w:rsidR="00CE2AA0" w:rsidRPr="006E6580" w:rsidRDefault="00CE2AA0" w:rsidP="00640605">
            <w:pPr>
              <w:pStyle w:val="142"/>
              <w:jc w:val="distribute"/>
              <w:rPr>
                <w:rFonts w:hAnsi="標楷體"/>
                <w:b/>
                <w:snapToGrid/>
                <w:spacing w:val="-20"/>
              </w:rPr>
            </w:pPr>
            <w:r w:rsidRPr="006E6580">
              <w:rPr>
                <w:rFonts w:hAnsi="標楷體" w:hint="eastAsia"/>
                <w:b/>
                <w:snapToGrid/>
                <w:spacing w:val="-20"/>
              </w:rPr>
              <w:t>辦理事項</w:t>
            </w:r>
          </w:p>
        </w:tc>
        <w:tc>
          <w:tcPr>
            <w:tcW w:w="1073" w:type="dxa"/>
            <w:shd w:val="clear" w:color="000000" w:fill="FFFFFF"/>
            <w:vAlign w:val="center"/>
            <w:hideMark/>
          </w:tcPr>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110年度</w:t>
            </w:r>
          </w:p>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決算數</w:t>
            </w:r>
          </w:p>
        </w:tc>
        <w:tc>
          <w:tcPr>
            <w:tcW w:w="1073" w:type="dxa"/>
            <w:shd w:val="clear" w:color="000000" w:fill="FFFFFF"/>
            <w:noWrap/>
            <w:vAlign w:val="center"/>
            <w:hideMark/>
          </w:tcPr>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111年度</w:t>
            </w:r>
          </w:p>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決算數</w:t>
            </w:r>
          </w:p>
        </w:tc>
        <w:tc>
          <w:tcPr>
            <w:tcW w:w="1087" w:type="dxa"/>
            <w:shd w:val="clear" w:color="000000" w:fill="FFFFFF"/>
            <w:vAlign w:val="center"/>
          </w:tcPr>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112年度</w:t>
            </w:r>
          </w:p>
          <w:p w:rsidR="00CE2AA0" w:rsidRPr="006E6580" w:rsidRDefault="00CE2AA0" w:rsidP="00640605">
            <w:pPr>
              <w:pStyle w:val="142"/>
              <w:jc w:val="center"/>
              <w:rPr>
                <w:rFonts w:hAnsi="標楷體"/>
                <w:b/>
                <w:snapToGrid/>
                <w:spacing w:val="-20"/>
              </w:rPr>
            </w:pPr>
            <w:r w:rsidRPr="006E6580">
              <w:rPr>
                <w:rFonts w:hAnsi="標楷體" w:hint="eastAsia"/>
                <w:b/>
                <w:snapToGrid/>
                <w:spacing w:val="-20"/>
              </w:rPr>
              <w:t>決算數</w:t>
            </w:r>
          </w:p>
        </w:tc>
      </w:tr>
      <w:tr w:rsidR="00CE2AA0" w:rsidRPr="006E6580" w:rsidTr="00640605">
        <w:trPr>
          <w:trHeight w:val="20"/>
        </w:trPr>
        <w:tc>
          <w:tcPr>
            <w:tcW w:w="1304" w:type="dxa"/>
            <w:shd w:val="clear" w:color="000000" w:fill="FFFFFF"/>
            <w:noWrap/>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警政署</w:t>
            </w:r>
          </w:p>
        </w:tc>
        <w:tc>
          <w:tcPr>
            <w:tcW w:w="3969" w:type="dxa"/>
            <w:shd w:val="clear" w:color="auto" w:fill="auto"/>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治安維護、刑案偵查及檢肅犯罪、加強員警訓練、充實偵查與鑑識防爆等設備</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4,127,405</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4,555,323</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5,980,406</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法務部</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法務、矯正、監所及檢察業務</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4,526,332</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5,249,292</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6,082,034</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數位部</w:t>
            </w:r>
          </w:p>
        </w:tc>
        <w:tc>
          <w:tcPr>
            <w:tcW w:w="3969" w:type="dxa"/>
            <w:shd w:val="clear" w:color="auto" w:fill="auto"/>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智慧防詐與數位信任應用發展計畫</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教育部</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校園安全維護與防制學生藥物濫用</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98,520</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116,464</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120,677</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國家通訊傳播委員會</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國內電信事業加強攔阻及警示國際電話詐騙補助計畫</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87" w:type="dxa"/>
            <w:shd w:val="clear" w:color="FFFFFF"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101,601</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勞動部(就業安定基金)</w:t>
            </w:r>
          </w:p>
        </w:tc>
        <w:tc>
          <w:tcPr>
            <w:tcW w:w="3969" w:type="dxa"/>
            <w:shd w:val="clear" w:color="auto" w:fill="auto"/>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補助內政部移民署辦理外國人居留管理、非法外國人查處、收容及遣送等相關業務</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124,704</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136,974</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147,112</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海巡署</w:t>
            </w:r>
          </w:p>
        </w:tc>
        <w:tc>
          <w:tcPr>
            <w:tcW w:w="3969" w:type="dxa"/>
            <w:shd w:val="clear" w:color="auto" w:fill="auto"/>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查緝走私偷渡、強化海域安全、提升救生救難</w:t>
            </w:r>
          </w:p>
        </w:tc>
        <w:tc>
          <w:tcPr>
            <w:tcW w:w="1073" w:type="dxa"/>
            <w:shd w:val="clear" w:color="000000" w:fill="FFFFFF"/>
            <w:noWrap/>
            <w:vAlign w:val="center"/>
            <w:hideMark/>
          </w:tcPr>
          <w:p w:rsidR="00CE2AA0" w:rsidRPr="006E6580" w:rsidRDefault="00CE2AA0" w:rsidP="00640605">
            <w:pPr>
              <w:pStyle w:val="142"/>
              <w:jc w:val="right"/>
              <w:rPr>
                <w:rFonts w:hAnsi="標楷體"/>
                <w:bCs/>
                <w:snapToGrid/>
                <w:spacing w:val="-20"/>
              </w:rPr>
            </w:pPr>
            <w:r w:rsidRPr="006E6580">
              <w:rPr>
                <w:rFonts w:hAnsi="標楷體"/>
                <w:bCs/>
                <w:snapToGrid/>
                <w:spacing w:val="-20"/>
              </w:rPr>
              <w:t>3,775,430</w:t>
            </w:r>
          </w:p>
        </w:tc>
        <w:tc>
          <w:tcPr>
            <w:tcW w:w="1073" w:type="dxa"/>
            <w:shd w:val="clear" w:color="000000" w:fill="FFFFFF"/>
            <w:noWrap/>
            <w:vAlign w:val="center"/>
            <w:hideMark/>
          </w:tcPr>
          <w:p w:rsidR="00CE2AA0" w:rsidRPr="006E6580" w:rsidRDefault="00CE2AA0" w:rsidP="00640605">
            <w:pPr>
              <w:pStyle w:val="142"/>
              <w:jc w:val="right"/>
              <w:rPr>
                <w:rFonts w:hAnsi="標楷體"/>
                <w:bCs/>
                <w:snapToGrid/>
                <w:spacing w:val="-20"/>
              </w:rPr>
            </w:pPr>
            <w:r w:rsidRPr="006E6580">
              <w:rPr>
                <w:rFonts w:hAnsi="標楷體"/>
                <w:bCs/>
                <w:snapToGrid/>
                <w:spacing w:val="-20"/>
              </w:rPr>
              <w:t>4,043,216</w:t>
            </w:r>
          </w:p>
        </w:tc>
        <w:tc>
          <w:tcPr>
            <w:tcW w:w="1087" w:type="dxa"/>
            <w:shd w:val="clear" w:color="000000" w:fill="FFFFFF"/>
            <w:vAlign w:val="center"/>
          </w:tcPr>
          <w:p w:rsidR="00CE2AA0" w:rsidRPr="006E6580" w:rsidRDefault="00CE2AA0" w:rsidP="00640605">
            <w:pPr>
              <w:pStyle w:val="142"/>
              <w:jc w:val="right"/>
              <w:rPr>
                <w:rFonts w:hAnsi="標楷體"/>
                <w:bCs/>
                <w:snapToGrid/>
                <w:spacing w:val="-20"/>
              </w:rPr>
            </w:pPr>
            <w:r w:rsidRPr="006E6580">
              <w:rPr>
                <w:rFonts w:hAnsi="標楷體"/>
                <w:bCs/>
                <w:snapToGrid/>
                <w:spacing w:val="-20"/>
              </w:rPr>
              <w:t>5,357,041</w:t>
            </w:r>
          </w:p>
        </w:tc>
      </w:tr>
      <w:tr w:rsidR="00CE2AA0" w:rsidRPr="006E6580" w:rsidTr="00640605">
        <w:trPr>
          <w:trHeight w:val="20"/>
        </w:trPr>
        <w:tc>
          <w:tcPr>
            <w:tcW w:w="1304" w:type="dxa"/>
            <w:shd w:val="clear" w:color="000000" w:fill="FFFFFF"/>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行政院</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防詐騙宣導</w:t>
            </w:r>
          </w:p>
        </w:tc>
        <w:tc>
          <w:tcPr>
            <w:tcW w:w="1073" w:type="dxa"/>
            <w:shd w:val="clear" w:color="000000" w:fill="FFFFFF"/>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7,320</w:t>
            </w:r>
          </w:p>
        </w:tc>
      </w:tr>
      <w:tr w:rsidR="00CE2AA0" w:rsidRPr="006E6580" w:rsidTr="00640605">
        <w:trPr>
          <w:trHeight w:val="20"/>
        </w:trPr>
        <w:tc>
          <w:tcPr>
            <w:tcW w:w="1304" w:type="dxa"/>
            <w:shd w:val="clear" w:color="000000" w:fill="FFFFFF"/>
            <w:noWrap/>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移民署</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r w:rsidRPr="006E6580">
              <w:rPr>
                <w:rFonts w:hAnsi="標楷體" w:hint="eastAsia"/>
                <w:snapToGrid/>
                <w:spacing w:val="-20"/>
              </w:rPr>
              <w:t>外來人口違反入出國及移民相關規定之查察、收容、強制出國(境)及驅逐出國(境)等。</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1,104,332</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1,363,874</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1,457,014</w:t>
            </w:r>
          </w:p>
        </w:tc>
      </w:tr>
      <w:tr w:rsidR="00CE2AA0" w:rsidRPr="006E6580" w:rsidTr="00640605">
        <w:trPr>
          <w:trHeight w:val="20"/>
        </w:trPr>
        <w:tc>
          <w:tcPr>
            <w:tcW w:w="1304" w:type="dxa"/>
            <w:shd w:val="clear" w:color="000000" w:fill="FFFFFF"/>
            <w:noWrap/>
            <w:vAlign w:val="center"/>
            <w:hideMark/>
          </w:tcPr>
          <w:p w:rsidR="00CE2AA0" w:rsidRPr="006E6580" w:rsidRDefault="00CE2AA0" w:rsidP="00640605">
            <w:pPr>
              <w:pStyle w:val="142"/>
              <w:rPr>
                <w:rFonts w:hAnsi="標楷體"/>
                <w:snapToGrid/>
                <w:spacing w:val="-20"/>
              </w:rPr>
            </w:pPr>
            <w:r w:rsidRPr="006E6580">
              <w:rPr>
                <w:rFonts w:hAnsi="標楷體" w:hint="eastAsia"/>
                <w:snapToGrid/>
                <w:spacing w:val="-20"/>
              </w:rPr>
              <w:t>合計</w:t>
            </w:r>
          </w:p>
        </w:tc>
        <w:tc>
          <w:tcPr>
            <w:tcW w:w="3969" w:type="dxa"/>
            <w:shd w:val="clear" w:color="000000" w:fill="FFFFFF"/>
            <w:vAlign w:val="center"/>
            <w:hideMark/>
          </w:tcPr>
          <w:p w:rsidR="00CE2AA0" w:rsidRPr="006E6580" w:rsidRDefault="00CE2AA0" w:rsidP="00640605">
            <w:pPr>
              <w:pStyle w:val="142"/>
              <w:jc w:val="both"/>
              <w:rPr>
                <w:rFonts w:hAnsi="標楷體"/>
                <w:snapToGrid/>
                <w:spacing w:val="-20"/>
              </w:rPr>
            </w:pP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13,756,723</w:t>
            </w:r>
          </w:p>
        </w:tc>
        <w:tc>
          <w:tcPr>
            <w:tcW w:w="1073" w:type="dxa"/>
            <w:shd w:val="clear" w:color="000000" w:fill="FFFFFF"/>
            <w:noWrap/>
            <w:vAlign w:val="center"/>
            <w:hideMark/>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15,465,143</w:t>
            </w:r>
          </w:p>
        </w:tc>
        <w:tc>
          <w:tcPr>
            <w:tcW w:w="1087" w:type="dxa"/>
            <w:shd w:val="clear" w:color="000000" w:fill="FFFFFF"/>
            <w:vAlign w:val="center"/>
          </w:tcPr>
          <w:p w:rsidR="00CE2AA0" w:rsidRPr="006E6580" w:rsidRDefault="00CE2AA0" w:rsidP="00640605">
            <w:pPr>
              <w:pStyle w:val="142"/>
              <w:jc w:val="right"/>
              <w:rPr>
                <w:rFonts w:hAnsi="標楷體"/>
                <w:snapToGrid/>
                <w:spacing w:val="-20"/>
              </w:rPr>
            </w:pPr>
            <w:r w:rsidRPr="006E6580">
              <w:rPr>
                <w:rFonts w:hAnsi="標楷體" w:hint="eastAsia"/>
                <w:snapToGrid/>
                <w:spacing w:val="-20"/>
              </w:rPr>
              <w:t>19,253,205</w:t>
            </w:r>
          </w:p>
        </w:tc>
      </w:tr>
    </w:tbl>
    <w:p w:rsidR="00CE2AA0" w:rsidRDefault="00CE2AA0" w:rsidP="00640605">
      <w:pPr>
        <w:pStyle w:val="142"/>
        <w:ind w:left="1459" w:hangingChars="600" w:hanging="1459"/>
      </w:pPr>
      <w:r>
        <w:rPr>
          <w:rFonts w:hint="eastAsia"/>
        </w:rPr>
        <w:t>說    明：</w:t>
      </w:r>
      <w:r>
        <w:t>1.</w:t>
      </w:r>
      <w:r>
        <w:rPr>
          <w:rFonts w:hint="eastAsia"/>
        </w:rPr>
        <w:t>海巡署各年度經費係採用「歲出按職能及經濟性綜合分類表」內「</w:t>
      </w:r>
      <w:r>
        <w:t>03</w:t>
      </w:r>
      <w:r>
        <w:rPr>
          <w:rFonts w:hint="eastAsia"/>
        </w:rPr>
        <w:t>公共秩序與安全」職能別扣除「受僱人員報酬」及「運輸工具」之數。</w:t>
      </w:r>
    </w:p>
    <w:p w:rsidR="00CE2AA0" w:rsidRDefault="00CE2AA0" w:rsidP="00640605">
      <w:pPr>
        <w:pStyle w:val="142"/>
        <w:ind w:left="1459" w:hangingChars="600" w:hanging="1459"/>
      </w:pPr>
      <w:r>
        <w:rPr>
          <w:rFonts w:hint="eastAsia"/>
        </w:rPr>
        <w:t xml:space="preserve">　　　　　2.法務部主管矯正署「矯正業務｣工作計畫預決算數不包含「</w:t>
      </w:r>
      <w:r>
        <w:t>01</w:t>
      </w:r>
      <w:r>
        <w:rPr>
          <w:rFonts w:hint="eastAsia"/>
        </w:rPr>
        <w:t>人員維持｣、「</w:t>
      </w:r>
      <w:r>
        <w:t>06</w:t>
      </w:r>
      <w:r>
        <w:rPr>
          <w:rFonts w:hint="eastAsia"/>
        </w:rPr>
        <w:t>辦理收容人給養業務｣、「</w:t>
      </w:r>
      <w:r>
        <w:t>07</w:t>
      </w:r>
      <w:r>
        <w:rPr>
          <w:rFonts w:hint="eastAsia"/>
        </w:rPr>
        <w:t>補助收容人健保費｣、「</w:t>
      </w:r>
      <w:r>
        <w:t>08</w:t>
      </w:r>
      <w:r>
        <w:rPr>
          <w:rFonts w:hint="eastAsia"/>
        </w:rPr>
        <w:t>矯正</w:t>
      </w:r>
      <w:r>
        <w:rPr>
          <w:rFonts w:hint="eastAsia"/>
        </w:rPr>
        <w:lastRenderedPageBreak/>
        <w:t>機關便民線上服務建置計畫｣</w:t>
      </w:r>
      <w:r>
        <w:t>4</w:t>
      </w:r>
      <w:r>
        <w:rPr>
          <w:rFonts w:hint="eastAsia"/>
        </w:rPr>
        <w:t>項分支計畫相關數字。</w:t>
      </w:r>
    </w:p>
    <w:p w:rsidR="00CE2AA0" w:rsidRDefault="00CE2AA0" w:rsidP="00640605">
      <w:pPr>
        <w:pStyle w:val="142"/>
        <w:ind w:left="1459" w:hangingChars="600" w:hanging="1459"/>
      </w:pPr>
      <w:r>
        <w:rPr>
          <w:rFonts w:hint="eastAsia"/>
        </w:rPr>
        <w:t xml:space="preserve">　　　　　3.</w:t>
      </w:r>
      <w:r w:rsidRPr="008F4F16">
        <w:rPr>
          <w:rFonts w:hint="eastAsia"/>
        </w:rPr>
        <w:t>金融監督管理委員會(金融監督管理基金-銀行局)</w:t>
      </w:r>
      <w:r>
        <w:rPr>
          <w:rFonts w:hint="eastAsia"/>
        </w:rPr>
        <w:t>110至11</w:t>
      </w:r>
      <w:r>
        <w:t>2</w:t>
      </w:r>
      <w:r>
        <w:rPr>
          <w:rFonts w:hint="eastAsia"/>
        </w:rPr>
        <w:t>年度</w:t>
      </w:r>
      <w:r w:rsidRPr="008F4F16">
        <w:rPr>
          <w:rFonts w:hint="eastAsia"/>
        </w:rPr>
        <w:t>協同相關機關及金融機構打擊詐欺犯罪，</w:t>
      </w:r>
      <w:r>
        <w:rPr>
          <w:rFonts w:hint="eastAsia"/>
        </w:rPr>
        <w:t>辦理</w:t>
      </w:r>
      <w:r w:rsidRPr="008F4F16">
        <w:rPr>
          <w:rFonts w:hint="eastAsia"/>
        </w:rPr>
        <w:t>策進金融阻詐政策及措施，</w:t>
      </w:r>
      <w:r>
        <w:rPr>
          <w:rFonts w:hint="eastAsia"/>
        </w:rPr>
        <w:t>惟上開年度並未編列相關預算。</w:t>
      </w:r>
    </w:p>
    <w:p w:rsidR="00CE2AA0" w:rsidRPr="00C913A6" w:rsidRDefault="00CE2AA0" w:rsidP="00640605">
      <w:pPr>
        <w:pStyle w:val="142"/>
        <w:ind w:left="1459" w:hangingChars="600" w:hanging="1459"/>
      </w:pPr>
      <w:r>
        <w:rPr>
          <w:rFonts w:hint="eastAsia"/>
        </w:rPr>
        <w:t>資料來源：各機關提供。</w:t>
      </w:r>
    </w:p>
    <w:p w:rsidR="00CE2AA0" w:rsidRDefault="00CE2AA0" w:rsidP="00640605">
      <w:pPr>
        <w:ind w:leftChars="0" w:left="1134" w:firstLineChars="0" w:firstLine="0"/>
        <w:rPr>
          <w:rFonts w:hAnsi="標楷體" w:cs="新細明體"/>
          <w:snapToGrid/>
          <w:color w:val="000000"/>
          <w:spacing w:val="-20"/>
          <w:kern w:val="0"/>
          <w:sz w:val="24"/>
          <w:szCs w:val="24"/>
        </w:rPr>
      </w:pPr>
      <w:r w:rsidRPr="007941E0">
        <w:rPr>
          <w:rFonts w:hint="eastAsia"/>
          <w:b/>
        </w:rPr>
        <w:t>表</w:t>
      </w:r>
      <w:r>
        <w:rPr>
          <w:rFonts w:hint="eastAsia"/>
          <w:b/>
        </w:rPr>
        <w:t>2</w:t>
      </w:r>
      <w:r w:rsidRPr="007941E0">
        <w:rPr>
          <w:rFonts w:hint="eastAsia"/>
          <w:b/>
        </w:rPr>
        <w:t xml:space="preserve">　</w:t>
      </w:r>
      <w:r>
        <w:rPr>
          <w:rFonts w:hint="eastAsia"/>
          <w:b/>
        </w:rPr>
        <w:t>111年及112年刑事案件發生情形</w:t>
      </w:r>
      <w:r w:rsidRPr="007941E0">
        <w:rPr>
          <w:rFonts w:hint="eastAsia"/>
          <w:b/>
          <w:lang w:eastAsia="zh-HK"/>
        </w:rPr>
        <w:t>表</w:t>
      </w:r>
      <w:r>
        <w:rPr>
          <w:rFonts w:hint="eastAsia"/>
          <w:b/>
        </w:rPr>
        <w:t xml:space="preserve"> </w:t>
      </w:r>
      <w:r>
        <w:rPr>
          <w:b/>
        </w:rPr>
        <w:t xml:space="preserve">       </w:t>
      </w:r>
      <w:r w:rsidRPr="00026629">
        <w:rPr>
          <w:rFonts w:hAnsi="標楷體" w:cs="新細明體" w:hint="eastAsia"/>
          <w:snapToGrid/>
          <w:color w:val="000000"/>
          <w:spacing w:val="-20"/>
          <w:kern w:val="0"/>
          <w:sz w:val="24"/>
          <w:szCs w:val="24"/>
        </w:rPr>
        <w:t>單位：件；%</w:t>
      </w:r>
    </w:p>
    <w:tbl>
      <w:tblPr>
        <w:tblW w:w="7418" w:type="dxa"/>
        <w:tblInd w:w="11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0"/>
        <w:gridCol w:w="1260"/>
        <w:gridCol w:w="908"/>
        <w:gridCol w:w="908"/>
        <w:gridCol w:w="1869"/>
        <w:gridCol w:w="1134"/>
        <w:gridCol w:w="1039"/>
      </w:tblGrid>
      <w:tr w:rsidR="00CE2AA0" w:rsidRPr="00097B7C" w:rsidTr="00640605">
        <w:trPr>
          <w:trHeight w:val="20"/>
          <w:tblHeader/>
        </w:trPr>
        <w:tc>
          <w:tcPr>
            <w:tcW w:w="1560" w:type="dxa"/>
            <w:gridSpan w:val="2"/>
            <w:vMerge w:val="restart"/>
            <w:shd w:val="clear" w:color="auto" w:fill="auto"/>
            <w:noWrap/>
            <w:vAlign w:val="center"/>
            <w:hideMark/>
          </w:tcPr>
          <w:p w:rsidR="00CE2AA0" w:rsidRPr="00097B7C" w:rsidRDefault="00CE2AA0" w:rsidP="00640605">
            <w:pPr>
              <w:pStyle w:val="142"/>
              <w:jc w:val="center"/>
              <w:rPr>
                <w:rFonts w:hAnsi="標楷體"/>
                <w:snapToGrid/>
                <w:szCs w:val="24"/>
              </w:rPr>
            </w:pPr>
            <w:r w:rsidRPr="00097B7C">
              <w:rPr>
                <w:rFonts w:hAnsi="標楷體" w:hint="eastAsia"/>
                <w:snapToGrid/>
                <w:szCs w:val="24"/>
              </w:rPr>
              <w:t>案類別</w:t>
            </w:r>
          </w:p>
        </w:tc>
        <w:tc>
          <w:tcPr>
            <w:tcW w:w="908" w:type="dxa"/>
            <w:vMerge w:val="restart"/>
            <w:shd w:val="clear" w:color="auto" w:fill="auto"/>
            <w:vAlign w:val="center"/>
            <w:hideMark/>
          </w:tcPr>
          <w:p w:rsidR="00CE2AA0" w:rsidRPr="00097B7C" w:rsidRDefault="00CE2AA0" w:rsidP="00640605">
            <w:pPr>
              <w:pStyle w:val="142"/>
              <w:jc w:val="center"/>
              <w:rPr>
                <w:rFonts w:hAnsi="標楷體"/>
                <w:bCs/>
                <w:snapToGrid/>
                <w:szCs w:val="24"/>
              </w:rPr>
            </w:pPr>
            <w:r w:rsidRPr="00097B7C">
              <w:rPr>
                <w:rFonts w:hAnsi="標楷體"/>
                <w:bCs/>
                <w:snapToGrid/>
                <w:szCs w:val="24"/>
              </w:rPr>
              <w:t>111</w:t>
            </w:r>
            <w:r w:rsidRPr="00097B7C">
              <w:rPr>
                <w:rFonts w:hAnsi="標楷體" w:hint="eastAsia"/>
                <w:bCs/>
                <w:snapToGrid/>
                <w:szCs w:val="24"/>
              </w:rPr>
              <w:t>年</w:t>
            </w:r>
          </w:p>
        </w:tc>
        <w:tc>
          <w:tcPr>
            <w:tcW w:w="908" w:type="dxa"/>
            <w:vMerge w:val="restart"/>
            <w:shd w:val="clear" w:color="auto" w:fill="auto"/>
            <w:vAlign w:val="center"/>
            <w:hideMark/>
          </w:tcPr>
          <w:p w:rsidR="00CE2AA0" w:rsidRPr="00097B7C" w:rsidRDefault="00CE2AA0" w:rsidP="00640605">
            <w:pPr>
              <w:pStyle w:val="142"/>
              <w:jc w:val="center"/>
              <w:rPr>
                <w:rFonts w:hAnsi="標楷體"/>
                <w:bCs/>
                <w:snapToGrid/>
                <w:szCs w:val="24"/>
              </w:rPr>
            </w:pPr>
            <w:r w:rsidRPr="00097B7C">
              <w:rPr>
                <w:rFonts w:hAnsi="標楷體"/>
                <w:bCs/>
                <w:snapToGrid/>
                <w:szCs w:val="24"/>
              </w:rPr>
              <w:t>112</w:t>
            </w:r>
            <w:r w:rsidRPr="00097B7C">
              <w:rPr>
                <w:rFonts w:hAnsi="標楷體" w:hint="eastAsia"/>
                <w:bCs/>
                <w:snapToGrid/>
                <w:szCs w:val="24"/>
              </w:rPr>
              <w:t>年</w:t>
            </w:r>
          </w:p>
        </w:tc>
        <w:tc>
          <w:tcPr>
            <w:tcW w:w="1869" w:type="dxa"/>
            <w:vMerge w:val="restart"/>
            <w:shd w:val="clear" w:color="auto" w:fill="auto"/>
            <w:vAlign w:val="center"/>
            <w:hideMark/>
          </w:tcPr>
          <w:p w:rsidR="00CE2AA0" w:rsidRPr="00097B7C" w:rsidRDefault="00CE2AA0" w:rsidP="00640605">
            <w:pPr>
              <w:pStyle w:val="142"/>
              <w:jc w:val="center"/>
              <w:rPr>
                <w:rFonts w:hAnsi="標楷體"/>
                <w:bCs/>
                <w:snapToGrid/>
                <w:szCs w:val="24"/>
              </w:rPr>
            </w:pPr>
            <w:r w:rsidRPr="00097B7C">
              <w:rPr>
                <w:rFonts w:hAnsi="標楷體" w:hint="eastAsia"/>
                <w:bCs/>
                <w:snapToGrid/>
                <w:szCs w:val="24"/>
              </w:rPr>
              <w:t>112年各案類別占刑案總數比率</w:t>
            </w:r>
          </w:p>
        </w:tc>
        <w:tc>
          <w:tcPr>
            <w:tcW w:w="2173" w:type="dxa"/>
            <w:gridSpan w:val="2"/>
            <w:shd w:val="clear" w:color="auto" w:fill="auto"/>
            <w:vAlign w:val="center"/>
            <w:hideMark/>
          </w:tcPr>
          <w:p w:rsidR="00CE2AA0" w:rsidRPr="00097B7C" w:rsidRDefault="00CE2AA0" w:rsidP="00640605">
            <w:pPr>
              <w:pStyle w:val="142"/>
              <w:jc w:val="center"/>
              <w:rPr>
                <w:rFonts w:hAnsi="標楷體"/>
                <w:bCs/>
                <w:snapToGrid/>
                <w:szCs w:val="24"/>
              </w:rPr>
            </w:pPr>
            <w:r w:rsidRPr="00097B7C">
              <w:rPr>
                <w:rFonts w:hAnsi="標楷體"/>
                <w:bCs/>
                <w:snapToGrid/>
                <w:szCs w:val="24"/>
              </w:rPr>
              <w:t>112</w:t>
            </w:r>
            <w:r w:rsidRPr="00097B7C">
              <w:rPr>
                <w:rFonts w:hAnsi="標楷體" w:hint="eastAsia"/>
                <w:bCs/>
                <w:snapToGrid/>
                <w:szCs w:val="24"/>
              </w:rPr>
              <w:t>年較</w:t>
            </w:r>
            <w:r w:rsidRPr="00097B7C">
              <w:rPr>
                <w:rFonts w:hAnsi="標楷體"/>
                <w:bCs/>
                <w:snapToGrid/>
                <w:szCs w:val="24"/>
              </w:rPr>
              <w:t>111</w:t>
            </w:r>
            <w:r w:rsidRPr="00097B7C">
              <w:rPr>
                <w:rFonts w:hAnsi="標楷體" w:hint="eastAsia"/>
                <w:bCs/>
                <w:snapToGrid/>
                <w:szCs w:val="24"/>
              </w:rPr>
              <w:t>年</w:t>
            </w:r>
          </w:p>
        </w:tc>
      </w:tr>
      <w:tr w:rsidR="00CE2AA0" w:rsidRPr="00097B7C" w:rsidTr="00640605">
        <w:trPr>
          <w:trHeight w:val="20"/>
          <w:tblHeader/>
        </w:trPr>
        <w:tc>
          <w:tcPr>
            <w:tcW w:w="1560" w:type="dxa"/>
            <w:gridSpan w:val="2"/>
            <w:vMerge/>
            <w:shd w:val="clear" w:color="auto" w:fill="auto"/>
            <w:vAlign w:val="center"/>
            <w:hideMark/>
          </w:tcPr>
          <w:p w:rsidR="00CE2AA0" w:rsidRPr="00097B7C" w:rsidRDefault="00CE2AA0" w:rsidP="00640605">
            <w:pPr>
              <w:pStyle w:val="142"/>
              <w:jc w:val="center"/>
              <w:rPr>
                <w:rFonts w:hAnsi="標楷體"/>
                <w:snapToGrid/>
              </w:rPr>
            </w:pPr>
          </w:p>
        </w:tc>
        <w:tc>
          <w:tcPr>
            <w:tcW w:w="908" w:type="dxa"/>
            <w:vMerge/>
            <w:shd w:val="clear" w:color="auto" w:fill="auto"/>
            <w:vAlign w:val="center"/>
            <w:hideMark/>
          </w:tcPr>
          <w:p w:rsidR="00CE2AA0" w:rsidRPr="00097B7C" w:rsidRDefault="00CE2AA0" w:rsidP="00640605">
            <w:pPr>
              <w:pStyle w:val="142"/>
              <w:jc w:val="center"/>
              <w:rPr>
                <w:rFonts w:hAnsi="標楷體"/>
                <w:bCs/>
                <w:snapToGrid/>
              </w:rPr>
            </w:pPr>
          </w:p>
        </w:tc>
        <w:tc>
          <w:tcPr>
            <w:tcW w:w="908" w:type="dxa"/>
            <w:vMerge/>
            <w:shd w:val="clear" w:color="auto" w:fill="auto"/>
            <w:vAlign w:val="center"/>
            <w:hideMark/>
          </w:tcPr>
          <w:p w:rsidR="00CE2AA0" w:rsidRPr="00097B7C" w:rsidRDefault="00CE2AA0" w:rsidP="00640605">
            <w:pPr>
              <w:pStyle w:val="142"/>
              <w:jc w:val="center"/>
              <w:rPr>
                <w:rFonts w:hAnsi="標楷體"/>
                <w:bCs/>
                <w:snapToGrid/>
              </w:rPr>
            </w:pPr>
          </w:p>
        </w:tc>
        <w:tc>
          <w:tcPr>
            <w:tcW w:w="1869" w:type="dxa"/>
            <w:vMerge/>
            <w:shd w:val="clear" w:color="auto" w:fill="auto"/>
            <w:vAlign w:val="center"/>
            <w:hideMark/>
          </w:tcPr>
          <w:p w:rsidR="00CE2AA0" w:rsidRPr="00097B7C" w:rsidRDefault="00CE2AA0" w:rsidP="00640605">
            <w:pPr>
              <w:pStyle w:val="142"/>
              <w:jc w:val="center"/>
              <w:rPr>
                <w:rFonts w:hAnsi="標楷體"/>
                <w:bCs/>
                <w:snapToGrid/>
              </w:rPr>
            </w:pPr>
          </w:p>
        </w:tc>
        <w:tc>
          <w:tcPr>
            <w:tcW w:w="1134" w:type="dxa"/>
            <w:shd w:val="clear" w:color="auto" w:fill="auto"/>
            <w:vAlign w:val="center"/>
            <w:hideMark/>
          </w:tcPr>
          <w:p w:rsidR="00CE2AA0" w:rsidRPr="00097B7C" w:rsidRDefault="00CE2AA0" w:rsidP="00640605">
            <w:pPr>
              <w:pStyle w:val="142"/>
              <w:jc w:val="center"/>
              <w:rPr>
                <w:rFonts w:hAnsi="標楷體"/>
                <w:bCs/>
                <w:snapToGrid/>
              </w:rPr>
            </w:pPr>
            <w:r w:rsidRPr="00097B7C">
              <w:rPr>
                <w:rFonts w:hAnsi="標楷體" w:hint="eastAsia"/>
                <w:bCs/>
                <w:snapToGrid/>
              </w:rPr>
              <w:t>增減數</w:t>
            </w:r>
          </w:p>
        </w:tc>
        <w:tc>
          <w:tcPr>
            <w:tcW w:w="1035" w:type="dxa"/>
            <w:shd w:val="clear" w:color="auto" w:fill="auto"/>
            <w:vAlign w:val="center"/>
            <w:hideMark/>
          </w:tcPr>
          <w:p w:rsidR="00CE2AA0" w:rsidRPr="00097B7C" w:rsidRDefault="00CE2AA0" w:rsidP="00640605">
            <w:pPr>
              <w:pStyle w:val="142"/>
              <w:jc w:val="center"/>
              <w:rPr>
                <w:rFonts w:hAnsi="標楷體"/>
                <w:bCs/>
                <w:snapToGrid/>
              </w:rPr>
            </w:pPr>
            <w:r w:rsidRPr="00097B7C">
              <w:rPr>
                <w:rFonts w:hAnsi="標楷體" w:hint="eastAsia"/>
                <w:bCs/>
                <w:snapToGrid/>
              </w:rPr>
              <w:t>增減率</w:t>
            </w:r>
          </w:p>
        </w:tc>
      </w:tr>
      <w:tr w:rsidR="00CE2AA0" w:rsidRPr="00097B7C" w:rsidTr="00640605">
        <w:trPr>
          <w:trHeight w:val="20"/>
        </w:trPr>
        <w:tc>
          <w:tcPr>
            <w:tcW w:w="1560" w:type="dxa"/>
            <w:gridSpan w:val="2"/>
            <w:shd w:val="clear" w:color="auto" w:fill="auto"/>
            <w:noWrap/>
            <w:vAlign w:val="center"/>
            <w:hideMark/>
          </w:tcPr>
          <w:p w:rsidR="00CE2AA0" w:rsidRPr="00097B7C" w:rsidRDefault="00CE2AA0" w:rsidP="00640605">
            <w:pPr>
              <w:pStyle w:val="142"/>
              <w:rPr>
                <w:rFonts w:hAnsi="標楷體"/>
                <w:bCs/>
                <w:snapToGrid/>
              </w:rPr>
            </w:pPr>
            <w:r w:rsidRPr="00097B7C">
              <w:rPr>
                <w:rFonts w:hAnsi="標楷體" w:hint="eastAsia"/>
                <w:bCs/>
                <w:snapToGrid/>
              </w:rPr>
              <w:t>刑案總計</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265,518</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275,268</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100.00</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9,750</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3.67</w:t>
            </w:r>
          </w:p>
        </w:tc>
      </w:tr>
      <w:tr w:rsidR="00CE2AA0" w:rsidRPr="00097B7C" w:rsidTr="00640605">
        <w:trPr>
          <w:trHeight w:val="20"/>
        </w:trPr>
        <w:tc>
          <w:tcPr>
            <w:tcW w:w="300" w:type="dxa"/>
            <w:vMerge w:val="restart"/>
            <w:shd w:val="clear" w:color="auto" w:fill="auto"/>
            <w:noWrap/>
            <w:vAlign w:val="center"/>
            <w:hideMark/>
          </w:tcPr>
          <w:p w:rsidR="00CE2AA0" w:rsidRPr="00097B7C" w:rsidRDefault="00CE2AA0" w:rsidP="00640605">
            <w:pPr>
              <w:pStyle w:val="142"/>
              <w:rPr>
                <w:rFonts w:hAnsi="標楷體"/>
                <w:bCs/>
                <w:snapToGrid/>
              </w:rPr>
            </w:pPr>
            <w:r w:rsidRPr="00097B7C">
              <w:rPr>
                <w:rFonts w:hAnsi="標楷體" w:hint="eastAsia"/>
                <w:bCs/>
                <w:snapToGrid/>
              </w:rPr>
              <w:t>竊盜</w:t>
            </w:r>
          </w:p>
        </w:tc>
        <w:tc>
          <w:tcPr>
            <w:tcW w:w="1260" w:type="dxa"/>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小計</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37,670</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38,339</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13.93</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669</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1.78</w:t>
            </w:r>
          </w:p>
        </w:tc>
      </w:tr>
      <w:tr w:rsidR="00CE2AA0" w:rsidRPr="00097B7C" w:rsidTr="00640605">
        <w:trPr>
          <w:trHeight w:val="20"/>
        </w:trPr>
        <w:tc>
          <w:tcPr>
            <w:tcW w:w="300" w:type="dxa"/>
            <w:vMerge/>
            <w:shd w:val="clear" w:color="auto" w:fill="auto"/>
            <w:vAlign w:val="center"/>
            <w:hideMark/>
          </w:tcPr>
          <w:p w:rsidR="00CE2AA0" w:rsidRPr="00097B7C" w:rsidRDefault="00CE2AA0" w:rsidP="00640605">
            <w:pPr>
              <w:pStyle w:val="142"/>
              <w:rPr>
                <w:rFonts w:hAnsi="標楷體"/>
                <w:bCs/>
                <w:snapToGrid/>
              </w:rPr>
            </w:pPr>
          </w:p>
        </w:tc>
        <w:tc>
          <w:tcPr>
            <w:tcW w:w="1260" w:type="dxa"/>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重大竊盜</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28</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19</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0.01</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-9</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-32.14</w:t>
            </w:r>
          </w:p>
        </w:tc>
      </w:tr>
      <w:tr w:rsidR="00CE2AA0" w:rsidRPr="00097B7C" w:rsidTr="00640605">
        <w:trPr>
          <w:trHeight w:val="20"/>
        </w:trPr>
        <w:tc>
          <w:tcPr>
            <w:tcW w:w="300" w:type="dxa"/>
            <w:vMerge/>
            <w:shd w:val="clear" w:color="auto" w:fill="auto"/>
            <w:vAlign w:val="center"/>
            <w:hideMark/>
          </w:tcPr>
          <w:p w:rsidR="00CE2AA0" w:rsidRPr="00097B7C" w:rsidRDefault="00CE2AA0" w:rsidP="00640605">
            <w:pPr>
              <w:pStyle w:val="142"/>
              <w:rPr>
                <w:rFonts w:hAnsi="標楷體"/>
                <w:bCs/>
                <w:snapToGrid/>
              </w:rPr>
            </w:pPr>
          </w:p>
        </w:tc>
        <w:tc>
          <w:tcPr>
            <w:tcW w:w="1260" w:type="dxa"/>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普通竊盜</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33,013</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33,465</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12.16</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452</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1.37</w:t>
            </w:r>
          </w:p>
        </w:tc>
      </w:tr>
      <w:tr w:rsidR="00CE2AA0" w:rsidRPr="00097B7C" w:rsidTr="00640605">
        <w:trPr>
          <w:trHeight w:val="20"/>
        </w:trPr>
        <w:tc>
          <w:tcPr>
            <w:tcW w:w="300" w:type="dxa"/>
            <w:vMerge/>
            <w:shd w:val="clear" w:color="auto" w:fill="auto"/>
            <w:vAlign w:val="center"/>
            <w:hideMark/>
          </w:tcPr>
          <w:p w:rsidR="00CE2AA0" w:rsidRPr="00097B7C" w:rsidRDefault="00CE2AA0" w:rsidP="00640605">
            <w:pPr>
              <w:pStyle w:val="142"/>
              <w:rPr>
                <w:rFonts w:hAnsi="標楷體"/>
                <w:bCs/>
                <w:snapToGrid/>
              </w:rPr>
            </w:pPr>
          </w:p>
        </w:tc>
        <w:tc>
          <w:tcPr>
            <w:tcW w:w="1260" w:type="dxa"/>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汽車竊盜</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676</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803</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0.29</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127</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18.79</w:t>
            </w:r>
          </w:p>
        </w:tc>
      </w:tr>
      <w:tr w:rsidR="00CE2AA0" w:rsidRPr="00097B7C" w:rsidTr="00640605">
        <w:trPr>
          <w:trHeight w:val="20"/>
        </w:trPr>
        <w:tc>
          <w:tcPr>
            <w:tcW w:w="300" w:type="dxa"/>
            <w:vMerge/>
            <w:shd w:val="clear" w:color="auto" w:fill="auto"/>
            <w:vAlign w:val="center"/>
            <w:hideMark/>
          </w:tcPr>
          <w:p w:rsidR="00CE2AA0" w:rsidRPr="00097B7C" w:rsidRDefault="00CE2AA0" w:rsidP="00640605">
            <w:pPr>
              <w:pStyle w:val="142"/>
              <w:rPr>
                <w:rFonts w:hAnsi="標楷體"/>
                <w:bCs/>
                <w:snapToGrid/>
              </w:rPr>
            </w:pPr>
          </w:p>
        </w:tc>
        <w:tc>
          <w:tcPr>
            <w:tcW w:w="1260" w:type="dxa"/>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機車竊盜</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3,953</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4,052</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1.47</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99</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2.50</w:t>
            </w:r>
          </w:p>
        </w:tc>
      </w:tr>
      <w:tr w:rsidR="00CE2AA0" w:rsidRPr="00097B7C" w:rsidTr="00640605">
        <w:trPr>
          <w:trHeight w:val="20"/>
        </w:trPr>
        <w:tc>
          <w:tcPr>
            <w:tcW w:w="1560" w:type="dxa"/>
            <w:gridSpan w:val="2"/>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詐欺</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29,509</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37,823</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13.74</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8,314</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28.17</w:t>
            </w:r>
          </w:p>
        </w:tc>
      </w:tr>
      <w:tr w:rsidR="00CE2AA0" w:rsidRPr="00097B7C" w:rsidTr="00640605">
        <w:trPr>
          <w:trHeight w:val="20"/>
        </w:trPr>
        <w:tc>
          <w:tcPr>
            <w:tcW w:w="1560" w:type="dxa"/>
            <w:gridSpan w:val="2"/>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公共危險</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41,331</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40,039</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14.55</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-1,292</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-3.13</w:t>
            </w:r>
          </w:p>
        </w:tc>
      </w:tr>
      <w:tr w:rsidR="00CE2AA0" w:rsidRPr="00097B7C" w:rsidTr="00640605">
        <w:trPr>
          <w:trHeight w:val="20"/>
        </w:trPr>
        <w:tc>
          <w:tcPr>
            <w:tcW w:w="1560" w:type="dxa"/>
            <w:gridSpan w:val="2"/>
            <w:shd w:val="clear" w:color="auto" w:fill="auto"/>
            <w:noWrap/>
            <w:vAlign w:val="center"/>
            <w:hideMark/>
          </w:tcPr>
          <w:p w:rsidR="00CE2AA0" w:rsidRPr="00097B7C" w:rsidRDefault="00CE2AA0" w:rsidP="00640605">
            <w:pPr>
              <w:pStyle w:val="142"/>
              <w:rPr>
                <w:rFonts w:hAnsi="標楷體"/>
                <w:bCs/>
                <w:snapToGrid/>
                <w:sz w:val="25"/>
                <w:szCs w:val="25"/>
              </w:rPr>
            </w:pPr>
            <w:r w:rsidRPr="00097B7C">
              <w:rPr>
                <w:rFonts w:hAnsi="標楷體" w:hint="eastAsia"/>
                <w:bCs/>
                <w:snapToGrid/>
                <w:sz w:val="25"/>
                <w:szCs w:val="25"/>
              </w:rPr>
              <w:t xml:space="preserve">　酒後駕車</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35,127</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33,466</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12.16</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-1,661</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-4.73</w:t>
            </w:r>
          </w:p>
        </w:tc>
      </w:tr>
      <w:tr w:rsidR="00CE2AA0" w:rsidRPr="00097B7C" w:rsidTr="00640605">
        <w:trPr>
          <w:trHeight w:val="20"/>
        </w:trPr>
        <w:tc>
          <w:tcPr>
            <w:tcW w:w="1560" w:type="dxa"/>
            <w:gridSpan w:val="2"/>
            <w:shd w:val="clear" w:color="auto" w:fill="auto"/>
            <w:noWrap/>
            <w:vAlign w:val="center"/>
            <w:hideMark/>
          </w:tcPr>
          <w:p w:rsidR="00CE2AA0" w:rsidRPr="00097B7C" w:rsidRDefault="00CE2AA0" w:rsidP="00640605">
            <w:pPr>
              <w:pStyle w:val="142"/>
              <w:rPr>
                <w:rFonts w:hAnsi="標楷體"/>
                <w:bCs/>
                <w:snapToGrid/>
                <w:sz w:val="26"/>
                <w:szCs w:val="26"/>
              </w:rPr>
            </w:pPr>
            <w:r w:rsidRPr="00097B7C">
              <w:rPr>
                <w:rFonts w:hAnsi="標楷體" w:hint="eastAsia"/>
                <w:bCs/>
                <w:snapToGrid/>
                <w:sz w:val="26"/>
                <w:szCs w:val="26"/>
              </w:rPr>
              <w:t>毒品</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38,088</w:t>
            </w:r>
          </w:p>
        </w:tc>
        <w:tc>
          <w:tcPr>
            <w:tcW w:w="908"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36,435</w:t>
            </w:r>
          </w:p>
        </w:tc>
        <w:tc>
          <w:tcPr>
            <w:tcW w:w="1869"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13.24</w:t>
            </w:r>
          </w:p>
        </w:tc>
        <w:tc>
          <w:tcPr>
            <w:tcW w:w="1134"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-1,653</w:t>
            </w:r>
          </w:p>
        </w:tc>
        <w:tc>
          <w:tcPr>
            <w:tcW w:w="1035" w:type="dxa"/>
            <w:shd w:val="clear" w:color="auto" w:fill="auto"/>
            <w:noWrap/>
            <w:vAlign w:val="center"/>
            <w:hideMark/>
          </w:tcPr>
          <w:p w:rsidR="00CE2AA0" w:rsidRPr="00097B7C" w:rsidRDefault="00CE2AA0" w:rsidP="00640605">
            <w:pPr>
              <w:pStyle w:val="142"/>
              <w:jc w:val="right"/>
              <w:rPr>
                <w:rFonts w:hAnsi="標楷體"/>
                <w:bCs/>
                <w:snapToGrid/>
              </w:rPr>
            </w:pPr>
            <w:r w:rsidRPr="00097B7C">
              <w:rPr>
                <w:rFonts w:hAnsi="標楷體"/>
                <w:bCs/>
                <w:snapToGrid/>
              </w:rPr>
              <w:t>-4.34</w:t>
            </w:r>
          </w:p>
        </w:tc>
      </w:tr>
    </w:tbl>
    <w:p w:rsidR="00CE2AA0" w:rsidRDefault="00CE2AA0" w:rsidP="00640605">
      <w:pPr>
        <w:pStyle w:val="142"/>
        <w:ind w:leftChars="401" w:left="2299" w:hangingChars="478" w:hanging="1163"/>
      </w:pPr>
      <w:r>
        <w:rPr>
          <w:rFonts w:hint="eastAsia"/>
        </w:rPr>
        <w:t>說    明：本表僅列示112年度占比較高之竊盜、詐欺、酒後駕車及毒品案。</w:t>
      </w:r>
    </w:p>
    <w:p w:rsidR="00CE2AA0" w:rsidRDefault="00CE2AA0" w:rsidP="00640605">
      <w:pPr>
        <w:pStyle w:val="142"/>
        <w:ind w:leftChars="400" w:left="1133"/>
      </w:pPr>
      <w:r>
        <w:rPr>
          <w:rFonts w:hint="eastAsia"/>
        </w:rPr>
        <w:t>資料來源：警政署提供。</w:t>
      </w:r>
    </w:p>
    <w:p w:rsidR="00CE2AA0" w:rsidRPr="001071D5" w:rsidRDefault="00CE2AA0" w:rsidP="00640605">
      <w:pPr>
        <w:pStyle w:val="a5"/>
        <w:ind w:left="849" w:hanging="283"/>
        <w:rPr>
          <w:b/>
        </w:rPr>
      </w:pPr>
      <w:r w:rsidRPr="001071D5">
        <w:rPr>
          <w:rFonts w:hint="eastAsia"/>
          <w:b/>
        </w:rPr>
        <w:t>(一)112年全般、普通及汽機車竊盜案均較111年增加，且汽機車竊盜案破獲率</w:t>
      </w:r>
      <w:r>
        <w:rPr>
          <w:rFonts w:hint="eastAsia"/>
          <w:b/>
        </w:rPr>
        <w:t>下降</w:t>
      </w:r>
      <w:r w:rsidRPr="001071D5">
        <w:rPr>
          <w:rFonts w:hint="eastAsia"/>
          <w:b/>
        </w:rPr>
        <w:t>，允宜加強查緝</w:t>
      </w:r>
    </w:p>
    <w:p w:rsidR="00CE2AA0" w:rsidRDefault="00CE2AA0" w:rsidP="00640605">
      <w:pPr>
        <w:pStyle w:val="21"/>
        <w:ind w:left="850" w:firstLine="566"/>
      </w:pPr>
      <w:r w:rsidRPr="009502BF">
        <w:rPr>
          <w:rFonts w:hint="eastAsia"/>
        </w:rPr>
        <w:t>112年</w:t>
      </w:r>
      <w:r>
        <w:rPr>
          <w:rFonts w:hint="eastAsia"/>
        </w:rPr>
        <w:t>全般</w:t>
      </w:r>
      <w:r w:rsidRPr="009502BF">
        <w:rPr>
          <w:rFonts w:hint="eastAsia"/>
        </w:rPr>
        <w:t>竊盜案發生</w:t>
      </w:r>
      <w:r>
        <w:rPr>
          <w:rFonts w:hint="eastAsia"/>
        </w:rPr>
        <w:t>件數為</w:t>
      </w:r>
      <w:r w:rsidRPr="009502BF">
        <w:rPr>
          <w:rFonts w:hint="eastAsia"/>
        </w:rPr>
        <w:t>3</w:t>
      </w:r>
      <w:r>
        <w:rPr>
          <w:rFonts w:hint="eastAsia"/>
        </w:rPr>
        <w:t>萬</w:t>
      </w:r>
      <w:r w:rsidRPr="009502BF">
        <w:rPr>
          <w:rFonts w:hint="eastAsia"/>
        </w:rPr>
        <w:t>8,</w:t>
      </w:r>
      <w:r>
        <w:rPr>
          <w:rFonts w:hint="eastAsia"/>
        </w:rPr>
        <w:t>339</w:t>
      </w:r>
      <w:r w:rsidRPr="009502BF">
        <w:rPr>
          <w:rFonts w:hint="eastAsia"/>
        </w:rPr>
        <w:t>件，較111年3</w:t>
      </w:r>
      <w:r>
        <w:rPr>
          <w:rFonts w:hint="eastAsia"/>
        </w:rPr>
        <w:t>萬</w:t>
      </w:r>
      <w:r w:rsidRPr="009502BF">
        <w:rPr>
          <w:rFonts w:hint="eastAsia"/>
        </w:rPr>
        <w:t>7,670件增加</w:t>
      </w:r>
      <w:r>
        <w:rPr>
          <w:rFonts w:hint="eastAsia"/>
        </w:rPr>
        <w:t>669</w:t>
      </w:r>
      <w:r w:rsidRPr="009502BF">
        <w:rPr>
          <w:rFonts w:hint="eastAsia"/>
        </w:rPr>
        <w:t>件（</w:t>
      </w:r>
      <w:r>
        <w:rPr>
          <w:rFonts w:hint="eastAsia"/>
        </w:rPr>
        <w:t>增幅1.78%</w:t>
      </w:r>
      <w:r w:rsidRPr="009502BF">
        <w:rPr>
          <w:rFonts w:hint="eastAsia"/>
        </w:rPr>
        <w:t>）；其中</w:t>
      </w:r>
      <w:r>
        <w:rPr>
          <w:rFonts w:hint="eastAsia"/>
        </w:rPr>
        <w:t>主要係</w:t>
      </w:r>
      <w:r w:rsidRPr="009502BF">
        <w:rPr>
          <w:rFonts w:hint="eastAsia"/>
        </w:rPr>
        <w:t>普通竊盜</w:t>
      </w:r>
      <w:r>
        <w:rPr>
          <w:rFonts w:hint="eastAsia"/>
        </w:rPr>
        <w:t>案</w:t>
      </w:r>
      <w:r w:rsidRPr="009502BF">
        <w:rPr>
          <w:rFonts w:hint="eastAsia"/>
        </w:rPr>
        <w:t>3</w:t>
      </w:r>
      <w:r>
        <w:rPr>
          <w:rFonts w:hint="eastAsia"/>
        </w:rPr>
        <w:t>萬</w:t>
      </w:r>
      <w:r w:rsidRPr="009502BF">
        <w:rPr>
          <w:rFonts w:hint="eastAsia"/>
        </w:rPr>
        <w:t>3,46</w:t>
      </w:r>
      <w:r>
        <w:rPr>
          <w:rFonts w:hint="eastAsia"/>
        </w:rPr>
        <w:t>5</w:t>
      </w:r>
      <w:r w:rsidRPr="009502BF">
        <w:rPr>
          <w:rFonts w:hint="eastAsia"/>
        </w:rPr>
        <w:t>件，較111年3</w:t>
      </w:r>
      <w:r>
        <w:rPr>
          <w:rFonts w:hint="eastAsia"/>
        </w:rPr>
        <w:t>萬</w:t>
      </w:r>
      <w:r w:rsidRPr="009502BF">
        <w:rPr>
          <w:rFonts w:hint="eastAsia"/>
        </w:rPr>
        <w:t>3,013件增加45</w:t>
      </w:r>
      <w:r>
        <w:rPr>
          <w:rFonts w:hint="eastAsia"/>
        </w:rPr>
        <w:t>2</w:t>
      </w:r>
      <w:r w:rsidRPr="009502BF">
        <w:rPr>
          <w:rFonts w:hint="eastAsia"/>
        </w:rPr>
        <w:t>件（</w:t>
      </w:r>
      <w:r>
        <w:rPr>
          <w:rFonts w:hint="eastAsia"/>
        </w:rPr>
        <w:t>增幅</w:t>
      </w:r>
      <w:r w:rsidRPr="009502BF">
        <w:rPr>
          <w:rFonts w:hint="eastAsia"/>
        </w:rPr>
        <w:t>1.3</w:t>
      </w:r>
      <w:r>
        <w:rPr>
          <w:rFonts w:hint="eastAsia"/>
        </w:rPr>
        <w:t>7%</w:t>
      </w:r>
      <w:r w:rsidRPr="009502BF">
        <w:rPr>
          <w:rFonts w:hint="eastAsia"/>
        </w:rPr>
        <w:t>）</w:t>
      </w:r>
      <w:r>
        <w:rPr>
          <w:rFonts w:hint="eastAsia"/>
        </w:rPr>
        <w:t>；另汽車及機車竊盜案分別為803件及4</w:t>
      </w:r>
      <w:r>
        <w:t>,052</w:t>
      </w:r>
      <w:r>
        <w:rPr>
          <w:rFonts w:hint="eastAsia"/>
        </w:rPr>
        <w:t>件，分別較111年676件及3</w:t>
      </w:r>
      <w:r>
        <w:t>,953</w:t>
      </w:r>
      <w:r>
        <w:rPr>
          <w:rFonts w:hint="eastAsia"/>
        </w:rPr>
        <w:t>件增加127件(增幅18.79%)及99件(增幅2.50%)(</w:t>
      </w:r>
      <w:r w:rsidRPr="00B615C5">
        <w:rPr>
          <w:rFonts w:hint="eastAsia"/>
        </w:rPr>
        <w:t>詳表2</w:t>
      </w:r>
      <w:r>
        <w:rPr>
          <w:rFonts w:hint="eastAsia"/>
        </w:rPr>
        <w:t>)</w:t>
      </w:r>
      <w:r w:rsidRPr="009502BF">
        <w:rPr>
          <w:rFonts w:hint="eastAsia"/>
        </w:rPr>
        <w:t>。</w:t>
      </w:r>
    </w:p>
    <w:p w:rsidR="00CE2AA0" w:rsidRPr="00636353" w:rsidRDefault="00CE2AA0" w:rsidP="00640605">
      <w:pPr>
        <w:pStyle w:val="21"/>
        <w:ind w:left="850" w:firstLine="566"/>
      </w:pPr>
      <w:r w:rsidRPr="00636353">
        <w:rPr>
          <w:rFonts w:hint="eastAsia"/>
        </w:rPr>
        <w:t>據警政署表示，全般竊盜案及普通竊盜案112年增加</w:t>
      </w:r>
      <w:r w:rsidR="00A562A5">
        <w:rPr>
          <w:rFonts w:hint="eastAsia"/>
        </w:rPr>
        <w:t>之</w:t>
      </w:r>
      <w:r w:rsidRPr="00636353">
        <w:rPr>
          <w:rFonts w:hint="eastAsia"/>
        </w:rPr>
        <w:t>原因，主要係110年失業人口</w:t>
      </w:r>
      <w:r w:rsidR="00A562A5">
        <w:rPr>
          <w:rFonts w:hint="eastAsia"/>
        </w:rPr>
        <w:t>達</w:t>
      </w:r>
      <w:r w:rsidRPr="00636353">
        <w:rPr>
          <w:rFonts w:hint="eastAsia"/>
        </w:rPr>
        <w:t>47</w:t>
      </w:r>
      <w:r>
        <w:rPr>
          <w:rFonts w:hint="eastAsia"/>
        </w:rPr>
        <w:t>萬</w:t>
      </w:r>
      <w:r w:rsidRPr="00636353">
        <w:rPr>
          <w:rFonts w:hint="eastAsia"/>
        </w:rPr>
        <w:t>1千人及失業率3.95%</w:t>
      </w:r>
      <w:r w:rsidR="00A562A5">
        <w:rPr>
          <w:rFonts w:hint="eastAsia"/>
        </w:rPr>
        <w:t>，攀升至</w:t>
      </w:r>
      <w:r w:rsidRPr="00636353">
        <w:rPr>
          <w:rFonts w:hint="eastAsia"/>
        </w:rPr>
        <w:t>近</w:t>
      </w:r>
      <w:r>
        <w:rPr>
          <w:rFonts w:hint="eastAsia"/>
        </w:rPr>
        <w:t>9</w:t>
      </w:r>
      <w:r w:rsidRPr="00636353">
        <w:rPr>
          <w:rFonts w:hint="eastAsia"/>
        </w:rPr>
        <w:t>年</w:t>
      </w:r>
      <w:r>
        <w:rPr>
          <w:rFonts w:hint="eastAsia"/>
        </w:rPr>
        <w:t>(104至112年)</w:t>
      </w:r>
      <w:r w:rsidRPr="00636353">
        <w:rPr>
          <w:rFonts w:hint="eastAsia"/>
        </w:rPr>
        <w:t>最高</w:t>
      </w:r>
      <w:r w:rsidR="00A562A5">
        <w:rPr>
          <w:rFonts w:hint="eastAsia"/>
        </w:rPr>
        <w:t>點</w:t>
      </w:r>
      <w:r w:rsidRPr="00636353">
        <w:rPr>
          <w:rFonts w:hint="eastAsia"/>
        </w:rPr>
        <w:t>，致111年竊盜案件發生數3萬7,670件較110年3萬5,067件增加2,603件（增幅7.42%），在遞延效應作用下，112年發生數仍持續增加；至於汽機車竊盜案增加原因，係由於111年中</w:t>
      </w:r>
      <w:r w:rsidRPr="003D21FB">
        <w:rPr>
          <w:rFonts w:hint="eastAsia"/>
          <w:snapToGrid/>
        </w:rPr>
        <w:t>嚴重特殊傳染性肺炎疫情</w:t>
      </w:r>
      <w:r w:rsidRPr="00394B9D">
        <w:t>(</w:t>
      </w:r>
      <w:r>
        <w:rPr>
          <w:rFonts w:hint="eastAsia"/>
        </w:rPr>
        <w:t>以</w:t>
      </w:r>
      <w:r w:rsidRPr="00394B9D">
        <w:rPr>
          <w:rFonts w:hint="eastAsia"/>
        </w:rPr>
        <w:t>下</w:t>
      </w:r>
      <w:r>
        <w:rPr>
          <w:rFonts w:hint="eastAsia"/>
        </w:rPr>
        <w:t>簡</w:t>
      </w:r>
      <w:r w:rsidRPr="00394B9D">
        <w:rPr>
          <w:rFonts w:hint="eastAsia"/>
        </w:rPr>
        <w:lastRenderedPageBreak/>
        <w:t>稱</w:t>
      </w:r>
      <w:r w:rsidRPr="00394B9D">
        <w:t>COVID-19</w:t>
      </w:r>
      <w:r>
        <w:rPr>
          <w:rFonts w:hint="eastAsia"/>
        </w:rPr>
        <w:t>疫情</w:t>
      </w:r>
      <w:r w:rsidRPr="00394B9D">
        <w:t>)</w:t>
      </w:r>
      <w:r>
        <w:rPr>
          <w:rFonts w:hint="eastAsia"/>
        </w:rPr>
        <w:t>趨緩</w:t>
      </w:r>
      <w:r w:rsidRPr="00636353">
        <w:rPr>
          <w:rFonts w:hint="eastAsia"/>
        </w:rPr>
        <w:t>，尤以同年10月開放邊境，旅遊人數帶動自用交通工具需求增加</w:t>
      </w:r>
      <w:r>
        <w:rPr>
          <w:rFonts w:hint="eastAsia"/>
        </w:rPr>
        <w:t>所致</w:t>
      </w:r>
      <w:r w:rsidRPr="00636353">
        <w:rPr>
          <w:rFonts w:hint="eastAsia"/>
        </w:rPr>
        <w:t>。而112年汽機車竊盜案之偷竊動機，據該署統計，主要係作為旅遊工具(</w:t>
      </w:r>
      <w:r>
        <w:rPr>
          <w:rFonts w:hint="eastAsia"/>
        </w:rPr>
        <w:t>占全數偷竊動機之</w:t>
      </w:r>
      <w:r w:rsidRPr="00636353">
        <w:rPr>
          <w:rFonts w:hint="eastAsia"/>
        </w:rPr>
        <w:t>48.13%)，其次為純粹偷竊自用(</w:t>
      </w:r>
      <w:r>
        <w:rPr>
          <w:rFonts w:hint="eastAsia"/>
        </w:rPr>
        <w:t>占</w:t>
      </w:r>
      <w:r w:rsidRPr="00636353">
        <w:rPr>
          <w:rFonts w:hint="eastAsia"/>
        </w:rPr>
        <w:t>41.03%)；至於犯罪手法部分，主要係乘車主鑰匙未取下而行竊(</w:t>
      </w:r>
      <w:r>
        <w:rPr>
          <w:rFonts w:hint="eastAsia"/>
        </w:rPr>
        <w:t>占所有犯罪手法之</w:t>
      </w:r>
      <w:r w:rsidRPr="00636353">
        <w:rPr>
          <w:rFonts w:hint="eastAsia"/>
        </w:rPr>
        <w:t>52.91%)，其次為自備萬能鑰匙者(</w:t>
      </w:r>
      <w:r>
        <w:rPr>
          <w:rFonts w:hint="eastAsia"/>
        </w:rPr>
        <w:t>占</w:t>
      </w:r>
      <w:r w:rsidRPr="00636353">
        <w:rPr>
          <w:rFonts w:hint="eastAsia"/>
        </w:rPr>
        <w:t>29.45%)。基此，允宜督請各警察機關針對上開偷竊動機及犯罪手法，加強對民眾之防竊宣導，並切實掌握轄內竊盜型態及動向，以防堵竊盜行為之發生。</w:t>
      </w:r>
    </w:p>
    <w:p w:rsidR="00CE2AA0" w:rsidRPr="00EB0BBE" w:rsidRDefault="00CE2AA0" w:rsidP="00640605">
      <w:pPr>
        <w:pStyle w:val="21"/>
        <w:ind w:left="850" w:firstLine="566"/>
      </w:pPr>
      <w:r w:rsidRPr="00EB0BBE">
        <w:rPr>
          <w:rFonts w:hint="eastAsia"/>
        </w:rPr>
        <w:t>另就全般竊盜案之破獲率觀察，112年為98.34%，較111年97.17%增加1.17個百分點，其中重大竊盜案及普通竊盜案之破獲率均有提升，惟汽車及機車竊盜破獲率分別為96.26%及99.95%，分別較111年100.44%及101.87%</w:t>
      </w:r>
      <w:r w:rsidRPr="00EB0BBE">
        <w:rPr>
          <w:rStyle w:val="af5"/>
        </w:rPr>
        <w:footnoteReference w:id="2"/>
      </w:r>
      <w:r w:rsidRPr="00EB0BBE">
        <w:rPr>
          <w:rFonts w:hint="eastAsia"/>
        </w:rPr>
        <w:t>減少4.18及1.92個百分點(詳表</w:t>
      </w:r>
      <w:r>
        <w:rPr>
          <w:rFonts w:hint="eastAsia"/>
        </w:rPr>
        <w:t>3</w:t>
      </w:r>
      <w:r w:rsidRPr="00EB0BBE">
        <w:rPr>
          <w:rFonts w:hint="eastAsia"/>
        </w:rPr>
        <w:t>)。針對上開破獲率下降情形，警政署表示將持續推動「警察機關強化掃蕩汽機車及自行車竊盜犯罪計畫」，以提高相關竊盜案件破獲率。基於竊盜案之發生係屬民眾切身關心之犯罪問題，警政機關允宜加強巡邏盤查，並積極查緝掃蕩上開竊盜犯罪情事，俾破獲相關竊盜案件以維護民眾財產安全。</w:t>
      </w:r>
    </w:p>
    <w:p w:rsidR="00CE2AA0" w:rsidRDefault="00CE2AA0" w:rsidP="00640605">
      <w:pPr>
        <w:ind w:leftChars="300" w:left="850" w:firstLineChars="0" w:firstLine="0"/>
        <w:rPr>
          <w:rFonts w:hAnsi="標楷體" w:cs="新細明體"/>
          <w:snapToGrid/>
          <w:color w:val="000000"/>
          <w:spacing w:val="-20"/>
          <w:kern w:val="0"/>
          <w:sz w:val="24"/>
          <w:szCs w:val="24"/>
        </w:rPr>
      </w:pPr>
      <w:r w:rsidRPr="007941E0">
        <w:rPr>
          <w:rFonts w:hint="eastAsia"/>
          <w:b/>
        </w:rPr>
        <w:t>表</w:t>
      </w:r>
      <w:r>
        <w:rPr>
          <w:rFonts w:hint="eastAsia"/>
          <w:b/>
        </w:rPr>
        <w:t>3</w:t>
      </w:r>
      <w:r w:rsidRPr="007941E0">
        <w:rPr>
          <w:rFonts w:hint="eastAsia"/>
          <w:b/>
        </w:rPr>
        <w:t xml:space="preserve">　</w:t>
      </w:r>
      <w:r>
        <w:rPr>
          <w:rFonts w:hint="eastAsia"/>
          <w:b/>
        </w:rPr>
        <w:t xml:space="preserve">111年及112年刑事案件破獲率說明表 </w:t>
      </w:r>
      <w:r>
        <w:rPr>
          <w:b/>
        </w:rPr>
        <w:t xml:space="preserve">   </w:t>
      </w:r>
      <w:r>
        <w:rPr>
          <w:rFonts w:hint="eastAsia"/>
          <w:b/>
        </w:rPr>
        <w:t xml:space="preserve"> </w:t>
      </w:r>
      <w:r w:rsidRPr="00C542E9">
        <w:rPr>
          <w:rFonts w:hAnsi="標楷體" w:cs="新細明體" w:hint="eastAsia"/>
          <w:snapToGrid/>
          <w:color w:val="000000"/>
          <w:spacing w:val="-20"/>
          <w:kern w:val="0"/>
          <w:sz w:val="24"/>
          <w:szCs w:val="24"/>
        </w:rPr>
        <w:t>單位：</w:t>
      </w:r>
      <w:r>
        <w:rPr>
          <w:rFonts w:hAnsi="標楷體" w:cs="新細明體" w:hint="eastAsia"/>
          <w:snapToGrid/>
          <w:color w:val="000000"/>
          <w:spacing w:val="-20"/>
          <w:kern w:val="0"/>
          <w:sz w:val="24"/>
          <w:szCs w:val="24"/>
        </w:rPr>
        <w:t>%；百分點</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300"/>
        <w:gridCol w:w="1968"/>
        <w:gridCol w:w="1572"/>
        <w:gridCol w:w="1405"/>
        <w:gridCol w:w="2409"/>
      </w:tblGrid>
      <w:tr w:rsidR="00CE2AA0" w:rsidRPr="00631221" w:rsidTr="00640605">
        <w:trPr>
          <w:trHeight w:val="20"/>
          <w:tblHeader/>
        </w:trPr>
        <w:tc>
          <w:tcPr>
            <w:tcW w:w="2268" w:type="dxa"/>
            <w:gridSpan w:val="2"/>
            <w:shd w:val="clear" w:color="auto" w:fill="FFFFFF"/>
            <w:noWrap/>
            <w:vAlign w:val="center"/>
            <w:hideMark/>
          </w:tcPr>
          <w:p w:rsidR="00CE2AA0" w:rsidRPr="00631221" w:rsidRDefault="00CE2AA0" w:rsidP="00640605">
            <w:pPr>
              <w:pStyle w:val="142"/>
              <w:jc w:val="center"/>
              <w:rPr>
                <w:rFonts w:hAnsi="標楷體"/>
                <w:snapToGrid/>
                <w:szCs w:val="24"/>
              </w:rPr>
            </w:pPr>
            <w:r w:rsidRPr="00631221">
              <w:rPr>
                <w:rFonts w:hAnsi="標楷體" w:hint="eastAsia"/>
                <w:snapToGrid/>
                <w:szCs w:val="24"/>
              </w:rPr>
              <w:t>案類別</w:t>
            </w:r>
          </w:p>
        </w:tc>
        <w:tc>
          <w:tcPr>
            <w:tcW w:w="1572" w:type="dxa"/>
            <w:shd w:val="clear" w:color="auto" w:fill="FFFFFF"/>
            <w:vAlign w:val="center"/>
            <w:hideMark/>
          </w:tcPr>
          <w:p w:rsidR="00CE2AA0" w:rsidRPr="00631221" w:rsidRDefault="00CE2AA0" w:rsidP="00640605">
            <w:pPr>
              <w:pStyle w:val="142"/>
              <w:jc w:val="center"/>
              <w:rPr>
                <w:rFonts w:hAnsi="標楷體"/>
                <w:bCs/>
                <w:snapToGrid/>
                <w:szCs w:val="24"/>
              </w:rPr>
            </w:pPr>
            <w:r w:rsidRPr="00631221">
              <w:rPr>
                <w:rFonts w:hAnsi="標楷體"/>
                <w:bCs/>
                <w:snapToGrid/>
                <w:szCs w:val="24"/>
              </w:rPr>
              <w:t>111</w:t>
            </w:r>
            <w:r w:rsidRPr="00631221">
              <w:rPr>
                <w:rFonts w:hAnsi="標楷體" w:hint="eastAsia"/>
                <w:bCs/>
                <w:snapToGrid/>
                <w:szCs w:val="24"/>
              </w:rPr>
              <w:t>年</w:t>
            </w:r>
          </w:p>
        </w:tc>
        <w:tc>
          <w:tcPr>
            <w:tcW w:w="1405" w:type="dxa"/>
            <w:shd w:val="clear" w:color="auto" w:fill="FFFFFF"/>
            <w:vAlign w:val="center"/>
            <w:hideMark/>
          </w:tcPr>
          <w:p w:rsidR="00CE2AA0" w:rsidRPr="00631221" w:rsidRDefault="00CE2AA0" w:rsidP="00640605">
            <w:pPr>
              <w:pStyle w:val="142"/>
              <w:jc w:val="center"/>
              <w:rPr>
                <w:rFonts w:hAnsi="標楷體"/>
                <w:bCs/>
                <w:snapToGrid/>
                <w:szCs w:val="24"/>
              </w:rPr>
            </w:pPr>
            <w:r w:rsidRPr="00631221">
              <w:rPr>
                <w:rFonts w:hAnsi="標楷體"/>
                <w:bCs/>
                <w:snapToGrid/>
                <w:szCs w:val="24"/>
              </w:rPr>
              <w:t>112</w:t>
            </w:r>
            <w:r w:rsidRPr="00631221">
              <w:rPr>
                <w:rFonts w:hAnsi="標楷體" w:hint="eastAsia"/>
                <w:bCs/>
                <w:snapToGrid/>
                <w:szCs w:val="24"/>
              </w:rPr>
              <w:t>年</w:t>
            </w:r>
          </w:p>
        </w:tc>
        <w:tc>
          <w:tcPr>
            <w:tcW w:w="2409" w:type="dxa"/>
            <w:shd w:val="clear" w:color="auto" w:fill="FFFFFF"/>
            <w:vAlign w:val="center"/>
            <w:hideMark/>
          </w:tcPr>
          <w:p w:rsidR="00CE2AA0" w:rsidRPr="00631221" w:rsidRDefault="00CE2AA0" w:rsidP="00640605">
            <w:pPr>
              <w:pStyle w:val="142"/>
              <w:jc w:val="center"/>
              <w:rPr>
                <w:rFonts w:hAnsi="標楷體"/>
                <w:bCs/>
                <w:snapToGrid/>
                <w:szCs w:val="24"/>
              </w:rPr>
            </w:pPr>
            <w:r w:rsidRPr="00631221">
              <w:rPr>
                <w:rFonts w:hAnsi="標楷體"/>
                <w:bCs/>
                <w:snapToGrid/>
                <w:szCs w:val="24"/>
              </w:rPr>
              <w:t>112</w:t>
            </w:r>
            <w:r w:rsidRPr="00631221">
              <w:rPr>
                <w:rFonts w:hAnsi="標楷體" w:hint="eastAsia"/>
                <w:bCs/>
                <w:snapToGrid/>
                <w:szCs w:val="24"/>
              </w:rPr>
              <w:t>年較</w:t>
            </w:r>
            <w:r w:rsidRPr="00631221">
              <w:rPr>
                <w:rFonts w:hAnsi="標楷體"/>
                <w:bCs/>
                <w:snapToGrid/>
                <w:szCs w:val="24"/>
              </w:rPr>
              <w:t>111</w:t>
            </w:r>
            <w:r w:rsidRPr="00631221">
              <w:rPr>
                <w:rFonts w:hAnsi="標楷體" w:hint="eastAsia"/>
                <w:bCs/>
                <w:snapToGrid/>
                <w:szCs w:val="24"/>
              </w:rPr>
              <w:t>年增減數</w:t>
            </w:r>
          </w:p>
        </w:tc>
      </w:tr>
      <w:tr w:rsidR="00CE2AA0" w:rsidRPr="00631221" w:rsidTr="00640605">
        <w:trPr>
          <w:trHeight w:val="20"/>
        </w:trPr>
        <w:tc>
          <w:tcPr>
            <w:tcW w:w="2268" w:type="dxa"/>
            <w:gridSpan w:val="2"/>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刑案總計</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96.69</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97.12</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0.43</w:t>
            </w:r>
          </w:p>
        </w:tc>
      </w:tr>
      <w:tr w:rsidR="00CE2AA0" w:rsidRPr="00631221" w:rsidTr="00640605">
        <w:trPr>
          <w:trHeight w:val="20"/>
        </w:trPr>
        <w:tc>
          <w:tcPr>
            <w:tcW w:w="300" w:type="dxa"/>
            <w:vMerge w:val="restart"/>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竊盜</w:t>
            </w:r>
          </w:p>
        </w:tc>
        <w:tc>
          <w:tcPr>
            <w:tcW w:w="1968" w:type="dxa"/>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小計</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97.17</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98.34</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1.17</w:t>
            </w:r>
          </w:p>
        </w:tc>
      </w:tr>
      <w:tr w:rsidR="00CE2AA0" w:rsidRPr="00631221" w:rsidTr="00640605">
        <w:trPr>
          <w:trHeight w:val="20"/>
        </w:trPr>
        <w:tc>
          <w:tcPr>
            <w:tcW w:w="300" w:type="dxa"/>
            <w:vMerge/>
            <w:shd w:val="clear" w:color="auto" w:fill="FFFFFF"/>
            <w:vAlign w:val="center"/>
            <w:hideMark/>
          </w:tcPr>
          <w:p w:rsidR="00CE2AA0" w:rsidRPr="00631221" w:rsidRDefault="00CE2AA0" w:rsidP="00640605">
            <w:pPr>
              <w:pStyle w:val="142"/>
              <w:rPr>
                <w:rFonts w:hAnsi="標楷體"/>
                <w:bCs/>
                <w:snapToGrid/>
                <w:szCs w:val="24"/>
              </w:rPr>
            </w:pPr>
          </w:p>
        </w:tc>
        <w:tc>
          <w:tcPr>
            <w:tcW w:w="1968" w:type="dxa"/>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重大竊盜</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89.29</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105.26</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15.97</w:t>
            </w:r>
          </w:p>
        </w:tc>
      </w:tr>
      <w:tr w:rsidR="00CE2AA0" w:rsidRPr="00631221" w:rsidTr="00640605">
        <w:trPr>
          <w:trHeight w:val="20"/>
        </w:trPr>
        <w:tc>
          <w:tcPr>
            <w:tcW w:w="300" w:type="dxa"/>
            <w:vMerge/>
            <w:shd w:val="clear" w:color="auto" w:fill="FFFFFF"/>
            <w:vAlign w:val="center"/>
            <w:hideMark/>
          </w:tcPr>
          <w:p w:rsidR="00CE2AA0" w:rsidRPr="00631221" w:rsidRDefault="00CE2AA0" w:rsidP="00640605">
            <w:pPr>
              <w:pStyle w:val="142"/>
              <w:rPr>
                <w:rFonts w:hAnsi="標楷體"/>
                <w:bCs/>
                <w:snapToGrid/>
                <w:szCs w:val="24"/>
              </w:rPr>
            </w:pPr>
          </w:p>
        </w:tc>
        <w:tc>
          <w:tcPr>
            <w:tcW w:w="1968" w:type="dxa"/>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普通竊盜</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96.54</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98.19</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1.65</w:t>
            </w:r>
          </w:p>
        </w:tc>
      </w:tr>
      <w:tr w:rsidR="00CE2AA0" w:rsidRPr="00631221" w:rsidTr="00640605">
        <w:trPr>
          <w:trHeight w:val="20"/>
        </w:trPr>
        <w:tc>
          <w:tcPr>
            <w:tcW w:w="300" w:type="dxa"/>
            <w:vMerge/>
            <w:shd w:val="clear" w:color="auto" w:fill="FFFFFF"/>
            <w:vAlign w:val="center"/>
            <w:hideMark/>
          </w:tcPr>
          <w:p w:rsidR="00CE2AA0" w:rsidRPr="00631221" w:rsidRDefault="00CE2AA0" w:rsidP="00640605">
            <w:pPr>
              <w:pStyle w:val="142"/>
              <w:rPr>
                <w:rFonts w:hAnsi="標楷體"/>
                <w:bCs/>
                <w:snapToGrid/>
                <w:szCs w:val="24"/>
              </w:rPr>
            </w:pPr>
          </w:p>
        </w:tc>
        <w:tc>
          <w:tcPr>
            <w:tcW w:w="1968" w:type="dxa"/>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汽車竊盜</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100.44</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96.26</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-4.18</w:t>
            </w:r>
          </w:p>
        </w:tc>
      </w:tr>
      <w:tr w:rsidR="00CE2AA0" w:rsidRPr="00631221" w:rsidTr="00640605">
        <w:trPr>
          <w:trHeight w:val="20"/>
        </w:trPr>
        <w:tc>
          <w:tcPr>
            <w:tcW w:w="300" w:type="dxa"/>
            <w:vMerge/>
            <w:shd w:val="clear" w:color="auto" w:fill="FFFFFF"/>
            <w:vAlign w:val="center"/>
            <w:hideMark/>
          </w:tcPr>
          <w:p w:rsidR="00CE2AA0" w:rsidRPr="00631221" w:rsidRDefault="00CE2AA0" w:rsidP="00640605">
            <w:pPr>
              <w:pStyle w:val="142"/>
              <w:rPr>
                <w:rFonts w:hAnsi="標楷體"/>
                <w:bCs/>
                <w:snapToGrid/>
                <w:szCs w:val="24"/>
              </w:rPr>
            </w:pPr>
          </w:p>
        </w:tc>
        <w:tc>
          <w:tcPr>
            <w:tcW w:w="1968" w:type="dxa"/>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機車竊盜</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101.87</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99.95</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-1.92</w:t>
            </w:r>
          </w:p>
        </w:tc>
      </w:tr>
      <w:tr w:rsidR="00CE2AA0" w:rsidRPr="00631221" w:rsidTr="00640605">
        <w:trPr>
          <w:trHeight w:val="20"/>
        </w:trPr>
        <w:tc>
          <w:tcPr>
            <w:tcW w:w="2268" w:type="dxa"/>
            <w:gridSpan w:val="2"/>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詐欺</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97.32</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95.13</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-2.19</w:t>
            </w:r>
          </w:p>
        </w:tc>
      </w:tr>
      <w:tr w:rsidR="00CE2AA0" w:rsidRPr="00631221" w:rsidTr="00640605">
        <w:trPr>
          <w:trHeight w:val="20"/>
        </w:trPr>
        <w:tc>
          <w:tcPr>
            <w:tcW w:w="2268" w:type="dxa"/>
            <w:gridSpan w:val="2"/>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公共危險</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99.82</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99.88</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0.06</w:t>
            </w:r>
          </w:p>
        </w:tc>
      </w:tr>
      <w:tr w:rsidR="00CE2AA0" w:rsidRPr="00631221" w:rsidTr="00640605">
        <w:trPr>
          <w:trHeight w:val="20"/>
        </w:trPr>
        <w:tc>
          <w:tcPr>
            <w:tcW w:w="2268" w:type="dxa"/>
            <w:gridSpan w:val="2"/>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 xml:space="preserve">　酒後駕車</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100.00</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100.00</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w:t>
            </w:r>
          </w:p>
        </w:tc>
      </w:tr>
      <w:tr w:rsidR="00CE2AA0" w:rsidRPr="00631221" w:rsidTr="00640605">
        <w:trPr>
          <w:trHeight w:val="20"/>
        </w:trPr>
        <w:tc>
          <w:tcPr>
            <w:tcW w:w="2268" w:type="dxa"/>
            <w:gridSpan w:val="2"/>
            <w:shd w:val="clear" w:color="auto" w:fill="FFFFFF"/>
            <w:noWrap/>
            <w:vAlign w:val="center"/>
            <w:hideMark/>
          </w:tcPr>
          <w:p w:rsidR="00CE2AA0" w:rsidRPr="00631221" w:rsidRDefault="00CE2AA0" w:rsidP="00640605">
            <w:pPr>
              <w:pStyle w:val="142"/>
              <w:rPr>
                <w:rFonts w:hAnsi="標楷體"/>
                <w:bCs/>
                <w:snapToGrid/>
                <w:szCs w:val="24"/>
              </w:rPr>
            </w:pPr>
            <w:r w:rsidRPr="00631221">
              <w:rPr>
                <w:rFonts w:hAnsi="標楷體" w:hint="eastAsia"/>
                <w:bCs/>
                <w:snapToGrid/>
                <w:szCs w:val="24"/>
              </w:rPr>
              <w:t>毒品</w:t>
            </w:r>
          </w:p>
        </w:tc>
        <w:tc>
          <w:tcPr>
            <w:tcW w:w="1572"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100.00</w:t>
            </w:r>
          </w:p>
        </w:tc>
        <w:tc>
          <w:tcPr>
            <w:tcW w:w="1405"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100.00</w:t>
            </w:r>
          </w:p>
        </w:tc>
        <w:tc>
          <w:tcPr>
            <w:tcW w:w="2409" w:type="dxa"/>
            <w:shd w:val="clear" w:color="auto" w:fill="FFFFFF"/>
            <w:noWrap/>
            <w:vAlign w:val="center"/>
            <w:hideMark/>
          </w:tcPr>
          <w:p w:rsidR="00CE2AA0" w:rsidRPr="00631221" w:rsidRDefault="00CE2AA0" w:rsidP="00640605">
            <w:pPr>
              <w:pStyle w:val="142"/>
              <w:jc w:val="right"/>
              <w:rPr>
                <w:rFonts w:hAnsi="標楷體"/>
                <w:bCs/>
                <w:snapToGrid/>
                <w:szCs w:val="24"/>
              </w:rPr>
            </w:pPr>
            <w:r w:rsidRPr="00631221">
              <w:rPr>
                <w:rFonts w:hAnsi="標楷體"/>
                <w:bCs/>
                <w:snapToGrid/>
                <w:szCs w:val="24"/>
              </w:rPr>
              <w:t>-</w:t>
            </w:r>
          </w:p>
        </w:tc>
      </w:tr>
    </w:tbl>
    <w:p w:rsidR="00CE2AA0" w:rsidRDefault="00CE2AA0" w:rsidP="00640605">
      <w:pPr>
        <w:pStyle w:val="142"/>
        <w:ind w:leftChars="300" w:left="850"/>
      </w:pPr>
      <w:r>
        <w:rPr>
          <w:rFonts w:hint="eastAsia"/>
        </w:rPr>
        <w:lastRenderedPageBreak/>
        <w:t xml:space="preserve">說 </w:t>
      </w:r>
      <w:r>
        <w:t xml:space="preserve">   </w:t>
      </w:r>
      <w:r>
        <w:rPr>
          <w:rFonts w:hint="eastAsia"/>
        </w:rPr>
        <w:t>明：1.</w:t>
      </w:r>
      <w:r>
        <w:t>破獲數含破積案</w:t>
      </w:r>
      <w:r>
        <w:rPr>
          <w:rFonts w:hint="eastAsia"/>
        </w:rPr>
        <w:t>，故破獲率可能大於100%。</w:t>
      </w:r>
    </w:p>
    <w:p w:rsidR="00CE2AA0" w:rsidRDefault="00CE2AA0" w:rsidP="00640605">
      <w:pPr>
        <w:pStyle w:val="142"/>
        <w:ind w:leftChars="400" w:left="1133" w:firstLine="911"/>
      </w:pPr>
      <w:r>
        <w:rPr>
          <w:rFonts w:hint="eastAsia"/>
        </w:rPr>
        <w:t>2.本表僅列示竊盜、詐欺、酒後駕車及毒品案。</w:t>
      </w:r>
    </w:p>
    <w:p w:rsidR="00CE2AA0" w:rsidRDefault="00CE2AA0" w:rsidP="00640605">
      <w:pPr>
        <w:pStyle w:val="142"/>
        <w:ind w:leftChars="300" w:left="850"/>
      </w:pPr>
      <w:r>
        <w:rPr>
          <w:rFonts w:hint="eastAsia"/>
        </w:rPr>
        <w:t>資料來源：警政署提供。</w:t>
      </w:r>
    </w:p>
    <w:p w:rsidR="00CE2AA0" w:rsidRPr="00BA1CA5" w:rsidRDefault="00CE2AA0" w:rsidP="00640605">
      <w:pPr>
        <w:pStyle w:val="a5"/>
        <w:ind w:left="849" w:hanging="283"/>
        <w:rPr>
          <w:b/>
        </w:rPr>
      </w:pPr>
      <w:r w:rsidRPr="00BA1CA5">
        <w:rPr>
          <w:rFonts w:hint="eastAsia"/>
          <w:b/>
        </w:rPr>
        <w:t>(二)112年毒品之製造、販賣及運輸及持有新收人數，均以第</w:t>
      </w:r>
      <w:r>
        <w:rPr>
          <w:rFonts w:hint="eastAsia"/>
          <w:b/>
        </w:rPr>
        <w:t>二</w:t>
      </w:r>
      <w:r w:rsidRPr="00BA1CA5">
        <w:rPr>
          <w:rFonts w:hint="eastAsia"/>
          <w:b/>
        </w:rPr>
        <w:t>級毒品居首，</w:t>
      </w:r>
      <w:r>
        <w:rPr>
          <w:rFonts w:hint="eastAsia"/>
          <w:b/>
        </w:rPr>
        <w:t>毒品</w:t>
      </w:r>
      <w:r w:rsidRPr="00BE37BF">
        <w:rPr>
          <w:rFonts w:hint="eastAsia"/>
          <w:b/>
        </w:rPr>
        <w:t>持有新收人數為近10年最高</w:t>
      </w:r>
      <w:r w:rsidRPr="00BA1CA5">
        <w:rPr>
          <w:rFonts w:hint="eastAsia"/>
          <w:b/>
        </w:rPr>
        <w:t>且</w:t>
      </w:r>
      <w:r>
        <w:rPr>
          <w:rFonts w:hint="eastAsia"/>
          <w:b/>
        </w:rPr>
        <w:t>施用者</w:t>
      </w:r>
      <w:r w:rsidRPr="00BA1CA5">
        <w:rPr>
          <w:rFonts w:hint="eastAsia"/>
          <w:b/>
        </w:rPr>
        <w:t>再犯情形嚴重，允宜積極防制</w:t>
      </w:r>
    </w:p>
    <w:p w:rsidR="00CE2AA0" w:rsidRPr="00D05301" w:rsidRDefault="00CE2AA0" w:rsidP="00640605">
      <w:pPr>
        <w:pStyle w:val="21"/>
        <w:ind w:left="850" w:firstLine="566"/>
      </w:pPr>
      <w:r w:rsidRPr="00680F79">
        <w:rPr>
          <w:rFonts w:hint="eastAsia"/>
        </w:rPr>
        <w:t>依</w:t>
      </w:r>
      <w:r>
        <w:rPr>
          <w:rFonts w:hint="eastAsia"/>
        </w:rPr>
        <w:t>臺</w:t>
      </w:r>
      <w:r w:rsidRPr="00680F79">
        <w:rPr>
          <w:rFonts w:hint="eastAsia"/>
        </w:rPr>
        <w:t>灣高</w:t>
      </w:r>
      <w:r>
        <w:rPr>
          <w:rFonts w:hint="eastAsia"/>
        </w:rPr>
        <w:t>等</w:t>
      </w:r>
      <w:r w:rsidRPr="00680F79">
        <w:rPr>
          <w:rFonts w:hint="eastAsia"/>
        </w:rPr>
        <w:t>檢</w:t>
      </w:r>
      <w:r>
        <w:rPr>
          <w:rFonts w:hint="eastAsia"/>
        </w:rPr>
        <w:t>察</w:t>
      </w:r>
      <w:r w:rsidRPr="00680F79">
        <w:rPr>
          <w:rFonts w:hint="eastAsia"/>
        </w:rPr>
        <w:t>署113年2月23日公布之「</w:t>
      </w:r>
      <w:r w:rsidRPr="00680F79">
        <w:t>2023</w:t>
      </w:r>
      <w:r w:rsidRPr="00680F79">
        <w:rPr>
          <w:rFonts w:hint="eastAsia"/>
        </w:rPr>
        <w:t>年毒品情勢</w:t>
      </w:r>
      <w:r>
        <w:rPr>
          <w:rFonts w:hint="eastAsia"/>
        </w:rPr>
        <w:t>快速分析年報</w:t>
      </w:r>
      <w:r w:rsidRPr="00680F79">
        <w:rPr>
          <w:rFonts w:hint="eastAsia"/>
        </w:rPr>
        <w:t>」，112年國內各級毒品查緝量總計1</w:t>
      </w:r>
      <w:r w:rsidRPr="00680F79">
        <w:t>8</w:t>
      </w:r>
      <w:r w:rsidRPr="00680F79">
        <w:rPr>
          <w:rFonts w:hint="eastAsia"/>
        </w:rPr>
        <w:t>萬2</w:t>
      </w:r>
      <w:r w:rsidRPr="00680F79">
        <w:t>,692</w:t>
      </w:r>
      <w:r w:rsidRPr="00680F79">
        <w:rPr>
          <w:rFonts w:hint="eastAsia"/>
        </w:rPr>
        <w:t>公斤，較111年查</w:t>
      </w:r>
      <w:r>
        <w:rPr>
          <w:rFonts w:hint="eastAsia"/>
        </w:rPr>
        <w:t>獲</w:t>
      </w:r>
      <w:r w:rsidRPr="00680F79">
        <w:rPr>
          <w:rFonts w:hint="eastAsia"/>
        </w:rPr>
        <w:t>量</w:t>
      </w:r>
      <w:r w:rsidRPr="00680F79">
        <w:t>9,916</w:t>
      </w:r>
      <w:r w:rsidRPr="00680F79">
        <w:rPr>
          <w:rFonts w:hint="eastAsia"/>
        </w:rPr>
        <w:t>公斤</w:t>
      </w:r>
      <w:r>
        <w:rPr>
          <w:rFonts w:hint="eastAsia"/>
        </w:rPr>
        <w:t>(</w:t>
      </w:r>
      <w:r>
        <w:t>詳圖1)</w:t>
      </w:r>
      <w:r w:rsidRPr="00680F79">
        <w:rPr>
          <w:rFonts w:hint="eastAsia"/>
        </w:rPr>
        <w:t>增加1</w:t>
      </w:r>
      <w:r w:rsidRPr="00680F79">
        <w:t>7</w:t>
      </w:r>
      <w:r w:rsidRPr="00680F79">
        <w:rPr>
          <w:rFonts w:hint="eastAsia"/>
        </w:rPr>
        <w:t>萬2</w:t>
      </w:r>
      <w:r w:rsidRPr="00680F79">
        <w:t>,776</w:t>
      </w:r>
      <w:r w:rsidRPr="00680F79">
        <w:rPr>
          <w:rFonts w:hint="eastAsia"/>
        </w:rPr>
        <w:t>公斤(增幅17.</w:t>
      </w:r>
      <w:r w:rsidRPr="00680F79">
        <w:t>4</w:t>
      </w:r>
      <w:r w:rsidRPr="00680F79">
        <w:rPr>
          <w:rFonts w:hint="eastAsia"/>
        </w:rPr>
        <w:t>2倍)，主要係查獲第三級毒品「卡痛」（</w:t>
      </w:r>
      <w:r w:rsidRPr="00680F79">
        <w:t>Kratom</w:t>
      </w:r>
      <w:r w:rsidRPr="00680F79">
        <w:rPr>
          <w:rFonts w:hint="eastAsia"/>
        </w:rPr>
        <w:t>）</w:t>
      </w:r>
      <w:r w:rsidRPr="00680F79">
        <w:t>17</w:t>
      </w:r>
      <w:r w:rsidRPr="00680F79">
        <w:rPr>
          <w:rFonts w:hint="eastAsia"/>
        </w:rPr>
        <w:t>萬5</w:t>
      </w:r>
      <w:r w:rsidRPr="00680F79">
        <w:t>,355</w:t>
      </w:r>
      <w:r w:rsidRPr="00680F79">
        <w:rPr>
          <w:rFonts w:hint="eastAsia"/>
        </w:rPr>
        <w:t>公斤</w:t>
      </w:r>
      <w:r>
        <w:rPr>
          <w:rFonts w:hint="eastAsia"/>
        </w:rPr>
        <w:t>，爰查獲量較以前年度遽增</w:t>
      </w:r>
      <w:r w:rsidRPr="00680F79">
        <w:rPr>
          <w:rFonts w:hint="eastAsia"/>
        </w:rPr>
        <w:t>。</w:t>
      </w:r>
      <w:r w:rsidRPr="00C10186">
        <w:rPr>
          <w:rFonts w:hint="eastAsia"/>
        </w:rPr>
        <w:t>112年共查獲</w:t>
      </w:r>
      <w:r w:rsidRPr="00C10186">
        <w:t>56</w:t>
      </w:r>
      <w:r w:rsidRPr="00C10186">
        <w:rPr>
          <w:rFonts w:hint="eastAsia"/>
        </w:rPr>
        <w:t>座製毒工廠</w:t>
      </w:r>
      <w:r>
        <w:rPr>
          <w:rFonts w:hint="eastAsia"/>
        </w:rPr>
        <w:t>，係自107年以來查獲座數次多年度(僅次於107年之65座)(</w:t>
      </w:r>
      <w:r>
        <w:t>詳圖2)</w:t>
      </w:r>
      <w:r>
        <w:rPr>
          <w:rFonts w:hint="eastAsia"/>
        </w:rPr>
        <w:t>；</w:t>
      </w:r>
      <w:r w:rsidRPr="008B0FD7">
        <w:rPr>
          <w:rFonts w:hint="eastAsia"/>
        </w:rPr>
        <w:t>又112年</w:t>
      </w:r>
      <w:r>
        <w:rPr>
          <w:rFonts w:hint="eastAsia"/>
        </w:rPr>
        <w:t>毒品持有新收人數(案次還原人數)</w:t>
      </w:r>
      <w:r>
        <w:rPr>
          <w:rStyle w:val="af5"/>
        </w:rPr>
        <w:footnoteReference w:id="3"/>
      </w:r>
      <w:r>
        <w:t>5,844</w:t>
      </w:r>
      <w:r>
        <w:rPr>
          <w:rFonts w:hint="eastAsia"/>
        </w:rPr>
        <w:t>人，係近10年來(自103年至112年)最高者(</w:t>
      </w:r>
      <w:r>
        <w:t>詳圖</w:t>
      </w:r>
      <w:r>
        <w:rPr>
          <w:rFonts w:hint="eastAsia"/>
        </w:rPr>
        <w:t>3</w:t>
      </w:r>
      <w:r>
        <w:t>)</w:t>
      </w:r>
      <w:r>
        <w:rPr>
          <w:rFonts w:hint="eastAsia"/>
        </w:rPr>
        <w:t>；而112年</w:t>
      </w:r>
      <w:r w:rsidRPr="008B0FD7">
        <w:rPr>
          <w:rFonts w:hint="eastAsia"/>
        </w:rPr>
        <w:t>製造、販賣及運輸新收人數</w:t>
      </w:r>
      <w:r>
        <w:rPr>
          <w:rFonts w:hint="eastAsia"/>
        </w:rPr>
        <w:t>(案次還原人數)</w:t>
      </w:r>
      <w:r w:rsidRPr="008B0FD7">
        <w:rPr>
          <w:rFonts w:hint="eastAsia"/>
        </w:rPr>
        <w:t>8</w:t>
      </w:r>
      <w:r w:rsidRPr="008B0FD7">
        <w:t>,829</w:t>
      </w:r>
      <w:r>
        <w:rPr>
          <w:rFonts w:hint="eastAsia"/>
        </w:rPr>
        <w:t>人</w:t>
      </w:r>
      <w:r w:rsidRPr="008B0FD7">
        <w:rPr>
          <w:rFonts w:hint="eastAsia"/>
        </w:rPr>
        <w:t>，較111年8</w:t>
      </w:r>
      <w:r w:rsidRPr="008B0FD7">
        <w:t>,755</w:t>
      </w:r>
      <w:r>
        <w:rPr>
          <w:rFonts w:hint="eastAsia"/>
        </w:rPr>
        <w:t>人</w:t>
      </w:r>
      <w:r w:rsidRPr="008B0FD7">
        <w:rPr>
          <w:rFonts w:hint="eastAsia"/>
        </w:rPr>
        <w:t>增加74</w:t>
      </w:r>
      <w:r>
        <w:rPr>
          <w:rFonts w:hint="eastAsia"/>
        </w:rPr>
        <w:t>人</w:t>
      </w:r>
      <w:r w:rsidRPr="008B0FD7">
        <w:rPr>
          <w:rFonts w:hint="eastAsia"/>
        </w:rPr>
        <w:t>(增幅0.8</w:t>
      </w:r>
      <w:r>
        <w:rPr>
          <w:rFonts w:hint="eastAsia"/>
        </w:rPr>
        <w:t>5</w:t>
      </w:r>
      <w:r w:rsidRPr="008B0FD7">
        <w:rPr>
          <w:rFonts w:hint="eastAsia"/>
        </w:rPr>
        <w:t>%)</w:t>
      </w:r>
      <w:r>
        <w:rPr>
          <w:rFonts w:hint="eastAsia"/>
        </w:rPr>
        <w:t>(詳圖4)。前揭112年製毒工廠查緝家數、毒品</w:t>
      </w:r>
      <w:r w:rsidRPr="00C20A61">
        <w:rPr>
          <w:rFonts w:hint="eastAsia"/>
        </w:rPr>
        <w:t>持有</w:t>
      </w:r>
      <w:r>
        <w:rPr>
          <w:rFonts w:hint="eastAsia"/>
        </w:rPr>
        <w:t>新收</w:t>
      </w:r>
      <w:r w:rsidRPr="00D05301">
        <w:rPr>
          <w:rFonts w:hint="eastAsia"/>
        </w:rPr>
        <w:t>人數</w:t>
      </w:r>
      <w:r>
        <w:rPr>
          <w:rFonts w:hint="eastAsia"/>
        </w:rPr>
        <w:t>，以及毒品之</w:t>
      </w:r>
      <w:r w:rsidRPr="00C20A61">
        <w:rPr>
          <w:rFonts w:hint="eastAsia"/>
        </w:rPr>
        <w:t>製造、販賣及運輸</w:t>
      </w:r>
      <w:r>
        <w:rPr>
          <w:rFonts w:hint="eastAsia"/>
        </w:rPr>
        <w:t>新收人數</w:t>
      </w:r>
      <w:r w:rsidRPr="00D05301">
        <w:rPr>
          <w:rFonts w:hint="eastAsia"/>
        </w:rPr>
        <w:t>，均以第</w:t>
      </w:r>
      <w:r>
        <w:rPr>
          <w:rFonts w:hint="eastAsia"/>
        </w:rPr>
        <w:t>二</w:t>
      </w:r>
      <w:r w:rsidRPr="00D05301">
        <w:rPr>
          <w:rFonts w:hint="eastAsia"/>
        </w:rPr>
        <w:t>級毒品</w:t>
      </w:r>
      <w:r w:rsidRPr="00D05301">
        <w:t>(</w:t>
      </w:r>
      <w:r>
        <w:rPr>
          <w:rFonts w:hint="eastAsia"/>
        </w:rPr>
        <w:t>包括：</w:t>
      </w:r>
      <w:r w:rsidRPr="00D05301">
        <w:rPr>
          <w:rFonts w:hint="eastAsia"/>
        </w:rPr>
        <w:t>大麻、安非他命</w:t>
      </w:r>
      <w:r>
        <w:rPr>
          <w:rFonts w:hint="eastAsia"/>
        </w:rPr>
        <w:t>及</w:t>
      </w:r>
      <w:r w:rsidRPr="00D05301">
        <w:rPr>
          <w:rFonts w:hint="eastAsia"/>
        </w:rPr>
        <w:t>搖頭丸</w:t>
      </w:r>
      <w:r w:rsidRPr="00D05301">
        <w:rPr>
          <w:rStyle w:val="af5"/>
        </w:rPr>
        <w:footnoteReference w:id="4"/>
      </w:r>
      <w:r w:rsidRPr="00D05301">
        <w:t>)</w:t>
      </w:r>
      <w:r w:rsidRPr="00D05301">
        <w:rPr>
          <w:rFonts w:hint="eastAsia"/>
        </w:rPr>
        <w:t>占比最多，顯示大麻及安毒等毒害仍猖獗，允宜賡續切實執行緝毒相關措施以查緝毒害。</w:t>
      </w:r>
    </w:p>
    <w:p w:rsidR="00CE2AA0" w:rsidRDefault="00CE2AA0" w:rsidP="00640605">
      <w:pPr>
        <w:pStyle w:val="21"/>
        <w:ind w:left="850" w:firstLine="566"/>
      </w:pPr>
      <w:r>
        <w:rPr>
          <w:rFonts w:hint="eastAsia"/>
        </w:rPr>
        <w:t>另</w:t>
      </w:r>
      <w:r w:rsidRPr="0014691E">
        <w:rPr>
          <w:rFonts w:hint="eastAsia"/>
        </w:rPr>
        <w:t>依修正新世代反毒策略行動綱領(第</w:t>
      </w:r>
      <w:r>
        <w:rPr>
          <w:rFonts w:hint="eastAsia"/>
        </w:rPr>
        <w:t>2</w:t>
      </w:r>
      <w:r w:rsidRPr="0014691E">
        <w:rPr>
          <w:rFonts w:hint="eastAsia"/>
        </w:rPr>
        <w:t>期110-113年)，辦理目的包括抑制新生毒品人口增加</w:t>
      </w:r>
      <w:r>
        <w:rPr>
          <w:rFonts w:hint="eastAsia"/>
        </w:rPr>
        <w:t>，查112年各級毒品新生人口8</w:t>
      </w:r>
      <w:r>
        <w:t>,198</w:t>
      </w:r>
      <w:r>
        <w:rPr>
          <w:rFonts w:hint="eastAsia"/>
        </w:rPr>
        <w:t>人，雖較111年8</w:t>
      </w:r>
      <w:r>
        <w:t>,783</w:t>
      </w:r>
      <w:r>
        <w:rPr>
          <w:rFonts w:hint="eastAsia"/>
        </w:rPr>
        <w:t>人減少585人(減幅6.66%)，惟尚較110年7</w:t>
      </w:r>
      <w:r>
        <w:t>,7</w:t>
      </w:r>
      <w:r>
        <w:rPr>
          <w:rFonts w:hint="eastAsia"/>
        </w:rPr>
        <w:t>07人增加(詳圖5)；至於107年至112年地方檢察署一、二級毒品施用案件偵查終結有犯罪嫌疑者，5年內再</w:t>
      </w:r>
      <w:r>
        <w:rPr>
          <w:rFonts w:hint="eastAsia"/>
        </w:rPr>
        <w:lastRenderedPageBreak/>
        <w:t>次偵結有犯罪嫌疑者，前三大罪名分別為：毒品罪中施用毒品罪</w:t>
      </w:r>
      <w:r>
        <w:t>(</w:t>
      </w:r>
      <w:r>
        <w:rPr>
          <w:rFonts w:hint="eastAsia"/>
        </w:rPr>
        <w:t>占各罪之</w:t>
      </w:r>
      <w:r>
        <w:t>46.7%)</w:t>
      </w:r>
      <w:r>
        <w:rPr>
          <w:rFonts w:hint="eastAsia"/>
        </w:rPr>
        <w:t>、毒品罪中非施用毒品罪</w:t>
      </w:r>
      <w:r>
        <w:t>(</w:t>
      </w:r>
      <w:r>
        <w:rPr>
          <w:rFonts w:hint="eastAsia"/>
        </w:rPr>
        <w:t>占</w:t>
      </w:r>
      <w:r>
        <w:t>12.8%)</w:t>
      </w:r>
      <w:r>
        <w:rPr>
          <w:rFonts w:hint="eastAsia"/>
        </w:rPr>
        <w:t>及竊盜罪</w:t>
      </w:r>
      <w:r>
        <w:t>(</w:t>
      </w:r>
      <w:r>
        <w:rPr>
          <w:rFonts w:hint="eastAsia"/>
        </w:rPr>
        <w:t>占</w:t>
      </w:r>
      <w:r>
        <w:t>11.5%)</w:t>
      </w:r>
      <w:r>
        <w:rPr>
          <w:rFonts w:hint="eastAsia"/>
        </w:rPr>
        <w:t>；至於再次偵結有施用毒品罪之犯罪嫌疑比率，5年內(4年以上者)為46.7%，其中未滿1年者為31.3%，6個月以下者為20.6%(詳圖6)，顯示毒品施用者之再犯情形嚴重，且為竊盜等治安問題源頭之一，允宜積極防制毒品犯罪。</w:t>
      </w:r>
    </w:p>
    <w:p w:rsidR="00CE2AA0" w:rsidRPr="00CF6F72" w:rsidRDefault="00CE2AA0" w:rsidP="00640605">
      <w:pPr>
        <w:pStyle w:val="21"/>
        <w:spacing w:line="420" w:lineRule="exact"/>
        <w:ind w:leftChars="-100" w:left="851" w:hangingChars="400" w:hanging="1134"/>
        <w:rPr>
          <w:b/>
        </w:rPr>
      </w:pPr>
      <w:r>
        <w:rPr>
          <w:rFonts w:hint="eastAsia"/>
          <w:b/>
        </w:rPr>
        <w:t>圖</w:t>
      </w:r>
      <w:r w:rsidRPr="00CF6F72">
        <w:rPr>
          <w:rFonts w:hint="eastAsia"/>
          <w:b/>
        </w:rPr>
        <w:t xml:space="preserve">1  </w:t>
      </w:r>
      <w:r>
        <w:rPr>
          <w:rFonts w:hint="eastAsia"/>
          <w:b/>
        </w:rPr>
        <w:t>我</w:t>
      </w:r>
      <w:r w:rsidRPr="00CF6F72">
        <w:rPr>
          <w:rFonts w:hint="eastAsia"/>
          <w:b/>
        </w:rPr>
        <w:t>國毒品查</w:t>
      </w:r>
      <w:r>
        <w:rPr>
          <w:rFonts w:hint="eastAsia"/>
          <w:b/>
        </w:rPr>
        <w:t>獲圖</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789"/>
      </w:tblGrid>
      <w:tr w:rsidR="00CE2AA0" w:rsidTr="00640605">
        <w:trPr>
          <w:trHeight w:val="3802"/>
        </w:trPr>
        <w:tc>
          <w:tcPr>
            <w:tcW w:w="8789" w:type="dxa"/>
            <w:shd w:val="clear" w:color="auto" w:fill="auto"/>
          </w:tcPr>
          <w:p w:rsidR="00CE2AA0" w:rsidRDefault="00184AE9" w:rsidP="00640605">
            <w:pPr>
              <w:pStyle w:val="142"/>
              <w:ind w:left="566" w:firstLine="566"/>
            </w:pPr>
            <w:r>
              <w:rPr>
                <w:noProof/>
              </w:rPr>
              <w:drawing>
                <wp:anchor distT="0" distB="0" distL="114300" distR="114300" simplePos="0" relativeHeight="251657728" behindDoc="0" locked="0" layoutInCell="1" allowOverlap="1">
                  <wp:simplePos x="0" y="0"/>
                  <wp:positionH relativeFrom="column">
                    <wp:posOffset>-43180</wp:posOffset>
                  </wp:positionH>
                  <wp:positionV relativeFrom="paragraph">
                    <wp:posOffset>42545</wp:posOffset>
                  </wp:positionV>
                  <wp:extent cx="5397500" cy="2436495"/>
                  <wp:effectExtent l="0" t="0" r="0" b="0"/>
                  <wp:wrapSquare wrapText="bothSides"/>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lum bright="-20000" contrast="24000"/>
                            <a:extLst>
                              <a:ext uri="{28A0092B-C50C-407E-A947-70E740481C1C}">
                                <a14:useLocalDpi xmlns:a14="http://schemas.microsoft.com/office/drawing/2010/main" val="0"/>
                              </a:ext>
                            </a:extLst>
                          </a:blip>
                          <a:srcRect/>
                          <a:stretch>
                            <a:fillRect/>
                          </a:stretch>
                        </pic:blipFill>
                        <pic:spPr bwMode="auto">
                          <a:xfrm>
                            <a:off x="0" y="0"/>
                            <a:ext cx="5397500" cy="2436495"/>
                          </a:xfrm>
                          <a:prstGeom prst="rect">
                            <a:avLst/>
                          </a:prstGeom>
                          <a:noFill/>
                        </pic:spPr>
                      </pic:pic>
                    </a:graphicData>
                  </a:graphic>
                  <wp14:sizeRelH relativeFrom="page">
                    <wp14:pctWidth>0</wp14:pctWidth>
                  </wp14:sizeRelH>
                  <wp14:sizeRelV relativeFrom="page">
                    <wp14:pctHeight>0</wp14:pctHeight>
                  </wp14:sizeRelV>
                </wp:anchor>
              </w:drawing>
            </w:r>
          </w:p>
        </w:tc>
      </w:tr>
    </w:tbl>
    <w:p w:rsidR="00CE2AA0" w:rsidRDefault="00CE2AA0" w:rsidP="00640605">
      <w:pPr>
        <w:pStyle w:val="142"/>
        <w:ind w:leftChars="-103" w:left="924" w:hangingChars="500" w:hanging="1216"/>
      </w:pPr>
      <w:r>
        <w:rPr>
          <w:rFonts w:hint="eastAsia"/>
        </w:rPr>
        <w:t>資料來源：臺</w:t>
      </w:r>
      <w:r w:rsidRPr="00CF6F72">
        <w:rPr>
          <w:rFonts w:hint="eastAsia"/>
        </w:rPr>
        <w:t>灣高檢署113年2月23日公布之</w:t>
      </w:r>
      <w:r w:rsidRPr="00817DE4">
        <w:rPr>
          <w:rFonts w:hint="eastAsia"/>
        </w:rPr>
        <w:t>「2023年毒品情勢快速分析年報」</w:t>
      </w:r>
      <w:r>
        <w:rPr>
          <w:rFonts w:hint="eastAsia"/>
        </w:rPr>
        <w:t>，圖2~圖6同。</w:t>
      </w:r>
    </w:p>
    <w:p w:rsidR="00CE2AA0" w:rsidRDefault="00CE2AA0" w:rsidP="00640605">
      <w:pPr>
        <w:pStyle w:val="21"/>
        <w:ind w:leftChars="-100" w:left="851" w:hangingChars="400" w:hanging="1134"/>
        <w:rPr>
          <w:b/>
        </w:rPr>
      </w:pPr>
    </w:p>
    <w:p w:rsidR="00CE2AA0" w:rsidRPr="008C0BEB" w:rsidRDefault="00CE2AA0" w:rsidP="00640605">
      <w:pPr>
        <w:pStyle w:val="21"/>
        <w:ind w:leftChars="-100" w:left="851" w:hangingChars="400" w:hanging="1134"/>
        <w:rPr>
          <w:b/>
        </w:rPr>
      </w:pPr>
      <w:r>
        <w:rPr>
          <w:rFonts w:hint="eastAsia"/>
          <w:b/>
        </w:rPr>
        <w:t>圖</w:t>
      </w:r>
      <w:r w:rsidRPr="008C0BEB">
        <w:rPr>
          <w:rFonts w:hint="eastAsia"/>
          <w:b/>
        </w:rPr>
        <w:t>2</w:t>
      </w:r>
      <w:r w:rsidRPr="008C0BEB">
        <w:rPr>
          <w:b/>
        </w:rPr>
        <w:t xml:space="preserve">  查緝製毒工廠家數</w:t>
      </w:r>
      <w:r>
        <w:rPr>
          <w:rFonts w:hint="eastAsia"/>
          <w:b/>
        </w:rPr>
        <w:t>圖</w:t>
      </w:r>
    </w:p>
    <w:tbl>
      <w:tblPr>
        <w:tblW w:w="8648" w:type="dxa"/>
        <w:tblInd w:w="-1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243"/>
        <w:gridCol w:w="1405"/>
      </w:tblGrid>
      <w:tr w:rsidR="00CE2AA0" w:rsidTr="00640605">
        <w:tc>
          <w:tcPr>
            <w:tcW w:w="7243" w:type="dxa"/>
            <w:shd w:val="clear" w:color="auto" w:fill="auto"/>
          </w:tcPr>
          <w:p w:rsidR="00CE2AA0" w:rsidRDefault="00184AE9" w:rsidP="00640605">
            <w:pPr>
              <w:pStyle w:val="142"/>
              <w:ind w:left="566" w:firstLine="566"/>
            </w:pPr>
            <w:r>
              <w:rPr>
                <w:noProof/>
              </w:rPr>
              <w:drawing>
                <wp:anchor distT="0" distB="0" distL="114300" distR="114300" simplePos="0" relativeHeight="251652608" behindDoc="0" locked="0" layoutInCell="1" allowOverlap="1">
                  <wp:simplePos x="0" y="0"/>
                  <wp:positionH relativeFrom="column">
                    <wp:posOffset>65405</wp:posOffset>
                  </wp:positionH>
                  <wp:positionV relativeFrom="paragraph">
                    <wp:posOffset>0</wp:posOffset>
                  </wp:positionV>
                  <wp:extent cx="4459605" cy="1993900"/>
                  <wp:effectExtent l="0" t="0" r="0" b="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lum contrast="20000"/>
                            <a:extLst>
                              <a:ext uri="{28A0092B-C50C-407E-A947-70E740481C1C}">
                                <a14:useLocalDpi xmlns:a14="http://schemas.microsoft.com/office/drawing/2010/main" val="0"/>
                              </a:ext>
                            </a:extLst>
                          </a:blip>
                          <a:srcRect/>
                          <a:stretch>
                            <a:fillRect/>
                          </a:stretch>
                        </pic:blipFill>
                        <pic:spPr bwMode="auto">
                          <a:xfrm>
                            <a:off x="0" y="0"/>
                            <a:ext cx="4459605" cy="1993900"/>
                          </a:xfrm>
                          <a:prstGeom prst="rect">
                            <a:avLst/>
                          </a:prstGeom>
                          <a:noFill/>
                        </pic:spPr>
                      </pic:pic>
                    </a:graphicData>
                  </a:graphic>
                  <wp14:sizeRelH relativeFrom="page">
                    <wp14:pctWidth>0</wp14:pctWidth>
                  </wp14:sizeRelH>
                  <wp14:sizeRelV relativeFrom="page">
                    <wp14:pctHeight>0</wp14:pctHeight>
                  </wp14:sizeRelV>
                </wp:anchor>
              </w:drawing>
            </w:r>
          </w:p>
        </w:tc>
        <w:tc>
          <w:tcPr>
            <w:tcW w:w="1405" w:type="dxa"/>
            <w:shd w:val="clear" w:color="auto" w:fill="auto"/>
          </w:tcPr>
          <w:p w:rsidR="00CE2AA0" w:rsidRDefault="00184AE9" w:rsidP="00640605">
            <w:pPr>
              <w:pStyle w:val="142"/>
              <w:ind w:left="566" w:firstLine="566"/>
            </w:pPr>
            <w:r>
              <w:rPr>
                <w:noProof/>
              </w:rPr>
              <w:drawing>
                <wp:anchor distT="0" distB="0" distL="114300" distR="114300" simplePos="0" relativeHeight="251658752" behindDoc="0" locked="0" layoutInCell="1" allowOverlap="1">
                  <wp:simplePos x="0" y="0"/>
                  <wp:positionH relativeFrom="column">
                    <wp:posOffset>0</wp:posOffset>
                  </wp:positionH>
                  <wp:positionV relativeFrom="paragraph">
                    <wp:posOffset>205740</wp:posOffset>
                  </wp:positionV>
                  <wp:extent cx="755015" cy="503555"/>
                  <wp:effectExtent l="0" t="0" r="0" b="0"/>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5015" cy="503555"/>
                          </a:xfrm>
                          <a:prstGeom prst="rect">
                            <a:avLst/>
                          </a:prstGeom>
                          <a:noFill/>
                        </pic:spPr>
                      </pic:pic>
                    </a:graphicData>
                  </a:graphic>
                  <wp14:sizeRelH relativeFrom="page">
                    <wp14:pctWidth>0</wp14:pctWidth>
                  </wp14:sizeRelH>
                  <wp14:sizeRelV relativeFrom="page">
                    <wp14:pctHeight>0</wp14:pctHeight>
                  </wp14:sizeRelV>
                </wp:anchor>
              </w:drawing>
            </w:r>
          </w:p>
          <w:p w:rsidR="00CE2AA0" w:rsidRDefault="00CE2AA0" w:rsidP="00640605">
            <w:pPr>
              <w:pStyle w:val="142"/>
              <w:ind w:left="566" w:firstLine="566"/>
            </w:pPr>
          </w:p>
          <w:p w:rsidR="00CE2AA0" w:rsidRDefault="00CE2AA0" w:rsidP="00640605">
            <w:pPr>
              <w:pStyle w:val="142"/>
              <w:ind w:left="566" w:firstLine="566"/>
            </w:pPr>
          </w:p>
          <w:p w:rsidR="00CE2AA0" w:rsidRDefault="00CE2AA0" w:rsidP="00640605">
            <w:pPr>
              <w:pStyle w:val="142"/>
              <w:ind w:left="566" w:firstLine="566"/>
            </w:pPr>
          </w:p>
          <w:p w:rsidR="00CE2AA0" w:rsidRDefault="00CE2AA0" w:rsidP="00640605">
            <w:pPr>
              <w:pStyle w:val="142"/>
              <w:ind w:left="566" w:firstLine="566"/>
            </w:pPr>
          </w:p>
          <w:p w:rsidR="00CE2AA0" w:rsidRDefault="00CE2AA0" w:rsidP="00640605">
            <w:pPr>
              <w:pStyle w:val="142"/>
              <w:ind w:left="566" w:firstLine="566"/>
            </w:pPr>
          </w:p>
        </w:tc>
      </w:tr>
    </w:tbl>
    <w:p w:rsidR="00CE2AA0" w:rsidRPr="008C0BEB" w:rsidRDefault="00CE2AA0" w:rsidP="00640605">
      <w:pPr>
        <w:pStyle w:val="21"/>
        <w:spacing w:beforeLines="50" w:before="255"/>
        <w:ind w:leftChars="-100" w:left="851" w:hangingChars="400" w:hanging="1134"/>
        <w:rPr>
          <w:b/>
        </w:rPr>
      </w:pPr>
      <w:r>
        <w:rPr>
          <w:rFonts w:hint="eastAsia"/>
          <w:b/>
        </w:rPr>
        <w:lastRenderedPageBreak/>
        <w:t>圖3</w:t>
      </w:r>
      <w:r w:rsidRPr="008C0BEB">
        <w:rPr>
          <w:b/>
        </w:rPr>
        <w:t xml:space="preserve">  </w:t>
      </w:r>
      <w:r>
        <w:rPr>
          <w:rFonts w:hint="eastAsia"/>
          <w:b/>
        </w:rPr>
        <w:t>毒品持有新收人數</w:t>
      </w:r>
      <w:r w:rsidRPr="009833C0">
        <w:rPr>
          <w:rFonts w:hint="eastAsia"/>
          <w:b/>
        </w:rPr>
        <w:t>(案次還原人數)</w:t>
      </w:r>
      <w:r>
        <w:rPr>
          <w:rFonts w:hint="eastAsia"/>
          <w:b/>
        </w:rPr>
        <w:t>圖</w:t>
      </w:r>
    </w:p>
    <w:tbl>
      <w:tblPr>
        <w:tblW w:w="8735"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5"/>
      </w:tblGrid>
      <w:tr w:rsidR="00CE2AA0" w:rsidTr="00640605">
        <w:tc>
          <w:tcPr>
            <w:tcW w:w="8735" w:type="dxa"/>
            <w:shd w:val="clear" w:color="auto" w:fill="auto"/>
          </w:tcPr>
          <w:p w:rsidR="00CE2AA0" w:rsidRDefault="00184AE9" w:rsidP="00640605">
            <w:pPr>
              <w:pStyle w:val="142"/>
              <w:spacing w:line="240" w:lineRule="exact"/>
              <w:ind w:left="566" w:firstLine="566"/>
            </w:pPr>
            <w:r>
              <w:rPr>
                <w:noProof/>
              </w:rPr>
              <w:drawing>
                <wp:anchor distT="0" distB="0" distL="114300" distR="114300" simplePos="0" relativeHeight="251653632" behindDoc="0" locked="0" layoutInCell="1" allowOverlap="1">
                  <wp:simplePos x="0" y="0"/>
                  <wp:positionH relativeFrom="column">
                    <wp:posOffset>71120</wp:posOffset>
                  </wp:positionH>
                  <wp:positionV relativeFrom="paragraph">
                    <wp:posOffset>145415</wp:posOffset>
                  </wp:positionV>
                  <wp:extent cx="5325110" cy="1793240"/>
                  <wp:effectExtent l="0" t="0" r="0"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25110" cy="1793240"/>
                          </a:xfrm>
                          <a:prstGeom prst="rect">
                            <a:avLst/>
                          </a:prstGeom>
                          <a:noFill/>
                        </pic:spPr>
                      </pic:pic>
                    </a:graphicData>
                  </a:graphic>
                  <wp14:sizeRelH relativeFrom="page">
                    <wp14:pctWidth>0</wp14:pctWidth>
                  </wp14:sizeRelH>
                  <wp14:sizeRelV relativeFrom="page">
                    <wp14:pctHeight>0</wp14:pctHeight>
                  </wp14:sizeRelV>
                </wp:anchor>
              </w:drawing>
            </w:r>
          </w:p>
        </w:tc>
      </w:tr>
    </w:tbl>
    <w:p w:rsidR="00CE2AA0" w:rsidRPr="008C0BEB" w:rsidRDefault="00CE2AA0" w:rsidP="00640605">
      <w:pPr>
        <w:pStyle w:val="21"/>
        <w:ind w:leftChars="-100" w:left="851" w:hangingChars="400" w:hanging="1134"/>
        <w:rPr>
          <w:b/>
        </w:rPr>
      </w:pPr>
      <w:r>
        <w:rPr>
          <w:rFonts w:hint="eastAsia"/>
          <w:b/>
        </w:rPr>
        <w:t>圖4</w:t>
      </w:r>
      <w:r w:rsidRPr="008C0BEB">
        <w:rPr>
          <w:b/>
        </w:rPr>
        <w:t xml:space="preserve">  </w:t>
      </w:r>
      <w:r w:rsidRPr="003B7BE3">
        <w:rPr>
          <w:rFonts w:hint="eastAsia"/>
          <w:b/>
        </w:rPr>
        <w:t>製造、販賣及運輸新收人數</w:t>
      </w:r>
      <w:r w:rsidRPr="009833C0">
        <w:rPr>
          <w:rFonts w:hint="eastAsia"/>
          <w:b/>
        </w:rPr>
        <w:t>(案次還原人數)</w:t>
      </w:r>
      <w:r>
        <w:rPr>
          <w:rFonts w:hint="eastAsia"/>
          <w:b/>
        </w:rPr>
        <w:t>圖</w:t>
      </w:r>
    </w:p>
    <w:tbl>
      <w:tblPr>
        <w:tblW w:w="8735"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5"/>
      </w:tblGrid>
      <w:tr w:rsidR="00CE2AA0" w:rsidTr="00640605">
        <w:trPr>
          <w:trHeight w:val="2969"/>
        </w:trPr>
        <w:tc>
          <w:tcPr>
            <w:tcW w:w="8735" w:type="dxa"/>
            <w:tcBorders>
              <w:bottom w:val="single" w:sz="4" w:space="0" w:color="auto"/>
            </w:tcBorders>
            <w:shd w:val="clear" w:color="auto" w:fill="auto"/>
          </w:tcPr>
          <w:p w:rsidR="00CE2AA0" w:rsidRDefault="00184AE9" w:rsidP="00640605">
            <w:pPr>
              <w:pStyle w:val="142"/>
              <w:spacing w:line="240" w:lineRule="exact"/>
              <w:ind w:left="566" w:firstLine="566"/>
            </w:pPr>
            <w:r>
              <w:rPr>
                <w:noProof/>
              </w:rPr>
              <w:drawing>
                <wp:anchor distT="0" distB="0" distL="114300" distR="114300" simplePos="0" relativeHeight="251654656" behindDoc="0" locked="0" layoutInCell="1" allowOverlap="1">
                  <wp:simplePos x="0" y="0"/>
                  <wp:positionH relativeFrom="column">
                    <wp:posOffset>71120</wp:posOffset>
                  </wp:positionH>
                  <wp:positionV relativeFrom="paragraph">
                    <wp:posOffset>113665</wp:posOffset>
                  </wp:positionV>
                  <wp:extent cx="5314950" cy="2092960"/>
                  <wp:effectExtent l="0" t="0" r="0" b="0"/>
                  <wp:wrapSquare wrapText="bothSides"/>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4950" cy="2092960"/>
                          </a:xfrm>
                          <a:prstGeom prst="rect">
                            <a:avLst/>
                          </a:prstGeom>
                          <a:noFill/>
                        </pic:spPr>
                      </pic:pic>
                    </a:graphicData>
                  </a:graphic>
                  <wp14:sizeRelH relativeFrom="page">
                    <wp14:pctWidth>0</wp14:pctWidth>
                  </wp14:sizeRelH>
                  <wp14:sizeRelV relativeFrom="page">
                    <wp14:pctHeight>0</wp14:pctHeight>
                  </wp14:sizeRelV>
                </wp:anchor>
              </w:drawing>
            </w:r>
          </w:p>
        </w:tc>
      </w:tr>
    </w:tbl>
    <w:p w:rsidR="00CE2AA0" w:rsidRDefault="00CE2AA0" w:rsidP="00640605">
      <w:pPr>
        <w:pStyle w:val="21"/>
        <w:ind w:leftChars="-100" w:left="-283" w:firstLineChars="0" w:firstLine="0"/>
        <w:rPr>
          <w:noProof/>
        </w:rPr>
      </w:pPr>
      <w:r>
        <w:rPr>
          <w:rFonts w:hint="eastAsia"/>
          <w:b/>
        </w:rPr>
        <w:t>圖</w:t>
      </w:r>
      <w:r w:rsidRPr="00DD7825">
        <w:rPr>
          <w:rFonts w:hint="eastAsia"/>
          <w:b/>
        </w:rPr>
        <w:t>5</w:t>
      </w:r>
      <w:r w:rsidRPr="00DD7825">
        <w:rPr>
          <w:b/>
        </w:rPr>
        <w:t xml:space="preserve">  </w:t>
      </w:r>
      <w:r w:rsidRPr="00DD7825">
        <w:rPr>
          <w:rFonts w:hint="eastAsia"/>
          <w:b/>
        </w:rPr>
        <w:t>毒品新生人口</w:t>
      </w:r>
      <w:r>
        <w:rPr>
          <w:rFonts w:hint="eastAsia"/>
          <w:b/>
        </w:rPr>
        <w:t>圖</w:t>
      </w:r>
    </w:p>
    <w:tbl>
      <w:tblPr>
        <w:tblW w:w="8735"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5"/>
      </w:tblGrid>
      <w:tr w:rsidR="00CE2AA0" w:rsidTr="00640605">
        <w:trPr>
          <w:trHeight w:val="4814"/>
        </w:trPr>
        <w:tc>
          <w:tcPr>
            <w:tcW w:w="8735" w:type="dxa"/>
            <w:tcBorders>
              <w:top w:val="single" w:sz="4" w:space="0" w:color="auto"/>
              <w:bottom w:val="single" w:sz="4" w:space="0" w:color="auto"/>
            </w:tcBorders>
            <w:shd w:val="clear" w:color="auto" w:fill="auto"/>
          </w:tcPr>
          <w:p w:rsidR="00CE2AA0" w:rsidRDefault="00184AE9" w:rsidP="00640605">
            <w:pPr>
              <w:pStyle w:val="142"/>
              <w:spacing w:line="240" w:lineRule="exact"/>
              <w:ind w:left="566" w:firstLine="566"/>
              <w:rPr>
                <w:noProof/>
                <w:snapToGrid/>
              </w:rPr>
            </w:pPr>
            <w:r>
              <w:rPr>
                <w:noProof/>
              </w:rPr>
              <w:drawing>
                <wp:anchor distT="0" distB="0" distL="114300" distR="114300" simplePos="0" relativeHeight="251655680" behindDoc="0" locked="0" layoutInCell="1" allowOverlap="1">
                  <wp:simplePos x="0" y="0"/>
                  <wp:positionH relativeFrom="column">
                    <wp:posOffset>-6350</wp:posOffset>
                  </wp:positionH>
                  <wp:positionV relativeFrom="paragraph">
                    <wp:posOffset>1905</wp:posOffset>
                  </wp:positionV>
                  <wp:extent cx="5033010" cy="2863850"/>
                  <wp:effectExtent l="0" t="0" r="0" b="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lum contrast="20000"/>
                            <a:extLst>
                              <a:ext uri="{28A0092B-C50C-407E-A947-70E740481C1C}">
                                <a14:useLocalDpi xmlns:a14="http://schemas.microsoft.com/office/drawing/2010/main" val="0"/>
                              </a:ext>
                            </a:extLst>
                          </a:blip>
                          <a:srcRect/>
                          <a:stretch>
                            <a:fillRect/>
                          </a:stretch>
                        </pic:blipFill>
                        <pic:spPr bwMode="auto">
                          <a:xfrm>
                            <a:off x="0" y="0"/>
                            <a:ext cx="5033010" cy="2863850"/>
                          </a:xfrm>
                          <a:prstGeom prst="rect">
                            <a:avLst/>
                          </a:prstGeom>
                          <a:noFill/>
                        </pic:spPr>
                      </pic:pic>
                    </a:graphicData>
                  </a:graphic>
                  <wp14:sizeRelH relativeFrom="page">
                    <wp14:pctWidth>0</wp14:pctWidth>
                  </wp14:sizeRelH>
                  <wp14:sizeRelV relativeFrom="page">
                    <wp14:pctHeight>0</wp14:pctHeight>
                  </wp14:sizeRelV>
                </wp:anchor>
              </w:drawing>
            </w:r>
          </w:p>
          <w:p w:rsidR="00CE2AA0" w:rsidRPr="008347A4" w:rsidRDefault="00CE2AA0" w:rsidP="00640605">
            <w:pPr>
              <w:pStyle w:val="142"/>
              <w:spacing w:line="240" w:lineRule="exact"/>
              <w:ind w:left="566" w:firstLine="566"/>
              <w:rPr>
                <w:noProof/>
              </w:rPr>
            </w:pPr>
          </w:p>
        </w:tc>
      </w:tr>
    </w:tbl>
    <w:p w:rsidR="00CE2AA0" w:rsidRPr="00C3609D" w:rsidRDefault="00CE2AA0" w:rsidP="00640605">
      <w:pPr>
        <w:pStyle w:val="21"/>
        <w:spacing w:line="400" w:lineRule="exact"/>
        <w:ind w:leftChars="-100" w:left="420" w:hangingChars="263" w:hanging="703"/>
        <w:rPr>
          <w:noProof/>
          <w:spacing w:val="-8"/>
        </w:rPr>
      </w:pPr>
      <w:r>
        <w:rPr>
          <w:rFonts w:hint="eastAsia"/>
          <w:b/>
          <w:spacing w:val="-8"/>
        </w:rPr>
        <w:lastRenderedPageBreak/>
        <w:t>圖</w:t>
      </w:r>
      <w:r w:rsidRPr="00C3609D">
        <w:rPr>
          <w:rFonts w:hint="eastAsia"/>
          <w:b/>
          <w:spacing w:val="-8"/>
        </w:rPr>
        <w:t>6</w:t>
      </w:r>
      <w:r w:rsidRPr="00C3609D">
        <w:rPr>
          <w:b/>
          <w:spacing w:val="-8"/>
        </w:rPr>
        <w:t xml:space="preserve">  </w:t>
      </w:r>
      <w:r w:rsidRPr="00C3609D">
        <w:rPr>
          <w:rFonts w:hint="eastAsia"/>
          <w:b/>
          <w:spacing w:val="-8"/>
        </w:rPr>
        <w:t>2018年至</w:t>
      </w:r>
      <w:r w:rsidRPr="00C3609D">
        <w:rPr>
          <w:b/>
          <w:spacing w:val="-8"/>
        </w:rPr>
        <w:t>2023</w:t>
      </w:r>
      <w:r w:rsidRPr="00C3609D">
        <w:rPr>
          <w:rFonts w:hint="eastAsia"/>
          <w:b/>
          <w:spacing w:val="-8"/>
        </w:rPr>
        <w:t>年地方檢察署一、二級毒品施用案件偵查終結有犯罪嫌疑者，經追蹤至2023年底再次偵結有犯罪嫌疑之各罪情形圖</w:t>
      </w:r>
    </w:p>
    <w:tbl>
      <w:tblPr>
        <w:tblW w:w="8792"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2"/>
      </w:tblGrid>
      <w:tr w:rsidR="00CE2AA0" w:rsidRPr="00DD7825" w:rsidTr="00640605">
        <w:trPr>
          <w:trHeight w:val="2971"/>
        </w:trPr>
        <w:tc>
          <w:tcPr>
            <w:tcW w:w="8792" w:type="dxa"/>
            <w:tcBorders>
              <w:bottom w:val="single" w:sz="4" w:space="0" w:color="auto"/>
            </w:tcBorders>
            <w:shd w:val="clear" w:color="auto" w:fill="auto"/>
          </w:tcPr>
          <w:p w:rsidR="00CE2AA0" w:rsidRDefault="00184AE9" w:rsidP="00640605">
            <w:pPr>
              <w:pStyle w:val="142"/>
              <w:spacing w:line="240" w:lineRule="exact"/>
              <w:ind w:left="566" w:firstLine="566"/>
              <w:rPr>
                <w:noProof/>
              </w:rPr>
            </w:pPr>
            <w:r>
              <w:rPr>
                <w:noProof/>
                <w:snapToGrid/>
              </w:rPr>
              <w:drawing>
                <wp:anchor distT="0" distB="0" distL="114300" distR="114300" simplePos="0" relativeHeight="251656704" behindDoc="0" locked="0" layoutInCell="1" allowOverlap="1">
                  <wp:simplePos x="0" y="0"/>
                  <wp:positionH relativeFrom="column">
                    <wp:posOffset>13970</wp:posOffset>
                  </wp:positionH>
                  <wp:positionV relativeFrom="paragraph">
                    <wp:posOffset>20955</wp:posOffset>
                  </wp:positionV>
                  <wp:extent cx="5276850" cy="2351405"/>
                  <wp:effectExtent l="0" t="0" r="0" b="0"/>
                  <wp:wrapSquare wrapText="bothSides"/>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lum bright="-40000" contrast="44000"/>
                            <a:extLst>
                              <a:ext uri="{28A0092B-C50C-407E-A947-70E740481C1C}">
                                <a14:useLocalDpi xmlns:a14="http://schemas.microsoft.com/office/drawing/2010/main" val="0"/>
                              </a:ext>
                            </a:extLst>
                          </a:blip>
                          <a:srcRect/>
                          <a:stretch>
                            <a:fillRect/>
                          </a:stretch>
                        </pic:blipFill>
                        <pic:spPr bwMode="auto">
                          <a:xfrm>
                            <a:off x="0" y="0"/>
                            <a:ext cx="5276850" cy="2351405"/>
                          </a:xfrm>
                          <a:prstGeom prst="rect">
                            <a:avLst/>
                          </a:prstGeom>
                          <a:noFill/>
                        </pic:spPr>
                      </pic:pic>
                    </a:graphicData>
                  </a:graphic>
                  <wp14:sizeRelH relativeFrom="page">
                    <wp14:pctWidth>0</wp14:pctWidth>
                  </wp14:sizeRelH>
                  <wp14:sizeRelV relativeFrom="page">
                    <wp14:pctHeight>0</wp14:pctHeight>
                  </wp14:sizeRelV>
                </wp:anchor>
              </w:drawing>
            </w:r>
          </w:p>
        </w:tc>
      </w:tr>
    </w:tbl>
    <w:p w:rsidR="00CE2AA0" w:rsidRPr="00BA1CA5" w:rsidRDefault="00CE2AA0" w:rsidP="00640605">
      <w:pPr>
        <w:pStyle w:val="a5"/>
        <w:ind w:left="849" w:hanging="283"/>
        <w:rPr>
          <w:b/>
        </w:rPr>
      </w:pPr>
      <w:r w:rsidRPr="00BA1CA5">
        <w:rPr>
          <w:rFonts w:hint="eastAsia"/>
          <w:b/>
        </w:rPr>
        <w:t>(三)10</w:t>
      </w:r>
      <w:r>
        <w:rPr>
          <w:rFonts w:hint="eastAsia"/>
          <w:b/>
        </w:rPr>
        <w:t>3</w:t>
      </w:r>
      <w:r w:rsidRPr="00BA1CA5">
        <w:rPr>
          <w:rFonts w:hint="eastAsia"/>
          <w:b/>
        </w:rPr>
        <w:t>至112年每年有超逾1萬人因酒駕事故傷亡，且民眾咸認酒駕為最嚴重交通問題，允宜加強執法</w:t>
      </w:r>
    </w:p>
    <w:p w:rsidR="00CE2AA0" w:rsidRPr="00772D76" w:rsidRDefault="00CE2AA0" w:rsidP="00640605">
      <w:pPr>
        <w:pStyle w:val="21"/>
        <w:ind w:left="850" w:firstLine="566"/>
      </w:pPr>
      <w:r w:rsidRPr="002A10AF">
        <w:rPr>
          <w:rFonts w:hint="eastAsia"/>
        </w:rPr>
        <w:t>政府為遏阻酒駕事件，已多次修正道路交通管理處罰條例及中華民國刑法(以下簡稱刑法)等相關規定，其中刑法第185條之3規定，針對</w:t>
      </w:r>
      <w:r w:rsidRPr="002A10AF">
        <w:t>酒駕未肇事者</w:t>
      </w:r>
      <w:r w:rsidRPr="002A10AF">
        <w:rPr>
          <w:rFonts w:hint="eastAsia"/>
        </w:rPr>
        <w:t>、</w:t>
      </w:r>
      <w:r w:rsidRPr="002A10AF">
        <w:t>酒駕</w:t>
      </w:r>
      <w:r w:rsidRPr="002A10AF">
        <w:rPr>
          <w:rFonts w:hint="eastAsia"/>
        </w:rPr>
        <w:t>肇事致</w:t>
      </w:r>
      <w:r w:rsidRPr="002A10AF">
        <w:t>重傷者</w:t>
      </w:r>
      <w:r w:rsidRPr="002A10AF">
        <w:rPr>
          <w:rFonts w:hint="eastAsia"/>
        </w:rPr>
        <w:t>及</w:t>
      </w:r>
      <w:r w:rsidRPr="002A10AF">
        <w:t>酒駕</w:t>
      </w:r>
      <w:r w:rsidRPr="002A10AF">
        <w:rPr>
          <w:rFonts w:hint="eastAsia"/>
        </w:rPr>
        <w:t>肇事致人於死</w:t>
      </w:r>
      <w:r w:rsidRPr="002A10AF">
        <w:t>者</w:t>
      </w:r>
      <w:r w:rsidRPr="002A10AF">
        <w:rPr>
          <w:rFonts w:hint="eastAsia"/>
        </w:rPr>
        <w:t>均提高刑度或併科罰金，並延長酒駕肇事累</w:t>
      </w:r>
      <w:r w:rsidRPr="002A10AF">
        <w:t>犯</w:t>
      </w:r>
      <w:r w:rsidRPr="002A10AF">
        <w:rPr>
          <w:rFonts w:hint="eastAsia"/>
        </w:rPr>
        <w:t>之認定期間及增訂得併科罰金。</w:t>
      </w:r>
      <w:r>
        <w:rPr>
          <w:rFonts w:hint="eastAsia"/>
        </w:rPr>
        <w:t>依警政署112年「警察交通執法與事故處理滿意度調查報告」，民眾認為我國目前最嚴重之交通違規問題首推「酒後駕車」(每百人有41.46人)，其次依序為「違規停車」(每百人有35.09人)、「危險駕車」(每百人有33.99人)及「闖紅燈」(每百人有32.26人)，再其次方為「不依規定轉彎」(每百人有18.86人)、「不依規定使用方向燈」(每百人有15.46人)及「車不禮讓行人」(每百人有11.04人)（詳圖7）；又連續111及112年超過6成民眾認同修法再加重「酒後駕車」相關罰則等規定，且6成4民眾認為上開加重罰則等措施可達嚇阻且降低酒後駕車肇事致人死傷案件之作用，顯示民眾認同政府推動修法之作為。惟</w:t>
      </w:r>
      <w:r w:rsidRPr="002A10AF">
        <w:rPr>
          <w:rFonts w:hint="eastAsia"/>
        </w:rPr>
        <w:t>依據交通部公布之統計資料(詳表</w:t>
      </w:r>
      <w:r>
        <w:rPr>
          <w:rFonts w:hint="eastAsia"/>
        </w:rPr>
        <w:t>4</w:t>
      </w:r>
      <w:r w:rsidRPr="002A10AF">
        <w:rPr>
          <w:rFonts w:hint="eastAsia"/>
        </w:rPr>
        <w:t>)，</w:t>
      </w:r>
      <w:r w:rsidRPr="002A10AF">
        <w:rPr>
          <w:rFonts w:hint="eastAsia"/>
        </w:rPr>
        <w:lastRenderedPageBreak/>
        <w:t>1</w:t>
      </w:r>
      <w:r w:rsidRPr="002A10AF">
        <w:t>0</w:t>
      </w:r>
      <w:r w:rsidRPr="002A10AF">
        <w:rPr>
          <w:rFonts w:hint="eastAsia"/>
        </w:rPr>
        <w:t>3至111年酒駕致人員死傷之交通事故件數及傷亡人數雖呈遞減，惟每年仍有超逾1萬人因酒駕事故受傷或死亡；而112年酒駕交通事故件數較111年增加，且受傷人數復自111年之</w:t>
      </w:r>
      <w:r>
        <w:rPr>
          <w:rFonts w:hint="eastAsia"/>
        </w:rPr>
        <w:t>9</w:t>
      </w:r>
      <w:r>
        <w:t>,875</w:t>
      </w:r>
      <w:r w:rsidRPr="002A10AF">
        <w:rPr>
          <w:rFonts w:hint="eastAsia"/>
        </w:rPr>
        <w:t>人增為1萬81人，</w:t>
      </w:r>
      <w:r>
        <w:rPr>
          <w:rFonts w:hint="eastAsia"/>
        </w:rPr>
        <w:t>爰宜落實酒駕之取締工作，並積極研謀</w:t>
      </w:r>
      <w:r w:rsidRPr="002A10AF">
        <w:rPr>
          <w:rFonts w:hint="eastAsia"/>
        </w:rPr>
        <w:t>改善酒駕防制成效。</w:t>
      </w:r>
    </w:p>
    <w:p w:rsidR="00CE2AA0" w:rsidRPr="00CC3B13" w:rsidRDefault="00CE2AA0" w:rsidP="00640605">
      <w:pPr>
        <w:pStyle w:val="21"/>
        <w:spacing w:line="400" w:lineRule="exact"/>
        <w:ind w:leftChars="178" w:left="504" w:firstLineChars="122" w:firstLine="346"/>
        <w:rPr>
          <w:b/>
        </w:rPr>
      </w:pPr>
      <w:r>
        <w:rPr>
          <w:rFonts w:hint="eastAsia"/>
          <w:b/>
        </w:rPr>
        <w:t>圖7</w:t>
      </w:r>
      <w:r w:rsidRPr="008C0BEB">
        <w:rPr>
          <w:b/>
        </w:rPr>
        <w:t xml:space="preserve">  </w:t>
      </w:r>
      <w:r>
        <w:rPr>
          <w:rFonts w:hint="eastAsia"/>
          <w:b/>
        </w:rPr>
        <w:t xml:space="preserve">民眾認為我國最嚴重之交通違規問題       </w:t>
      </w:r>
      <w:r w:rsidRPr="009D703F">
        <w:rPr>
          <w:rFonts w:hint="eastAsia"/>
          <w:sz w:val="22"/>
          <w:szCs w:val="22"/>
        </w:rPr>
        <w:t>單位：人/百人</w:t>
      </w:r>
    </w:p>
    <w:tbl>
      <w:tblPr>
        <w:tblW w:w="7629" w:type="dxa"/>
        <w:tblInd w:w="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9"/>
      </w:tblGrid>
      <w:tr w:rsidR="00CE2AA0" w:rsidRPr="00AF2DE2" w:rsidTr="00640605">
        <w:tc>
          <w:tcPr>
            <w:tcW w:w="7629" w:type="dxa"/>
            <w:shd w:val="clear" w:color="auto" w:fill="auto"/>
          </w:tcPr>
          <w:p w:rsidR="00CE2AA0" w:rsidRPr="00AF2DE2" w:rsidRDefault="00184AE9" w:rsidP="00640605">
            <w:pPr>
              <w:ind w:left="566" w:firstLine="566"/>
            </w:pPr>
            <w:r>
              <w:rPr>
                <w:noProof/>
                <w:snapToGrid/>
              </w:rPr>
              <w:drawing>
                <wp:anchor distT="0" distB="0" distL="114300" distR="114300" simplePos="0" relativeHeight="251659776" behindDoc="0" locked="0" layoutInCell="1" allowOverlap="1">
                  <wp:simplePos x="0" y="0"/>
                  <wp:positionH relativeFrom="column">
                    <wp:posOffset>100965</wp:posOffset>
                  </wp:positionH>
                  <wp:positionV relativeFrom="paragraph">
                    <wp:posOffset>6350</wp:posOffset>
                  </wp:positionV>
                  <wp:extent cx="4101465" cy="2103120"/>
                  <wp:effectExtent l="0" t="0" r="0" b="0"/>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01465" cy="2103120"/>
                          </a:xfrm>
                          <a:prstGeom prst="rect">
                            <a:avLst/>
                          </a:prstGeom>
                          <a:noFill/>
                        </pic:spPr>
                      </pic:pic>
                    </a:graphicData>
                  </a:graphic>
                  <wp14:sizeRelH relativeFrom="page">
                    <wp14:pctWidth>0</wp14:pctWidth>
                  </wp14:sizeRelH>
                  <wp14:sizeRelV relativeFrom="page">
                    <wp14:pctHeight>0</wp14:pctHeight>
                  </wp14:sizeRelV>
                </wp:anchor>
              </w:drawing>
            </w:r>
          </w:p>
        </w:tc>
      </w:tr>
    </w:tbl>
    <w:p w:rsidR="00CE2AA0" w:rsidRPr="00CC3B13" w:rsidRDefault="00CE2AA0" w:rsidP="00640605">
      <w:pPr>
        <w:pStyle w:val="142"/>
        <w:ind w:leftChars="300" w:left="2283" w:hangingChars="589" w:hanging="1433"/>
      </w:pPr>
      <w:r>
        <w:rPr>
          <w:rFonts w:hint="eastAsia"/>
        </w:rPr>
        <w:t>資料來源：112年度警察交通執法與事故處理滿意度調查報告。</w:t>
      </w:r>
    </w:p>
    <w:p w:rsidR="00CE2AA0" w:rsidRPr="00CC3B13" w:rsidRDefault="00CE2AA0" w:rsidP="00640605">
      <w:pPr>
        <w:pStyle w:val="21"/>
        <w:spacing w:line="400" w:lineRule="exact"/>
        <w:ind w:leftChars="178" w:left="504" w:firstLineChars="122" w:firstLine="346"/>
        <w:rPr>
          <w:b/>
        </w:rPr>
      </w:pPr>
      <w:r>
        <w:rPr>
          <w:rFonts w:hint="eastAsia"/>
          <w:b/>
        </w:rPr>
        <w:t>表4</w:t>
      </w:r>
      <w:r w:rsidRPr="008C0BEB">
        <w:rPr>
          <w:b/>
        </w:rPr>
        <w:t xml:space="preserve">  </w:t>
      </w:r>
      <w:r w:rsidRPr="00CC3B13">
        <w:rPr>
          <w:rFonts w:hint="eastAsia"/>
          <w:b/>
        </w:rPr>
        <w:t>酒後駕車交通事故</w:t>
      </w:r>
      <w:r>
        <w:rPr>
          <w:rFonts w:hint="eastAsia"/>
          <w:b/>
        </w:rPr>
        <w:t>件數及死傷情形表</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850"/>
        <w:gridCol w:w="1560"/>
        <w:gridCol w:w="1559"/>
        <w:gridCol w:w="1559"/>
        <w:gridCol w:w="2126"/>
      </w:tblGrid>
      <w:tr w:rsidR="00CE2AA0" w:rsidRPr="009875EB" w:rsidTr="00640605">
        <w:trPr>
          <w:trHeight w:val="276"/>
          <w:tblHeader/>
        </w:trPr>
        <w:tc>
          <w:tcPr>
            <w:tcW w:w="850" w:type="dxa"/>
            <w:shd w:val="clear" w:color="auto" w:fill="FFFFFF"/>
            <w:vAlign w:val="center"/>
            <w:hideMark/>
          </w:tcPr>
          <w:p w:rsidR="00CE2AA0" w:rsidRPr="009875EB" w:rsidRDefault="00CE2AA0" w:rsidP="00640605">
            <w:pPr>
              <w:pStyle w:val="142"/>
              <w:jc w:val="center"/>
              <w:rPr>
                <w:b/>
              </w:rPr>
            </w:pPr>
            <w:r w:rsidRPr="009875EB">
              <w:rPr>
                <w:rFonts w:hint="eastAsia"/>
                <w:b/>
              </w:rPr>
              <w:t>年度</w:t>
            </w:r>
          </w:p>
        </w:tc>
        <w:tc>
          <w:tcPr>
            <w:tcW w:w="1560" w:type="dxa"/>
            <w:shd w:val="clear" w:color="auto" w:fill="FFFFFF"/>
            <w:vAlign w:val="center"/>
            <w:hideMark/>
          </w:tcPr>
          <w:p w:rsidR="00CE2AA0" w:rsidRPr="009875EB" w:rsidRDefault="00CE2AA0" w:rsidP="00640605">
            <w:pPr>
              <w:pStyle w:val="142"/>
              <w:jc w:val="center"/>
              <w:rPr>
                <w:b/>
              </w:rPr>
            </w:pPr>
            <w:r w:rsidRPr="009875EB">
              <w:rPr>
                <w:rFonts w:hint="eastAsia"/>
                <w:b/>
              </w:rPr>
              <w:t>事故件數(件)</w:t>
            </w:r>
          </w:p>
        </w:tc>
        <w:tc>
          <w:tcPr>
            <w:tcW w:w="1559" w:type="dxa"/>
            <w:shd w:val="clear" w:color="auto" w:fill="FFFFFF"/>
            <w:vAlign w:val="center"/>
            <w:hideMark/>
          </w:tcPr>
          <w:p w:rsidR="00CE2AA0" w:rsidRPr="009875EB" w:rsidRDefault="00CE2AA0" w:rsidP="00640605">
            <w:pPr>
              <w:pStyle w:val="142"/>
              <w:jc w:val="center"/>
              <w:rPr>
                <w:b/>
              </w:rPr>
            </w:pPr>
            <w:r w:rsidRPr="009875EB">
              <w:rPr>
                <w:rFonts w:hint="eastAsia"/>
                <w:b/>
              </w:rPr>
              <w:t>死亡人數(人)</w:t>
            </w:r>
          </w:p>
        </w:tc>
        <w:tc>
          <w:tcPr>
            <w:tcW w:w="1559" w:type="dxa"/>
            <w:shd w:val="clear" w:color="auto" w:fill="FFFFFF"/>
            <w:vAlign w:val="center"/>
            <w:hideMark/>
          </w:tcPr>
          <w:p w:rsidR="00CE2AA0" w:rsidRPr="009875EB" w:rsidRDefault="00CE2AA0" w:rsidP="00640605">
            <w:pPr>
              <w:pStyle w:val="142"/>
              <w:jc w:val="center"/>
              <w:rPr>
                <w:b/>
              </w:rPr>
            </w:pPr>
            <w:r w:rsidRPr="009875EB">
              <w:rPr>
                <w:rFonts w:hint="eastAsia"/>
                <w:b/>
              </w:rPr>
              <w:t>受傷人數(人)</w:t>
            </w:r>
          </w:p>
        </w:tc>
        <w:tc>
          <w:tcPr>
            <w:tcW w:w="2126" w:type="dxa"/>
            <w:shd w:val="clear" w:color="auto" w:fill="FFFFFF"/>
            <w:noWrap/>
            <w:vAlign w:val="center"/>
            <w:hideMark/>
          </w:tcPr>
          <w:p w:rsidR="00CE2AA0" w:rsidRPr="009875EB" w:rsidRDefault="00CE2AA0" w:rsidP="00640605">
            <w:pPr>
              <w:pStyle w:val="142"/>
              <w:jc w:val="center"/>
              <w:rPr>
                <w:b/>
              </w:rPr>
            </w:pPr>
            <w:r w:rsidRPr="009875EB">
              <w:rPr>
                <w:rFonts w:hint="eastAsia"/>
                <w:b/>
              </w:rPr>
              <w:t>死傷人數合計(人)</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103年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13,822</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534</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17,563</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18,097</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104年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12,113</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467</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15,423</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15,890</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105年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11,245</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399</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14,386</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14,785</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106年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10,054</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332</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12,829</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13,161</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107年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9,718</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316</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12,384</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12,700</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108年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9,122</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294</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11,607</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11,901</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109年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8,893</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289</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11,225</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11,514</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110年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8,647</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311</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10,891</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11,202</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111年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7,863</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268</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9,875</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10,143</w:t>
            </w:r>
          </w:p>
        </w:tc>
      </w:tr>
      <w:tr w:rsidR="00CE2AA0" w:rsidRPr="00CC3B13" w:rsidTr="00640605">
        <w:trPr>
          <w:trHeight w:val="276"/>
        </w:trPr>
        <w:tc>
          <w:tcPr>
            <w:tcW w:w="850" w:type="dxa"/>
            <w:shd w:val="clear" w:color="auto" w:fill="FFFFFF"/>
            <w:noWrap/>
            <w:vAlign w:val="center"/>
            <w:hideMark/>
          </w:tcPr>
          <w:p w:rsidR="00CE2AA0" w:rsidRPr="00CC3B13" w:rsidRDefault="00CE2AA0" w:rsidP="00640605">
            <w:pPr>
              <w:pStyle w:val="142"/>
              <w:jc w:val="center"/>
            </w:pPr>
            <w:r w:rsidRPr="00CC3B13">
              <w:rPr>
                <w:rFonts w:hint="eastAsia"/>
              </w:rPr>
              <w:t>112年</w:t>
            </w:r>
          </w:p>
        </w:tc>
        <w:tc>
          <w:tcPr>
            <w:tcW w:w="1560" w:type="dxa"/>
            <w:shd w:val="clear" w:color="auto" w:fill="FFFFFF"/>
            <w:noWrap/>
            <w:vAlign w:val="center"/>
            <w:hideMark/>
          </w:tcPr>
          <w:p w:rsidR="00CE2AA0" w:rsidRPr="00CC3B13" w:rsidRDefault="00CE2AA0" w:rsidP="00640605">
            <w:pPr>
              <w:pStyle w:val="142"/>
              <w:jc w:val="right"/>
            </w:pPr>
            <w:r w:rsidRPr="00CC3B13">
              <w:rPr>
                <w:rFonts w:hint="eastAsia"/>
              </w:rPr>
              <w:t>7,954</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253</w:t>
            </w:r>
          </w:p>
        </w:tc>
        <w:tc>
          <w:tcPr>
            <w:tcW w:w="1559" w:type="dxa"/>
            <w:shd w:val="clear" w:color="auto" w:fill="FFFFFF"/>
            <w:noWrap/>
            <w:vAlign w:val="center"/>
            <w:hideMark/>
          </w:tcPr>
          <w:p w:rsidR="00CE2AA0" w:rsidRPr="00CC3B13" w:rsidRDefault="00CE2AA0" w:rsidP="00640605">
            <w:pPr>
              <w:pStyle w:val="142"/>
              <w:jc w:val="right"/>
            </w:pPr>
            <w:r w:rsidRPr="00CC3B13">
              <w:rPr>
                <w:rFonts w:hint="eastAsia"/>
              </w:rPr>
              <w:t>10,081</w:t>
            </w:r>
          </w:p>
        </w:tc>
        <w:tc>
          <w:tcPr>
            <w:tcW w:w="2126" w:type="dxa"/>
            <w:shd w:val="clear" w:color="auto" w:fill="FFFFFF"/>
            <w:noWrap/>
            <w:vAlign w:val="center"/>
            <w:hideMark/>
          </w:tcPr>
          <w:p w:rsidR="00CE2AA0" w:rsidRPr="00CC3B13" w:rsidRDefault="00CE2AA0" w:rsidP="00640605">
            <w:pPr>
              <w:pStyle w:val="142"/>
              <w:jc w:val="right"/>
            </w:pPr>
            <w:r w:rsidRPr="00CC3B13">
              <w:rPr>
                <w:rFonts w:hint="eastAsia"/>
              </w:rPr>
              <w:t>10,334</w:t>
            </w:r>
          </w:p>
        </w:tc>
      </w:tr>
    </w:tbl>
    <w:p w:rsidR="00CE2AA0" w:rsidRPr="00CC3B13" w:rsidRDefault="00CE2AA0" w:rsidP="00640605">
      <w:pPr>
        <w:pStyle w:val="142"/>
        <w:ind w:leftChars="300" w:left="2283" w:hangingChars="589" w:hanging="1433"/>
        <w:jc w:val="both"/>
      </w:pPr>
      <w:r w:rsidRPr="00CC3B13">
        <w:rPr>
          <w:rFonts w:hint="eastAsia"/>
        </w:rPr>
        <w:t>說</w:t>
      </w:r>
      <w:r>
        <w:rPr>
          <w:rFonts w:hint="eastAsia"/>
        </w:rPr>
        <w:t xml:space="preserve">    </w:t>
      </w:r>
      <w:r w:rsidRPr="00CC3B13">
        <w:rPr>
          <w:rFonts w:hint="eastAsia"/>
        </w:rPr>
        <w:t>明：</w:t>
      </w:r>
      <w:r>
        <w:rPr>
          <w:rFonts w:hint="eastAsia"/>
        </w:rPr>
        <w:t>1.本表統計之數據僅致死傷之事故</w:t>
      </w:r>
      <w:r w:rsidRPr="00CC3B13">
        <w:rPr>
          <w:rFonts w:hint="eastAsia"/>
        </w:rPr>
        <w:t>，係指任一駕駛人(包含汽車、機車、動力機械、慢車)經檢測有道路交通安全規則第114條酒精反應吐氣酒精濃度達0.15mg/L以上，所造成人員(包含當次事件波及之所有駕駛人、乘客、行人)死亡或受傷之事故。</w:t>
      </w:r>
    </w:p>
    <w:p w:rsidR="00CE2AA0" w:rsidRDefault="00CE2AA0" w:rsidP="00640605">
      <w:pPr>
        <w:pStyle w:val="142"/>
        <w:ind w:leftChars="300" w:left="2283" w:hangingChars="589" w:hanging="1433"/>
        <w:jc w:val="both"/>
      </w:pPr>
      <w:r>
        <w:rPr>
          <w:rFonts w:hint="eastAsia"/>
        </w:rPr>
        <w:t xml:space="preserve">          2</w:t>
      </w:r>
      <w:r w:rsidRPr="00CC3B13">
        <w:rPr>
          <w:rFonts w:hint="eastAsia"/>
        </w:rPr>
        <w:t>.酒後駕車交通事故死亡人數，係指酒後駕車交通事故造成人員當場或30日內死亡之人數。</w:t>
      </w:r>
    </w:p>
    <w:p w:rsidR="00CE2AA0" w:rsidRPr="00CC3B13" w:rsidRDefault="00CE2AA0" w:rsidP="00640605">
      <w:pPr>
        <w:pStyle w:val="142"/>
        <w:ind w:leftChars="300" w:left="2283" w:hangingChars="589" w:hanging="1433"/>
        <w:jc w:val="both"/>
      </w:pPr>
      <w:r>
        <w:rPr>
          <w:rFonts w:hint="eastAsia"/>
        </w:rPr>
        <w:t>資料來源：交通部統計查詢網。</w:t>
      </w:r>
    </w:p>
    <w:p w:rsidR="00CE2AA0" w:rsidRDefault="00CE2AA0" w:rsidP="00640605">
      <w:pPr>
        <w:ind w:left="566" w:firstLine="566"/>
      </w:pPr>
      <w:r>
        <w:rPr>
          <w:rFonts w:hint="eastAsia"/>
        </w:rPr>
        <w:t>綜上，為維護治安並打擊犯罪，中央政府每年投入逾百億元</w:t>
      </w:r>
      <w:r>
        <w:rPr>
          <w:rFonts w:hint="eastAsia"/>
        </w:rPr>
        <w:lastRenderedPageBreak/>
        <w:t>經費打擊犯罪，惟112年全般刑案發生數較111年度上揚，全般刑案破獲率雖稍有改善，惟112年汽機車竊盜案發生數增加及破獲率下降，毒品</w:t>
      </w:r>
      <w:r w:rsidRPr="00910AAB">
        <w:rPr>
          <w:rFonts w:hint="eastAsia"/>
        </w:rPr>
        <w:t>持有新收人數為近10年</w:t>
      </w:r>
      <w:r w:rsidR="003B7E04">
        <w:rPr>
          <w:rFonts w:hint="eastAsia"/>
        </w:rPr>
        <w:t>來</w:t>
      </w:r>
      <w:r w:rsidRPr="00910AAB">
        <w:rPr>
          <w:rFonts w:hint="eastAsia"/>
        </w:rPr>
        <w:t>最高且</w:t>
      </w:r>
      <w:r>
        <w:rPr>
          <w:rFonts w:hint="eastAsia"/>
        </w:rPr>
        <w:t>施用者之再犯情形</w:t>
      </w:r>
      <w:r w:rsidR="003B7E04">
        <w:rPr>
          <w:rFonts w:hint="eastAsia"/>
        </w:rPr>
        <w:t>亦顯嚴重。另</w:t>
      </w:r>
      <w:r>
        <w:rPr>
          <w:rFonts w:hint="eastAsia"/>
        </w:rPr>
        <w:t>民眾咸認酒駕為交通違規</w:t>
      </w:r>
      <w:r w:rsidR="003B7E04">
        <w:rPr>
          <w:rFonts w:hint="eastAsia"/>
        </w:rPr>
        <w:t>之</w:t>
      </w:r>
      <w:r>
        <w:rPr>
          <w:rFonts w:hint="eastAsia"/>
        </w:rPr>
        <w:t>首要問題，相關治安維護機關允宜加強查察並研謀強化打擊犯罪作為，俾改善治安並保障人民生命財產安全</w:t>
      </w:r>
      <w:r w:rsidR="003B7E04">
        <w:rPr>
          <w:rFonts w:hint="eastAsia"/>
        </w:rPr>
        <w:t>。</w:t>
      </w:r>
    </w:p>
    <w:p w:rsidR="00CE2AA0" w:rsidRPr="008C7E4E" w:rsidRDefault="00CE2AA0" w:rsidP="00640605">
      <w:pPr>
        <w:pStyle w:val="ad"/>
        <w:ind w:left="566" w:firstLine="566"/>
        <w:rPr>
          <w:rFonts w:hAnsi="標楷體"/>
        </w:rPr>
      </w:pPr>
      <w:r w:rsidRPr="00E12527">
        <w:rPr>
          <w:rFonts w:hAnsi="標楷體" w:hint="eastAsia"/>
        </w:rPr>
        <w:t>（分機：1911 劉雲霞）</w:t>
      </w:r>
      <w:bookmarkStart w:id="3" w:name="_GoBack"/>
      <w:bookmarkEnd w:id="3"/>
    </w:p>
    <w:sectPr w:rsidR="00CE2AA0" w:rsidRPr="008C7E4E" w:rsidSect="00BD0C62">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184AE9">
      <w:rPr>
        <w:rStyle w:val="af6"/>
        <w:noProof/>
      </w:rPr>
      <w:t>9</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EA3169" w:rsidRDefault="00064496" w:rsidP="00640605">
      <w:pPr>
        <w:pStyle w:val="142"/>
        <w:ind w:left="170" w:hangingChars="70" w:hanging="170"/>
        <w:jc w:val="both"/>
      </w:pPr>
      <w:r>
        <w:rPr>
          <w:rStyle w:val="af5"/>
        </w:rPr>
        <w:footnoteRef/>
      </w:r>
      <w:r>
        <w:t xml:space="preserve"> </w:t>
      </w:r>
      <w:r w:rsidRPr="00EA3169">
        <w:rPr>
          <w:rFonts w:hint="eastAsia"/>
        </w:rPr>
        <w:t>詐欺(騙)案</w:t>
      </w:r>
      <w:r>
        <w:rPr>
          <w:rFonts w:hint="eastAsia"/>
        </w:rPr>
        <w:t>另於114年度中央政府總預算案整體評估報告研析。</w:t>
      </w:r>
    </w:p>
  </w:footnote>
  <w:footnote w:id="2">
    <w:p w:rsidR="00064496" w:rsidRPr="001A2BE0" w:rsidRDefault="00064496" w:rsidP="00640605">
      <w:pPr>
        <w:pStyle w:val="142"/>
        <w:ind w:left="170" w:hangingChars="70" w:hanging="170"/>
        <w:jc w:val="both"/>
      </w:pPr>
      <w:r>
        <w:rPr>
          <w:rStyle w:val="af5"/>
        </w:rPr>
        <w:footnoteRef/>
      </w:r>
      <w:r>
        <w:t xml:space="preserve"> </w:t>
      </w:r>
      <w:r>
        <w:rPr>
          <w:rFonts w:hint="eastAsia"/>
        </w:rPr>
        <w:t>破獲數含破積案，故破獲率可能大於100%。</w:t>
      </w:r>
    </w:p>
  </w:footnote>
  <w:footnote w:id="3">
    <w:p w:rsidR="00064496" w:rsidRPr="008B0FD7" w:rsidRDefault="00064496" w:rsidP="00640605">
      <w:pPr>
        <w:pStyle w:val="142"/>
        <w:ind w:left="170" w:hangingChars="70" w:hanging="170"/>
        <w:jc w:val="both"/>
      </w:pPr>
      <w:r>
        <w:rPr>
          <w:rStyle w:val="af5"/>
        </w:rPr>
        <w:footnoteRef/>
      </w:r>
      <w:r>
        <w:t xml:space="preserve"> </w:t>
      </w:r>
      <w:r>
        <w:rPr>
          <w:rFonts w:hint="eastAsia"/>
        </w:rPr>
        <w:t>係身分唯一化，亦即扣除重複人數計算得出。</w:t>
      </w:r>
    </w:p>
  </w:footnote>
  <w:footnote w:id="4">
    <w:p w:rsidR="00064496" w:rsidRPr="00D05301" w:rsidRDefault="00064496" w:rsidP="00640605">
      <w:pPr>
        <w:pStyle w:val="142"/>
        <w:ind w:left="170" w:hangingChars="70" w:hanging="170"/>
        <w:jc w:val="both"/>
      </w:pPr>
      <w:r>
        <w:rPr>
          <w:rStyle w:val="af5"/>
        </w:rPr>
        <w:footnoteRef/>
      </w:r>
      <w:r>
        <w:t xml:space="preserve"> </w:t>
      </w:r>
      <w:r>
        <w:rPr>
          <w:rFonts w:hint="eastAsia"/>
        </w:rPr>
        <w:t>學名為「亞甲基雙氧甲基安非他命」（3,4-Methylenedi- oxymethamphetamine，簡稱MDMA）。</w:t>
      </w:r>
      <w:r>
        <w:c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84AE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4DE89E11-4CC6-4B66-850E-2C1BEEE0D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6D3E7-D9EE-47BE-8C49-D3AE7EFD3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811</Words>
  <Characters>4625</Characters>
  <Application>Microsoft Office Word</Application>
  <DocSecurity>0</DocSecurity>
  <Lines>38</Lines>
  <Paragraphs>10</Paragraphs>
  <ScaleCrop>false</ScaleCrop>
  <Company>HOME</Company>
  <LinksUpToDate>false</LinksUpToDate>
  <CharactersWithSpaces>5426</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2024-09-24T07:47:00Z</dcterms:created>
  <dcterms:modified xsi:type="dcterms:W3CDTF">2024-09-24T07:47:00Z</dcterms:modified>
</cp:coreProperties>
</file>