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3328C" w:rsidRDefault="0093328C" w:rsidP="00640605">
      <w:pPr>
        <w:pStyle w:val="14"/>
        <w:ind w:left="567" w:hanging="567"/>
      </w:pPr>
      <w:bookmarkStart w:id="2" w:name="_Toc177394294"/>
      <w:bookmarkEnd w:id="0"/>
      <w:r>
        <w:rPr>
          <w:rFonts w:hint="eastAsia"/>
        </w:rPr>
        <w:t>一六</w:t>
      </w:r>
      <w:r w:rsidRPr="003F6918">
        <w:rPr>
          <w:rFonts w:hint="eastAsia"/>
        </w:rPr>
        <w:t>、</w:t>
      </w:r>
      <w:r w:rsidRPr="005B6520">
        <w:rPr>
          <w:rFonts w:hint="eastAsia"/>
        </w:rPr>
        <w:t>全臺地層顯著下陷面積仍待改善，允宜配合耗水費開徵，檢討強化地下水保育管理暨地層下陷防治之宣導及推動工作</w:t>
      </w:r>
      <w:bookmarkEnd w:id="2"/>
    </w:p>
    <w:p w:rsidR="0093328C" w:rsidRDefault="0093328C" w:rsidP="00640605">
      <w:pPr>
        <w:ind w:left="566" w:firstLine="566"/>
      </w:pPr>
      <w:r w:rsidRPr="005B6520">
        <w:rPr>
          <w:rFonts w:hint="eastAsia"/>
        </w:rPr>
        <w:t>基於地下水為抗旱時期重要水源，且大量抽取超逾補注量將導致地層下陷之不可逆情況及水質惡化問題等</w:t>
      </w:r>
      <w:r>
        <w:rPr>
          <w:rStyle w:val="af5"/>
        </w:rPr>
        <w:footnoteReference w:id="1"/>
      </w:r>
      <w:r w:rsidRPr="005B6520">
        <w:rPr>
          <w:rFonts w:hint="eastAsia"/>
        </w:rPr>
        <w:t>，</w:t>
      </w:r>
      <w:r>
        <w:rPr>
          <w:rFonts w:hint="eastAsia"/>
        </w:rPr>
        <w:t>經濟部水利署自110年起推動第3期(執行期程110至113年度)</w:t>
      </w:r>
      <w:r w:rsidRPr="00751344">
        <w:rPr>
          <w:rFonts w:hAnsi="標楷體" w:hint="eastAsia"/>
        </w:rPr>
        <w:t>「地下水保育管理暨地層下陷防治計畫」</w:t>
      </w:r>
      <w:r>
        <w:rPr>
          <w:rFonts w:hAnsi="標楷體" w:hint="eastAsia"/>
        </w:rPr>
        <w:t>，迄112年底累計執行數達6.82億元，另我國自112年2月起開徵耗水費，</w:t>
      </w:r>
      <w:r w:rsidRPr="005B6520">
        <w:rPr>
          <w:rFonts w:hint="eastAsia"/>
        </w:rPr>
        <w:t>為避免用水戶於耗水費開徵後改以取用地下水替代自來水，耗水費徵收辦法第3條第2項第2款規定：「用水人於計徵水量期間取用之地下水總用水量，以每立方公尺新臺幣3元計。」依我國112年度耗水費徵收之用水情形，地下水用水量為5,155萬噸，占繳納耗水費用水戶總用水量2億1,521萬噸</w:t>
      </w:r>
      <w:r>
        <w:rPr>
          <w:rStyle w:val="af5"/>
        </w:rPr>
        <w:footnoteReference w:id="2"/>
      </w:r>
      <w:r w:rsidRPr="005B6520">
        <w:rPr>
          <w:rFonts w:hint="eastAsia"/>
        </w:rPr>
        <w:t>比率為23.95%。</w:t>
      </w:r>
      <w:r>
        <w:rPr>
          <w:rFonts w:hint="eastAsia"/>
        </w:rPr>
        <w:t>經查</w:t>
      </w:r>
      <w:r w:rsidRPr="005B6520">
        <w:rPr>
          <w:rFonts w:hint="eastAsia"/>
        </w:rPr>
        <w:t>：</w:t>
      </w:r>
    </w:p>
    <w:p w:rsidR="0093328C" w:rsidRDefault="0093328C" w:rsidP="00640605">
      <w:pPr>
        <w:pStyle w:val="a5"/>
        <w:ind w:left="849" w:hanging="283"/>
        <w:rPr>
          <w:b/>
        </w:rPr>
      </w:pPr>
      <w:r w:rsidRPr="003F6918">
        <w:rPr>
          <w:rFonts w:hint="eastAsia"/>
          <w:b/>
        </w:rPr>
        <w:t>(一)</w:t>
      </w:r>
      <w:r>
        <w:rPr>
          <w:rFonts w:hint="eastAsia"/>
          <w:b/>
        </w:rPr>
        <w:t>近年推動地下水保育管理暨地層下陷防治計畫</w:t>
      </w:r>
      <w:r w:rsidRPr="005414C2">
        <w:rPr>
          <w:rFonts w:hint="eastAsia"/>
          <w:b/>
        </w:rPr>
        <w:t>雖已達初步成效，惟近年全臺顯著地層下陷面積未達到計畫目標值，允宜審慎檢討計畫執行成效，並研謀改善</w:t>
      </w:r>
    </w:p>
    <w:p w:rsidR="0093328C" w:rsidRPr="00B23720" w:rsidRDefault="0093328C" w:rsidP="00640605">
      <w:pPr>
        <w:pStyle w:val="21"/>
        <w:ind w:left="850" w:firstLine="566"/>
        <w:rPr>
          <w:rFonts w:hAnsi="標楷體"/>
        </w:rPr>
      </w:pPr>
      <w:r w:rsidRPr="00B23720">
        <w:rPr>
          <w:rFonts w:hAnsi="標楷體" w:hint="eastAsia"/>
        </w:rPr>
        <w:t>檢視我國107至111年度水資源供應概況(詳表1)，地下水占年總供水量比率</w:t>
      </w:r>
      <w:r>
        <w:rPr>
          <w:rFonts w:hAnsi="標楷體" w:hint="eastAsia"/>
        </w:rPr>
        <w:t>介</w:t>
      </w:r>
      <w:r w:rsidRPr="00B23720">
        <w:rPr>
          <w:rFonts w:hAnsi="標楷體" w:hint="eastAsia"/>
        </w:rPr>
        <w:t>於29.59%至35.22%，該比率雖於111年度已下降，惟</w:t>
      </w:r>
      <w:r>
        <w:rPr>
          <w:rFonts w:hAnsi="標楷體" w:hint="eastAsia"/>
        </w:rPr>
        <w:t>仍</w:t>
      </w:r>
      <w:r w:rsidRPr="00B23720">
        <w:rPr>
          <w:rFonts w:hAnsi="標楷體" w:hint="eastAsia"/>
        </w:rPr>
        <w:t>高於水庫供水占比(24.49%至25.57%)。為確保地下水資源永續利用及減緩地層下陷，我國近期(104至11</w:t>
      </w:r>
      <w:r>
        <w:rPr>
          <w:rFonts w:hAnsi="標楷體" w:hint="eastAsia"/>
        </w:rPr>
        <w:t>2</w:t>
      </w:r>
      <w:r w:rsidRPr="00B23720">
        <w:rPr>
          <w:rFonts w:hAnsi="標楷體" w:hint="eastAsia"/>
        </w:rPr>
        <w:t>年度)於公務預算辦理地下水保育管理</w:t>
      </w:r>
      <w:r>
        <w:rPr>
          <w:rFonts w:hAnsi="標楷體" w:hint="eastAsia"/>
        </w:rPr>
        <w:t>暨</w:t>
      </w:r>
      <w:r w:rsidRPr="00B23720">
        <w:rPr>
          <w:rFonts w:hAnsi="標楷體" w:hint="eastAsia"/>
        </w:rPr>
        <w:t>防治地層下陷</w:t>
      </w:r>
      <w:r>
        <w:rPr>
          <w:rFonts w:hAnsi="標楷體" w:hint="eastAsia"/>
        </w:rPr>
        <w:t>防治</w:t>
      </w:r>
      <w:r w:rsidRPr="00B23720">
        <w:rPr>
          <w:rFonts w:hAnsi="標楷體" w:hint="eastAsia"/>
        </w:rPr>
        <w:t>計畫，說明如下：</w:t>
      </w:r>
    </w:p>
    <w:p w:rsidR="0093328C" w:rsidRPr="00B23720" w:rsidRDefault="0093328C" w:rsidP="00640605">
      <w:pPr>
        <w:pStyle w:val="123"/>
        <w:ind w:left="1133" w:hanging="283"/>
        <w:rPr>
          <w:rFonts w:hAnsi="標楷體"/>
        </w:rPr>
      </w:pPr>
      <w:r w:rsidRPr="00B23720">
        <w:rPr>
          <w:rFonts w:hAnsi="標楷體" w:hint="eastAsia"/>
        </w:rPr>
        <w:t>1.水利署</w:t>
      </w:r>
      <w:r>
        <w:rPr>
          <w:rFonts w:hAnsi="標楷體" w:hint="eastAsia"/>
        </w:rPr>
        <w:t>104至112年度分別辦理</w:t>
      </w:r>
      <w:r w:rsidRPr="00B23720">
        <w:rPr>
          <w:rFonts w:hAnsi="標楷體" w:hint="eastAsia"/>
        </w:rPr>
        <w:t>地下水保育管理暨地層下陷</w:t>
      </w:r>
      <w:r w:rsidRPr="00B23720">
        <w:rPr>
          <w:rFonts w:hAnsi="標楷體" w:hint="eastAsia"/>
        </w:rPr>
        <w:lastRenderedPageBreak/>
        <w:t>防治計畫第2期</w:t>
      </w:r>
      <w:r>
        <w:rPr>
          <w:rFonts w:hAnsi="標楷體" w:hint="eastAsia"/>
        </w:rPr>
        <w:t>(104至109年度)</w:t>
      </w:r>
      <w:r w:rsidRPr="00B23720">
        <w:rPr>
          <w:rFonts w:hAnsi="標楷體" w:hint="eastAsia"/>
        </w:rPr>
        <w:t>及第3期</w:t>
      </w:r>
      <w:r>
        <w:rPr>
          <w:rFonts w:hAnsi="標楷體" w:hint="eastAsia"/>
        </w:rPr>
        <w:t>(110至113年度)</w:t>
      </w:r>
      <w:r w:rsidRPr="00B23720">
        <w:rPr>
          <w:rFonts w:hAnsi="標楷體" w:hint="eastAsia"/>
        </w:rPr>
        <w:t>，共投入</w:t>
      </w:r>
      <w:r>
        <w:rPr>
          <w:rFonts w:hAnsi="標楷體" w:hint="eastAsia"/>
        </w:rPr>
        <w:t>16</w:t>
      </w:r>
      <w:r w:rsidRPr="00B23720">
        <w:rPr>
          <w:rFonts w:hAnsi="標楷體" w:hint="eastAsia"/>
        </w:rPr>
        <w:t>億</w:t>
      </w:r>
      <w:r>
        <w:rPr>
          <w:rFonts w:hAnsi="標楷體" w:hint="eastAsia"/>
        </w:rPr>
        <w:t>4</w:t>
      </w:r>
      <w:r>
        <w:rPr>
          <w:rFonts w:hAnsi="標楷體"/>
        </w:rPr>
        <w:t>,</w:t>
      </w:r>
      <w:r>
        <w:rPr>
          <w:rFonts w:hAnsi="標楷體" w:hint="eastAsia"/>
        </w:rPr>
        <w:t>837</w:t>
      </w:r>
      <w:r w:rsidRPr="00B23720">
        <w:rPr>
          <w:rFonts w:hAnsi="標楷體" w:hint="eastAsia"/>
        </w:rPr>
        <w:t>萬</w:t>
      </w:r>
      <w:r>
        <w:rPr>
          <w:rFonts w:hAnsi="標楷體" w:hint="eastAsia"/>
        </w:rPr>
        <w:t>1</w:t>
      </w:r>
      <w:r w:rsidRPr="00B23720">
        <w:rPr>
          <w:rFonts w:hAnsi="標楷體" w:hint="eastAsia"/>
        </w:rPr>
        <w:t>千元</w:t>
      </w:r>
      <w:r>
        <w:rPr>
          <w:rFonts w:hAnsi="標楷體" w:hint="eastAsia"/>
        </w:rPr>
        <w:t>(包含第2期預算9億6</w:t>
      </w:r>
      <w:r>
        <w:rPr>
          <w:rFonts w:hAnsi="標楷體"/>
        </w:rPr>
        <w:t>,</w:t>
      </w:r>
      <w:r>
        <w:rPr>
          <w:rFonts w:hAnsi="標楷體" w:hint="eastAsia"/>
        </w:rPr>
        <w:t>637萬1千元及第3期110至112年度累計預算6億8,200萬元)</w:t>
      </w:r>
      <w:r w:rsidRPr="00B23720">
        <w:rPr>
          <w:rFonts w:hAnsi="標楷體" w:hint="eastAsia"/>
        </w:rPr>
        <w:t>，</w:t>
      </w:r>
      <w:r>
        <w:rPr>
          <w:rFonts w:hAnsi="標楷體" w:hint="eastAsia"/>
        </w:rPr>
        <w:t>迄112年底兩期辦理工作均已達成目標，如包含：(1)辦理2</w:t>
      </w:r>
      <w:r>
        <w:rPr>
          <w:rFonts w:hAnsi="標楷體"/>
        </w:rPr>
        <w:t>,</w:t>
      </w:r>
      <w:r>
        <w:rPr>
          <w:rFonts w:hAnsi="標楷體" w:hint="eastAsia"/>
        </w:rPr>
        <w:t>460口次地下水觀景水質採樣</w:t>
      </w:r>
      <w:r w:rsidRPr="00885BB6">
        <w:rPr>
          <w:rFonts w:hAnsi="標楷體" w:hint="eastAsia"/>
        </w:rPr>
        <w:t>、</w:t>
      </w:r>
      <w:r>
        <w:rPr>
          <w:rFonts w:hAnsi="標楷體" w:hint="eastAsia"/>
        </w:rPr>
        <w:t>檢驗及分析；(</w:t>
      </w:r>
      <w:r>
        <w:rPr>
          <w:rFonts w:hAnsi="標楷體"/>
        </w:rPr>
        <w:t>2)</w:t>
      </w:r>
      <w:r>
        <w:rPr>
          <w:rFonts w:hAnsi="標楷體" w:hint="eastAsia"/>
        </w:rPr>
        <w:t>辦理違法及合法水井處置721口；(3)查察地下水管制區工廠1</w:t>
      </w:r>
      <w:r>
        <w:rPr>
          <w:rFonts w:hAnsi="標楷體"/>
        </w:rPr>
        <w:t>,</w:t>
      </w:r>
      <w:r>
        <w:rPr>
          <w:rFonts w:hAnsi="標楷體" w:hint="eastAsia"/>
        </w:rPr>
        <w:t>337家；(4)雲彰地區地下水補注量1.63億噸等</w:t>
      </w:r>
      <w:r w:rsidRPr="00EA5C14">
        <w:rPr>
          <w:rFonts w:hAnsi="標楷體" w:hint="eastAsia"/>
        </w:rPr>
        <w:t>。</w:t>
      </w:r>
    </w:p>
    <w:p w:rsidR="0093328C" w:rsidRPr="00B23720" w:rsidRDefault="0093328C" w:rsidP="00640605">
      <w:pPr>
        <w:pStyle w:val="123"/>
        <w:ind w:left="1133" w:hanging="283"/>
        <w:rPr>
          <w:rFonts w:hAnsi="標楷體"/>
        </w:rPr>
      </w:pPr>
      <w:r w:rsidRPr="00B23720">
        <w:rPr>
          <w:rFonts w:hAnsi="標楷體" w:hint="eastAsia"/>
        </w:rPr>
        <w:t>2.按水利署提供110至112年度全臺地層</w:t>
      </w:r>
      <w:r>
        <w:rPr>
          <w:rFonts w:hAnsi="標楷體" w:hint="eastAsia"/>
        </w:rPr>
        <w:t>顯著</w:t>
      </w:r>
      <w:r w:rsidRPr="00B23720">
        <w:rPr>
          <w:rFonts w:hAnsi="標楷體" w:hint="eastAsia"/>
        </w:rPr>
        <w:t>下陷</w:t>
      </w:r>
      <w:r>
        <w:rPr>
          <w:rStyle w:val="af5"/>
          <w:rFonts w:hAnsi="標楷體"/>
        </w:rPr>
        <w:footnoteReference w:id="3"/>
      </w:r>
      <w:r w:rsidRPr="00B23720">
        <w:rPr>
          <w:rFonts w:hAnsi="標楷體" w:hint="eastAsia"/>
        </w:rPr>
        <w:t>狀況(詳表</w:t>
      </w:r>
      <w:r>
        <w:rPr>
          <w:rFonts w:hAnsi="標楷體" w:hint="eastAsia"/>
        </w:rPr>
        <w:t>2</w:t>
      </w:r>
      <w:r w:rsidRPr="00B23720">
        <w:rPr>
          <w:rFonts w:hAnsi="標楷體" w:hint="eastAsia"/>
        </w:rPr>
        <w:t>)，110年度因嚴重乾旱事件，地下水使用量增加，致顯著下陷面積達688.8平方公里，雖111年度已明顯下降，惟112年度復增至620.6平方公里(</w:t>
      </w:r>
      <w:r>
        <w:rPr>
          <w:rFonts w:hAnsi="標楷體" w:hint="eastAsia"/>
        </w:rPr>
        <w:t>較111年度</w:t>
      </w:r>
      <w:r w:rsidRPr="00B23720">
        <w:rPr>
          <w:rFonts w:hAnsi="標楷體" w:hint="eastAsia"/>
        </w:rPr>
        <w:t>增幅達1倍)，且嘉義及屏東地區112年度最大年下陷速率(分別為6.4及7.5公分/年)亦高於</w:t>
      </w:r>
      <w:r>
        <w:rPr>
          <w:rFonts w:hAnsi="標楷體" w:hint="eastAsia"/>
        </w:rPr>
        <w:t>110及111</w:t>
      </w:r>
      <w:r w:rsidRPr="00B23720">
        <w:rPr>
          <w:rFonts w:hAnsi="標楷體" w:hint="eastAsia"/>
        </w:rPr>
        <w:t>年度。</w:t>
      </w:r>
    </w:p>
    <w:p w:rsidR="0093328C" w:rsidRDefault="0093328C" w:rsidP="00640605">
      <w:pPr>
        <w:pStyle w:val="123"/>
        <w:ind w:left="1133" w:hanging="283"/>
        <w:rPr>
          <w:rFonts w:hAnsi="標楷體"/>
        </w:rPr>
      </w:pPr>
      <w:r w:rsidRPr="00B23720">
        <w:rPr>
          <w:rFonts w:hAnsi="標楷體" w:hint="eastAsia"/>
        </w:rPr>
        <w:t>3.按地下水保育管理暨地層下陷防治第3期計畫之目標，其中預計全臺顯著下陷面積小於200平方公里，惟近3年度均大於目標值，允宜審慎檢討計畫執行成效。</w:t>
      </w:r>
    </w:p>
    <w:p w:rsidR="0093328C" w:rsidRPr="000D0120" w:rsidRDefault="0093328C" w:rsidP="00640605">
      <w:pPr>
        <w:pStyle w:val="200"/>
        <w:spacing w:line="500" w:lineRule="exact"/>
      </w:pPr>
      <w:r w:rsidRPr="000D0120">
        <w:rPr>
          <w:rFonts w:hint="eastAsia"/>
          <w:b/>
          <w:sz w:val="28"/>
        </w:rPr>
        <w:t xml:space="preserve">表1 </w:t>
      </w:r>
      <w:r w:rsidRPr="000D0120">
        <w:rPr>
          <w:b/>
          <w:sz w:val="28"/>
        </w:rPr>
        <w:t xml:space="preserve"> </w:t>
      </w:r>
      <w:r w:rsidRPr="000D0120">
        <w:rPr>
          <w:rFonts w:hint="eastAsia"/>
          <w:b/>
          <w:sz w:val="28"/>
        </w:rPr>
        <w:t xml:space="preserve">近年全國水資源供應概況表         　    </w:t>
      </w:r>
      <w:r w:rsidRPr="000D0120">
        <w:rPr>
          <w:rFonts w:hint="eastAsia"/>
          <w:szCs w:val="24"/>
        </w:rPr>
        <w:t>單位：億立方公尺；%</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88"/>
        <w:gridCol w:w="786"/>
        <w:gridCol w:w="697"/>
        <w:gridCol w:w="786"/>
        <w:gridCol w:w="696"/>
        <w:gridCol w:w="786"/>
        <w:gridCol w:w="697"/>
        <w:gridCol w:w="695"/>
        <w:gridCol w:w="665"/>
        <w:gridCol w:w="786"/>
        <w:gridCol w:w="723"/>
      </w:tblGrid>
      <w:tr w:rsidR="0093328C" w:rsidRPr="00B23720" w:rsidTr="00640605">
        <w:trPr>
          <w:trHeight w:val="20"/>
          <w:tblHeader/>
        </w:trPr>
        <w:tc>
          <w:tcPr>
            <w:tcW w:w="1188" w:type="dxa"/>
            <w:vMerge w:val="restart"/>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年度</w:t>
            </w:r>
          </w:p>
        </w:tc>
        <w:tc>
          <w:tcPr>
            <w:tcW w:w="1483"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107</w:t>
            </w:r>
          </w:p>
        </w:tc>
        <w:tc>
          <w:tcPr>
            <w:tcW w:w="1482"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108</w:t>
            </w:r>
          </w:p>
        </w:tc>
        <w:tc>
          <w:tcPr>
            <w:tcW w:w="1483"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109</w:t>
            </w:r>
          </w:p>
        </w:tc>
        <w:tc>
          <w:tcPr>
            <w:tcW w:w="1360" w:type="dxa"/>
            <w:gridSpan w:val="2"/>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110</w:t>
            </w:r>
          </w:p>
        </w:tc>
        <w:tc>
          <w:tcPr>
            <w:tcW w:w="1509" w:type="dxa"/>
            <w:gridSpan w:val="2"/>
            <w:vAlign w:val="center"/>
          </w:tcPr>
          <w:p w:rsidR="0093328C" w:rsidRPr="00B23720" w:rsidRDefault="0093328C" w:rsidP="00640605">
            <w:pPr>
              <w:pStyle w:val="142"/>
              <w:spacing w:line="320" w:lineRule="exact"/>
              <w:jc w:val="center"/>
              <w:rPr>
                <w:snapToGrid/>
              </w:rPr>
            </w:pPr>
            <w:r w:rsidRPr="00B23720">
              <w:rPr>
                <w:rFonts w:hint="eastAsia"/>
                <w:snapToGrid/>
              </w:rPr>
              <w:t>111</w:t>
            </w:r>
          </w:p>
        </w:tc>
      </w:tr>
      <w:tr w:rsidR="0093328C" w:rsidRPr="00B23720" w:rsidTr="00640605">
        <w:trPr>
          <w:trHeight w:val="20"/>
          <w:tblHeader/>
        </w:trPr>
        <w:tc>
          <w:tcPr>
            <w:tcW w:w="1188" w:type="dxa"/>
            <w:vMerge/>
            <w:vAlign w:val="center"/>
            <w:hideMark/>
          </w:tcPr>
          <w:p w:rsidR="0093328C" w:rsidRPr="00B23720" w:rsidRDefault="0093328C" w:rsidP="00640605">
            <w:pPr>
              <w:pStyle w:val="142"/>
              <w:spacing w:line="320" w:lineRule="exact"/>
              <w:jc w:val="center"/>
              <w:rPr>
                <w:snapToGrid/>
              </w:rPr>
            </w:pPr>
          </w:p>
        </w:tc>
        <w:tc>
          <w:tcPr>
            <w:tcW w:w="78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97"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78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9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786"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97"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695"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數量</w:t>
            </w:r>
          </w:p>
        </w:tc>
        <w:tc>
          <w:tcPr>
            <w:tcW w:w="665" w:type="dxa"/>
            <w:shd w:val="clear" w:color="auto" w:fill="auto"/>
            <w:vAlign w:val="center"/>
            <w:hideMark/>
          </w:tcPr>
          <w:p w:rsidR="0093328C" w:rsidRPr="00B23720" w:rsidRDefault="0093328C" w:rsidP="00640605">
            <w:pPr>
              <w:pStyle w:val="142"/>
              <w:spacing w:line="320" w:lineRule="exact"/>
              <w:jc w:val="center"/>
              <w:rPr>
                <w:snapToGrid/>
              </w:rPr>
            </w:pPr>
            <w:r w:rsidRPr="00B23720">
              <w:rPr>
                <w:rFonts w:hint="eastAsia"/>
                <w:snapToGrid/>
              </w:rPr>
              <w:t>占比</w:t>
            </w:r>
          </w:p>
        </w:tc>
        <w:tc>
          <w:tcPr>
            <w:tcW w:w="786" w:type="dxa"/>
            <w:vAlign w:val="center"/>
          </w:tcPr>
          <w:p w:rsidR="0093328C" w:rsidRPr="00B23720" w:rsidRDefault="0093328C" w:rsidP="00640605">
            <w:pPr>
              <w:pStyle w:val="142"/>
              <w:spacing w:line="320" w:lineRule="exact"/>
              <w:jc w:val="center"/>
              <w:rPr>
                <w:snapToGrid/>
              </w:rPr>
            </w:pPr>
            <w:r w:rsidRPr="00B23720">
              <w:rPr>
                <w:rFonts w:hint="eastAsia"/>
                <w:snapToGrid/>
              </w:rPr>
              <w:t>數量</w:t>
            </w:r>
          </w:p>
        </w:tc>
        <w:tc>
          <w:tcPr>
            <w:tcW w:w="723" w:type="dxa"/>
            <w:vAlign w:val="center"/>
          </w:tcPr>
          <w:p w:rsidR="0093328C" w:rsidRPr="00B23720" w:rsidRDefault="0093328C" w:rsidP="00640605">
            <w:pPr>
              <w:pStyle w:val="142"/>
              <w:spacing w:line="320" w:lineRule="exact"/>
              <w:jc w:val="center"/>
              <w:rPr>
                <w:snapToGrid/>
              </w:rPr>
            </w:pPr>
            <w:r w:rsidRPr="00B23720">
              <w:rPr>
                <w:rFonts w:hint="eastAsia"/>
                <w:snapToGrid/>
              </w:rPr>
              <w:t>占比</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rPr>
            </w:pPr>
            <w:r w:rsidRPr="00B23720">
              <w:rPr>
                <w:rFonts w:hint="eastAsia"/>
                <w:snapToGrid/>
              </w:rPr>
              <w:t>地面水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112.81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67.50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113.64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67.89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113.06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67.80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92.76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64.66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111.</w:t>
            </w:r>
            <w:r>
              <w:rPr>
                <w:rFonts w:hint="eastAsia"/>
                <w:snapToGrid/>
              </w:rPr>
              <w:t>60</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70.30</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spacing w:val="-32"/>
              </w:rPr>
            </w:pPr>
            <w:r>
              <w:rPr>
                <w:rFonts w:hint="eastAsia"/>
                <w:snapToGrid/>
                <w:spacing w:val="-32"/>
              </w:rPr>
              <w:t xml:space="preserve">  </w:t>
            </w:r>
            <w:r w:rsidRPr="00B23720">
              <w:rPr>
                <w:rFonts w:hint="eastAsia"/>
                <w:snapToGrid/>
                <w:spacing w:val="-32"/>
              </w:rPr>
              <w:t>1.河川引水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70.27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42.05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72.63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43.39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71.87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43.10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56.08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39.09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71.73</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45.19</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spacing w:val="-32"/>
              </w:rPr>
            </w:pPr>
            <w:r>
              <w:rPr>
                <w:rFonts w:hint="eastAsia"/>
                <w:snapToGrid/>
                <w:spacing w:val="-32"/>
              </w:rPr>
              <w:t xml:space="preserve">  </w:t>
            </w:r>
            <w:r w:rsidRPr="00B23720">
              <w:rPr>
                <w:rFonts w:hint="eastAsia"/>
                <w:snapToGrid/>
                <w:spacing w:val="-32"/>
              </w:rPr>
              <w:t>2.水庫供水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42.54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25.45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41.00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24.49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41.19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24.70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36.68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25.57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39.87</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25.12</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rPr>
            </w:pPr>
            <w:r w:rsidRPr="00B23720">
              <w:rPr>
                <w:rFonts w:hint="eastAsia"/>
                <w:snapToGrid/>
              </w:rPr>
              <w:t>地下水</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54.23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32.45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53.63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32.04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53.55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32.11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50.53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35.22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46.97</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29.59</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rPr>
                <w:snapToGrid/>
              </w:rPr>
            </w:pPr>
            <w:r w:rsidRPr="00B23720">
              <w:rPr>
                <w:rFonts w:hint="eastAsia"/>
                <w:snapToGrid/>
              </w:rPr>
              <w:t>其他</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0.09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0.05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0.13 </w:t>
            </w:r>
          </w:p>
        </w:tc>
        <w:tc>
          <w:tcPr>
            <w:tcW w:w="69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0.08 </w:t>
            </w:r>
          </w:p>
        </w:tc>
        <w:tc>
          <w:tcPr>
            <w:tcW w:w="786"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0.15 </w:t>
            </w:r>
          </w:p>
        </w:tc>
        <w:tc>
          <w:tcPr>
            <w:tcW w:w="697"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0.09 </w:t>
            </w:r>
          </w:p>
        </w:tc>
        <w:tc>
          <w:tcPr>
            <w:tcW w:w="69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0.17 </w:t>
            </w:r>
          </w:p>
        </w:tc>
        <w:tc>
          <w:tcPr>
            <w:tcW w:w="665" w:type="dxa"/>
            <w:shd w:val="clear" w:color="auto" w:fill="auto"/>
            <w:vAlign w:val="center"/>
            <w:hideMark/>
          </w:tcPr>
          <w:p w:rsidR="0093328C" w:rsidRPr="00B23720" w:rsidRDefault="0093328C" w:rsidP="00640605">
            <w:pPr>
              <w:pStyle w:val="142"/>
              <w:spacing w:line="320" w:lineRule="exact"/>
              <w:jc w:val="right"/>
              <w:rPr>
                <w:snapToGrid/>
              </w:rPr>
            </w:pPr>
            <w:r w:rsidRPr="00B23720">
              <w:rPr>
                <w:rFonts w:hint="eastAsia"/>
                <w:snapToGrid/>
              </w:rPr>
              <w:t xml:space="preserve">0.12 </w:t>
            </w:r>
          </w:p>
        </w:tc>
        <w:tc>
          <w:tcPr>
            <w:tcW w:w="786" w:type="dxa"/>
            <w:vAlign w:val="center"/>
          </w:tcPr>
          <w:p w:rsidR="0093328C" w:rsidRPr="00B23720" w:rsidRDefault="0093328C" w:rsidP="00640605">
            <w:pPr>
              <w:pStyle w:val="142"/>
              <w:spacing w:line="320" w:lineRule="exact"/>
              <w:jc w:val="right"/>
              <w:rPr>
                <w:snapToGrid/>
              </w:rPr>
            </w:pPr>
            <w:r w:rsidRPr="00B23720">
              <w:rPr>
                <w:rFonts w:hint="eastAsia"/>
                <w:snapToGrid/>
              </w:rPr>
              <w:t>0.1</w:t>
            </w:r>
            <w:r>
              <w:rPr>
                <w:rFonts w:hint="eastAsia"/>
                <w:snapToGrid/>
              </w:rPr>
              <w:t>7</w:t>
            </w:r>
          </w:p>
        </w:tc>
        <w:tc>
          <w:tcPr>
            <w:tcW w:w="723" w:type="dxa"/>
            <w:vAlign w:val="center"/>
          </w:tcPr>
          <w:p w:rsidR="0093328C" w:rsidRPr="00B23720" w:rsidRDefault="0093328C" w:rsidP="00640605">
            <w:pPr>
              <w:pStyle w:val="142"/>
              <w:spacing w:line="320" w:lineRule="exact"/>
              <w:jc w:val="right"/>
              <w:rPr>
                <w:snapToGrid/>
              </w:rPr>
            </w:pPr>
            <w:r w:rsidRPr="00B23720">
              <w:rPr>
                <w:rFonts w:hint="eastAsia"/>
                <w:snapToGrid/>
              </w:rPr>
              <w:t>0.11</w:t>
            </w:r>
          </w:p>
        </w:tc>
      </w:tr>
      <w:tr w:rsidR="0093328C" w:rsidRPr="00B23720" w:rsidTr="00640605">
        <w:trPr>
          <w:trHeight w:val="20"/>
        </w:trPr>
        <w:tc>
          <w:tcPr>
            <w:tcW w:w="1188" w:type="dxa"/>
            <w:shd w:val="clear" w:color="auto" w:fill="auto"/>
            <w:vAlign w:val="center"/>
            <w:hideMark/>
          </w:tcPr>
          <w:p w:rsidR="0093328C" w:rsidRPr="00B23720" w:rsidRDefault="0093328C" w:rsidP="00640605">
            <w:pPr>
              <w:pStyle w:val="142"/>
              <w:spacing w:line="320" w:lineRule="exact"/>
              <w:jc w:val="center"/>
              <w:rPr>
                <w:b/>
                <w:bCs/>
                <w:snapToGrid/>
              </w:rPr>
            </w:pPr>
            <w:r w:rsidRPr="00B23720">
              <w:rPr>
                <w:rFonts w:hint="eastAsia"/>
                <w:b/>
                <w:bCs/>
                <w:snapToGrid/>
              </w:rPr>
              <w:t>合計</w:t>
            </w:r>
          </w:p>
        </w:tc>
        <w:tc>
          <w:tcPr>
            <w:tcW w:w="1483"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167.13 </w:t>
            </w:r>
          </w:p>
        </w:tc>
        <w:tc>
          <w:tcPr>
            <w:tcW w:w="1482"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167.39 </w:t>
            </w:r>
          </w:p>
        </w:tc>
        <w:tc>
          <w:tcPr>
            <w:tcW w:w="1483"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166.76 </w:t>
            </w:r>
          </w:p>
        </w:tc>
        <w:tc>
          <w:tcPr>
            <w:tcW w:w="1360" w:type="dxa"/>
            <w:gridSpan w:val="2"/>
            <w:shd w:val="clear" w:color="auto" w:fill="auto"/>
            <w:vAlign w:val="center"/>
            <w:hideMark/>
          </w:tcPr>
          <w:p w:rsidR="0093328C" w:rsidRPr="00B23720" w:rsidRDefault="0093328C" w:rsidP="00640605">
            <w:pPr>
              <w:pStyle w:val="142"/>
              <w:spacing w:line="320" w:lineRule="exact"/>
              <w:jc w:val="right"/>
              <w:rPr>
                <w:b/>
                <w:bCs/>
                <w:snapToGrid/>
              </w:rPr>
            </w:pPr>
            <w:r w:rsidRPr="00B23720">
              <w:rPr>
                <w:rFonts w:hint="eastAsia"/>
                <w:b/>
                <w:bCs/>
                <w:snapToGrid/>
              </w:rPr>
              <w:t xml:space="preserve">143.46 </w:t>
            </w:r>
          </w:p>
        </w:tc>
        <w:tc>
          <w:tcPr>
            <w:tcW w:w="1509" w:type="dxa"/>
            <w:gridSpan w:val="2"/>
            <w:vAlign w:val="center"/>
          </w:tcPr>
          <w:p w:rsidR="0093328C" w:rsidRPr="00B23720" w:rsidRDefault="0093328C" w:rsidP="00640605">
            <w:pPr>
              <w:pStyle w:val="142"/>
              <w:spacing w:line="320" w:lineRule="exact"/>
              <w:jc w:val="right"/>
              <w:rPr>
                <w:b/>
                <w:bCs/>
                <w:snapToGrid/>
              </w:rPr>
            </w:pPr>
            <w:r w:rsidRPr="00B23720">
              <w:rPr>
                <w:rFonts w:hint="eastAsia"/>
                <w:b/>
                <w:bCs/>
                <w:snapToGrid/>
              </w:rPr>
              <w:t>158.74</w:t>
            </w:r>
          </w:p>
        </w:tc>
      </w:tr>
    </w:tbl>
    <w:p w:rsidR="0093328C" w:rsidRPr="00B23720" w:rsidRDefault="0093328C" w:rsidP="00640605">
      <w:pPr>
        <w:pStyle w:val="142"/>
        <w:ind w:left="1457" w:hangingChars="599" w:hanging="1457"/>
        <w:rPr>
          <w:rFonts w:hAnsi="標楷體"/>
          <w:color w:val="000000"/>
        </w:rPr>
      </w:pPr>
      <w:r w:rsidRPr="00B23720">
        <w:rPr>
          <w:rFonts w:hAnsi="標楷體" w:hint="eastAsia"/>
          <w:color w:val="000000"/>
        </w:rPr>
        <w:t>說    明：1.112年度水資源供需概況仍在統計中(依據水利署公務統計規範，各管理單位應於次次年2月底前填報該署完成彙編)。</w:t>
      </w:r>
    </w:p>
    <w:p w:rsidR="0093328C" w:rsidRDefault="0093328C" w:rsidP="00640605">
      <w:pPr>
        <w:pStyle w:val="142"/>
        <w:ind w:leftChars="430" w:left="1483" w:hangingChars="109" w:hanging="265"/>
        <w:rPr>
          <w:rFonts w:hAnsi="標楷體"/>
          <w:color w:val="000000"/>
        </w:rPr>
      </w:pPr>
      <w:r w:rsidRPr="00B23720">
        <w:rPr>
          <w:rFonts w:hAnsi="標楷體" w:hint="eastAsia"/>
          <w:color w:val="000000"/>
        </w:rPr>
        <w:t>2.「年總供水量-其他」含海淡水及境外引水；各標的之用水量除需水量外並含輸水損失，另除地下水用水量外均不含非灌區農業用水。</w:t>
      </w:r>
    </w:p>
    <w:p w:rsidR="0093328C" w:rsidRDefault="0093328C" w:rsidP="00640605">
      <w:pPr>
        <w:pStyle w:val="142"/>
        <w:ind w:left="1245" w:hangingChars="512" w:hanging="1245"/>
        <w:jc w:val="both"/>
        <w:rPr>
          <w:rFonts w:hAnsi="標楷體"/>
          <w:color w:val="000000"/>
        </w:rPr>
      </w:pPr>
      <w:r w:rsidRPr="00B23720">
        <w:rPr>
          <w:rFonts w:hAnsi="標楷體" w:hint="eastAsia"/>
          <w:color w:val="000000"/>
        </w:rPr>
        <w:t>資料來源：水利署網站/各年度水利統計書刊及公務統計報表。</w:t>
      </w:r>
    </w:p>
    <w:p w:rsidR="0093328C" w:rsidRDefault="0093328C" w:rsidP="00640605">
      <w:pPr>
        <w:pStyle w:val="142"/>
        <w:ind w:left="1245" w:hangingChars="512" w:hanging="1245"/>
        <w:jc w:val="both"/>
        <w:rPr>
          <w:rFonts w:hAnsi="標楷體"/>
          <w:color w:val="000000"/>
        </w:rPr>
      </w:pPr>
    </w:p>
    <w:p w:rsidR="0093328C" w:rsidRPr="00EA5C14" w:rsidRDefault="0093328C" w:rsidP="00640605">
      <w:pPr>
        <w:pStyle w:val="200"/>
        <w:spacing w:line="500" w:lineRule="exact"/>
        <w:rPr>
          <w:b/>
          <w:sz w:val="28"/>
        </w:rPr>
      </w:pPr>
      <w:r w:rsidRPr="00EA5C14">
        <w:rPr>
          <w:b/>
          <w:sz w:val="28"/>
        </w:rPr>
        <w:t>表</w:t>
      </w:r>
      <w:r w:rsidRPr="00EA5C14">
        <w:rPr>
          <w:rFonts w:hint="eastAsia"/>
          <w:b/>
          <w:sz w:val="28"/>
        </w:rPr>
        <w:t>2</w:t>
      </w:r>
      <w:r w:rsidRPr="00EA5C14">
        <w:rPr>
          <w:b/>
          <w:sz w:val="28"/>
        </w:rPr>
        <w:t xml:space="preserve">  </w:t>
      </w:r>
      <w:r w:rsidRPr="00EA5C14">
        <w:rPr>
          <w:rFonts w:hint="eastAsia"/>
          <w:b/>
          <w:sz w:val="28"/>
        </w:rPr>
        <w:t xml:space="preserve">110至112年度全臺地層顯著下陷狀況及最大年下陷速率  </w:t>
      </w:r>
    </w:p>
    <w:p w:rsidR="0093328C" w:rsidRPr="00B23720" w:rsidRDefault="0093328C" w:rsidP="00640605">
      <w:pPr>
        <w:pStyle w:val="200"/>
        <w:jc w:val="right"/>
      </w:pPr>
      <w:r w:rsidRPr="00B23720">
        <w:rPr>
          <w:rFonts w:hint="eastAsia"/>
        </w:rPr>
        <w:t>單位：平方公里；公分/年</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252"/>
        <w:gridCol w:w="1252"/>
        <w:gridCol w:w="1252"/>
        <w:gridCol w:w="1252"/>
        <w:gridCol w:w="1252"/>
        <w:gridCol w:w="1252"/>
      </w:tblGrid>
      <w:tr w:rsidR="0093328C" w:rsidRPr="00B23720" w:rsidTr="00640605">
        <w:trPr>
          <w:tblHeader/>
        </w:trPr>
        <w:tc>
          <w:tcPr>
            <w:tcW w:w="993" w:type="dxa"/>
            <w:vMerge w:val="restart"/>
            <w:tcBorders>
              <w:top w:val="single" w:sz="12"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地區</w:t>
            </w:r>
          </w:p>
        </w:tc>
        <w:tc>
          <w:tcPr>
            <w:tcW w:w="3756" w:type="dxa"/>
            <w:gridSpan w:val="3"/>
            <w:tcBorders>
              <w:top w:val="single" w:sz="12" w:space="0" w:color="auto"/>
              <w:bottom w:val="single" w:sz="4" w:space="0" w:color="auto"/>
              <w:right w:val="doub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顯著下陷面積</w:t>
            </w:r>
          </w:p>
        </w:tc>
        <w:tc>
          <w:tcPr>
            <w:tcW w:w="3756" w:type="dxa"/>
            <w:gridSpan w:val="3"/>
            <w:tcBorders>
              <w:top w:val="single" w:sz="12" w:space="0" w:color="auto"/>
              <w:left w:val="doub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最大年下陷速率</w:t>
            </w:r>
          </w:p>
        </w:tc>
      </w:tr>
      <w:tr w:rsidR="0093328C" w:rsidRPr="00B23720" w:rsidTr="00640605">
        <w:trPr>
          <w:tblHeader/>
        </w:trPr>
        <w:tc>
          <w:tcPr>
            <w:tcW w:w="993" w:type="dxa"/>
            <w:vMerge/>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rPr>
            </w:pP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110年度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111年度</w:t>
            </w:r>
          </w:p>
        </w:tc>
        <w:tc>
          <w:tcPr>
            <w:tcW w:w="1252" w:type="dxa"/>
            <w:tcBorders>
              <w:top w:val="single" w:sz="4" w:space="0" w:color="auto"/>
              <w:bottom w:val="single" w:sz="4" w:space="0" w:color="auto"/>
              <w:right w:val="doub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112年度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110年度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111年度</w:t>
            </w:r>
          </w:p>
        </w:tc>
        <w:tc>
          <w:tcPr>
            <w:tcW w:w="1252" w:type="dxa"/>
            <w:tcBorders>
              <w:top w:val="single" w:sz="4" w:space="0" w:color="auto"/>
              <w:bottom w:val="single" w:sz="4" w:space="0" w:color="auto"/>
            </w:tcBorders>
            <w:shd w:val="clear" w:color="auto" w:fill="auto"/>
          </w:tcPr>
          <w:p w:rsidR="0093328C" w:rsidRPr="00B23720" w:rsidRDefault="0093328C" w:rsidP="00640605">
            <w:pPr>
              <w:pStyle w:val="142"/>
              <w:ind w:left="567" w:hanging="567"/>
              <w:jc w:val="center"/>
              <w:rPr>
                <w:rFonts w:hAnsi="標楷體"/>
              </w:rPr>
            </w:pPr>
            <w:r w:rsidRPr="00B23720">
              <w:rPr>
                <w:rFonts w:hAnsi="標楷體" w:hint="eastAsia"/>
              </w:rPr>
              <w:t>112年度</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臺北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1.4</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0.9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1.1</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宜蘭</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1.5</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桃園</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0.3</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苗栗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0.5</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臺中</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1.3</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彰化</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53.3</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w:t>
            </w:r>
            <w:r>
              <w:rPr>
                <w:rFonts w:hAnsi="標楷體" w:hint="eastAsia"/>
              </w:rPr>
              <w:t>.0</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25.9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4.9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3.8</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3.7</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雲林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502.7</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239.5</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247.7</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7.8</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7.9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6.2</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嘉義</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132.8</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241.1</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5.5</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6.4</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高雄</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臺南</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2.5</w:t>
            </w:r>
          </w:p>
        </w:tc>
      </w:tr>
      <w:tr w:rsidR="0093328C" w:rsidRPr="00B23720" w:rsidTr="00640605">
        <w:tc>
          <w:tcPr>
            <w:tcW w:w="993"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center"/>
              <w:rPr>
                <w:rFonts w:hAnsi="標楷體" w:cs="新細明體"/>
              </w:rPr>
            </w:pPr>
            <w:r w:rsidRPr="00B23720">
              <w:rPr>
                <w:rFonts w:hAnsi="標楷體" w:hint="eastAsia"/>
              </w:rPr>
              <w:t>屏東</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68.5</w:t>
            </w:r>
          </w:p>
        </w:tc>
        <w:tc>
          <w:tcPr>
            <w:tcW w:w="1252" w:type="dxa"/>
            <w:tcBorders>
              <w:top w:val="single" w:sz="4" w:space="0" w:color="auto"/>
              <w:bottom w:val="single" w:sz="4" w:space="0" w:color="auto"/>
              <w:right w:val="doub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105.9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2.9</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7" w:hanging="567"/>
              <w:jc w:val="right"/>
              <w:rPr>
                <w:rFonts w:hAnsi="標楷體" w:cs="新細明體"/>
              </w:rPr>
            </w:pPr>
            <w:r w:rsidRPr="00B23720">
              <w:rPr>
                <w:rFonts w:hAnsi="標楷體"/>
              </w:rPr>
              <w:t>6.1</w:t>
            </w:r>
          </w:p>
        </w:tc>
        <w:tc>
          <w:tcPr>
            <w:tcW w:w="1252" w:type="dxa"/>
            <w:tcBorders>
              <w:top w:val="single" w:sz="4" w:space="0" w:color="auto"/>
              <w:bottom w:val="single" w:sz="4"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7.5</w:t>
            </w:r>
          </w:p>
        </w:tc>
      </w:tr>
      <w:tr w:rsidR="0093328C" w:rsidRPr="00B23720" w:rsidTr="00640605">
        <w:tc>
          <w:tcPr>
            <w:tcW w:w="993"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center"/>
              <w:rPr>
                <w:rFonts w:hAnsi="標楷體" w:cs="新細明體"/>
                <w:b/>
              </w:rPr>
            </w:pPr>
            <w:r w:rsidRPr="00B23720">
              <w:rPr>
                <w:rFonts w:hAnsi="標楷體" w:hint="eastAsia"/>
                <w:b/>
              </w:rPr>
              <w:t>合計</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688.8</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310</w:t>
            </w:r>
            <w:r>
              <w:rPr>
                <w:rFonts w:hAnsi="標楷體" w:hint="eastAsia"/>
                <w:b/>
              </w:rPr>
              <w:t>.0</w:t>
            </w:r>
          </w:p>
        </w:tc>
        <w:tc>
          <w:tcPr>
            <w:tcW w:w="1252" w:type="dxa"/>
            <w:tcBorders>
              <w:top w:val="single" w:sz="4" w:space="0" w:color="auto"/>
              <w:bottom w:val="single" w:sz="12" w:space="0" w:color="auto"/>
              <w:right w:val="double" w:sz="4"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620.6</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w:t>
            </w:r>
          </w:p>
        </w:tc>
        <w:tc>
          <w:tcPr>
            <w:tcW w:w="1252" w:type="dxa"/>
            <w:tcBorders>
              <w:top w:val="single" w:sz="4" w:space="0" w:color="auto"/>
              <w:bottom w:val="single" w:sz="12" w:space="0" w:color="auto"/>
            </w:tcBorders>
            <w:shd w:val="clear" w:color="auto" w:fill="auto"/>
            <w:vAlign w:val="center"/>
          </w:tcPr>
          <w:p w:rsidR="0093328C" w:rsidRPr="00B23720" w:rsidRDefault="0093328C" w:rsidP="00640605">
            <w:pPr>
              <w:pStyle w:val="142"/>
              <w:ind w:left="566" w:hanging="566"/>
              <w:jc w:val="right"/>
              <w:rPr>
                <w:rFonts w:hAnsi="標楷體" w:cs="新細明體"/>
                <w:b/>
              </w:rPr>
            </w:pPr>
            <w:r w:rsidRPr="00B23720">
              <w:rPr>
                <w:rFonts w:hAnsi="標楷體"/>
                <w:b/>
              </w:rPr>
              <w:t>-</w:t>
            </w:r>
          </w:p>
        </w:tc>
      </w:tr>
    </w:tbl>
    <w:p w:rsidR="0093328C" w:rsidRDefault="0093328C" w:rsidP="00640605">
      <w:pPr>
        <w:pStyle w:val="142"/>
        <w:ind w:left="567" w:hanging="567"/>
        <w:rPr>
          <w:rFonts w:hAnsi="標楷體"/>
        </w:rPr>
      </w:pPr>
      <w:r w:rsidRPr="00B23720">
        <w:rPr>
          <w:rFonts w:hAnsi="標楷體" w:hint="eastAsia"/>
        </w:rPr>
        <w:t>資料來源：水利署提供</w:t>
      </w:r>
      <w:r w:rsidRPr="007B4925">
        <w:rPr>
          <w:rFonts w:hAnsi="標楷體" w:hint="eastAsia"/>
        </w:rPr>
        <w:t>。</w:t>
      </w:r>
    </w:p>
    <w:p w:rsidR="0093328C" w:rsidRDefault="0093328C" w:rsidP="00640605">
      <w:pPr>
        <w:pStyle w:val="a5"/>
        <w:ind w:left="849" w:hanging="283"/>
        <w:rPr>
          <w:b/>
          <w:bCs/>
        </w:rPr>
      </w:pPr>
      <w:r w:rsidRPr="003F6918">
        <w:rPr>
          <w:rFonts w:hint="eastAsia"/>
          <w:b/>
          <w:bCs/>
        </w:rPr>
        <w:t>(二)</w:t>
      </w:r>
      <w:r w:rsidRPr="007750F7">
        <w:rPr>
          <w:rFonts w:hint="eastAsia"/>
          <w:b/>
          <w:bCs/>
        </w:rPr>
        <w:t>近年我國地下水超抽情形頻仍，允宜審慎研謀善策，俾維地下水資源永續利用</w:t>
      </w:r>
    </w:p>
    <w:p w:rsidR="0093328C" w:rsidRDefault="0093328C" w:rsidP="00640605">
      <w:pPr>
        <w:pStyle w:val="21"/>
        <w:ind w:left="850" w:firstLine="566"/>
      </w:pPr>
      <w:r w:rsidRPr="005414C2">
        <w:rPr>
          <w:rFonts w:hint="eastAsia"/>
        </w:rPr>
        <w:t>參據聯合國111年世界水發展報告「地下水：使不可見變可見(GROUNDWATER Making the invisible visible)」及美國近期研究</w:t>
      </w:r>
      <w:r>
        <w:rPr>
          <w:rStyle w:val="af5"/>
        </w:rPr>
        <w:footnoteReference w:id="4"/>
      </w:r>
      <w:r w:rsidRPr="005414C2">
        <w:rPr>
          <w:rFonts w:hint="eastAsia"/>
        </w:rPr>
        <w:t>指出，透過有效監測地下水、管理含水層補注及政策改變等措施，得以翻轉地下水枯竭趨勢，說明如下：</w:t>
      </w:r>
    </w:p>
    <w:p w:rsidR="0093328C" w:rsidRDefault="0093328C" w:rsidP="00640605">
      <w:pPr>
        <w:pStyle w:val="123"/>
        <w:ind w:left="1133" w:hanging="283"/>
      </w:pPr>
      <w:r>
        <w:rPr>
          <w:rFonts w:hint="eastAsia"/>
        </w:rPr>
        <w:t>1.長期監測地下水量及水質，瞭解含水層狀態，得以分析地下水是否已過度抽取或補注量減少：我國近年持續進行地下水觀測井水質採樣、檢驗及分析，每年度並於「綠色國民所得帳編製報告(環境與經濟帳)」提出地下水抽用、補注及超抽概況；依據111年度報告(詳表3)，地下水抽用量於111年度明顯下降(較110年度降幅6.96%)，補注量則分別於104、109及110年度較低，未達50億立方公尺，又102至111年度地</w:t>
      </w:r>
      <w:r>
        <w:rPr>
          <w:rFonts w:hint="eastAsia"/>
        </w:rPr>
        <w:lastRenderedPageBreak/>
        <w:t>下水仍呈超抽情形，雖111年度超抽量較其餘年度下降，惟超抽區域主要分布於「濁水溪沖積扇」、「嘉南平原」及「屏東平原」等，均屬地層顯著下陷面積較廣之地區。</w:t>
      </w:r>
    </w:p>
    <w:p w:rsidR="0093328C" w:rsidRDefault="0093328C" w:rsidP="00640605">
      <w:pPr>
        <w:pStyle w:val="123"/>
        <w:ind w:left="1133" w:hanging="283"/>
      </w:pPr>
      <w:r>
        <w:rPr>
          <w:rFonts w:hint="eastAsia"/>
        </w:rPr>
        <w:t>2.地下水位可透由減抽地下水及補注地下水(含水層)逐漸改善：水利署雖於地下水保育管理暨地層下陷防治第2及3期計畫進行違法與合法水井處置，及查察地下管制區工廠等，期以改善超抽地下水情形發生，並辦理雲彰地區地下水之補注達1.63億噸，惟仍有地下水超抽情形，允宜研謀改善。</w:t>
      </w:r>
    </w:p>
    <w:p w:rsidR="0093328C" w:rsidRDefault="0093328C" w:rsidP="00640605">
      <w:pPr>
        <w:pStyle w:val="123"/>
        <w:ind w:left="1133" w:hanging="283"/>
      </w:pPr>
      <w:r>
        <w:rPr>
          <w:rFonts w:hint="eastAsia"/>
        </w:rPr>
        <w:t>3.另我國於徵收耗水費時，為避免用水戶以抽取地下水替代自來水，造成地下水枯竭及地層下陷問題，爰針對徵收對象使用地下水部分固定以最高費率3元計算，惟近年農業、工業、家用及公共用水引用地下水量並無明顯減少</w:t>
      </w:r>
      <w:r>
        <w:rPr>
          <w:rStyle w:val="af5"/>
        </w:rPr>
        <w:footnoteReference w:id="5"/>
      </w:r>
      <w:r w:rsidRPr="00756BF4">
        <w:rPr>
          <w:rFonts w:hint="eastAsia"/>
        </w:rPr>
        <w:t>，</w:t>
      </w:r>
      <w:r>
        <w:rPr>
          <w:rFonts w:hint="eastAsia"/>
        </w:rPr>
        <w:t>鑑於耗水費之開徵旨在透過經濟手段提高地下水的使用成本，通過增加用水成本，鼓勵用戶尋求替代水源，減少對地下水的依賴，耗水費徵收辦法第3條雖已規範地下水之耗水費費率固定以每立方公尺3元計價，</w:t>
      </w:r>
      <w:r w:rsidRPr="00756BF4">
        <w:rPr>
          <w:rFonts w:hint="eastAsia"/>
        </w:rPr>
        <w:t>允宜</w:t>
      </w:r>
      <w:r w:rsidRPr="00324893">
        <w:rPr>
          <w:rFonts w:hint="eastAsia"/>
        </w:rPr>
        <w:t>配合耗水費開徵，</w:t>
      </w:r>
      <w:r>
        <w:rPr>
          <w:rFonts w:hint="eastAsia"/>
        </w:rPr>
        <w:t>通過經濟槓桿調節用水行為，減少地下水的過度抽取，並加強地下水保育工作之控管，強化各項再生水及海淡水等多元水資源開發，精進研謀農、工業及民生節約用水之措施，改善地下水超抽情形，以維我國水資源永續運用。</w:t>
      </w:r>
    </w:p>
    <w:p w:rsidR="0093328C" w:rsidRDefault="0093328C" w:rsidP="00640605">
      <w:pPr>
        <w:ind w:left="566" w:firstLine="566"/>
      </w:pPr>
      <w:r w:rsidRPr="00865E92">
        <w:rPr>
          <w:rFonts w:hint="eastAsia"/>
        </w:rPr>
        <w:t>綜上，</w:t>
      </w:r>
      <w:r w:rsidRPr="00756BF4">
        <w:rPr>
          <w:rFonts w:hint="eastAsia"/>
        </w:rPr>
        <w:t>110至112年度全臺地層顯著下陷面積均超過</w:t>
      </w:r>
      <w:r w:rsidRPr="009C3B1C">
        <w:rPr>
          <w:rFonts w:hint="eastAsia"/>
        </w:rPr>
        <w:t>地下水保育管理暨地層下陷防治計畫</w:t>
      </w:r>
      <w:r>
        <w:rPr>
          <w:rFonts w:hint="eastAsia"/>
        </w:rPr>
        <w:t>第3期</w:t>
      </w:r>
      <w:r w:rsidRPr="00756BF4">
        <w:rPr>
          <w:rFonts w:hint="eastAsia"/>
        </w:rPr>
        <w:t>目標值，且部分地區112年度最大年下陷速率高於前2年</w:t>
      </w:r>
      <w:r w:rsidRPr="00F90C60">
        <w:rPr>
          <w:rFonts w:hint="eastAsia"/>
        </w:rPr>
        <w:t>，允宜配合耗水費開徵，檢討強化地下水保育管理暨地層下陷防治之宣導及推動工作</w:t>
      </w:r>
      <w:r>
        <w:rPr>
          <w:rFonts w:hint="eastAsia"/>
        </w:rPr>
        <w:t>，俾確保地下水資源永續利用</w:t>
      </w:r>
      <w:r w:rsidRPr="00865E92">
        <w:rPr>
          <w:rFonts w:hint="eastAsia"/>
        </w:rPr>
        <w:t>。</w:t>
      </w:r>
    </w:p>
    <w:p w:rsidR="0093328C" w:rsidRPr="000D0120" w:rsidRDefault="0093328C" w:rsidP="00640605">
      <w:pPr>
        <w:pStyle w:val="200"/>
        <w:spacing w:line="500" w:lineRule="exact"/>
      </w:pPr>
      <w:r w:rsidRPr="000D0120">
        <w:rPr>
          <w:b/>
          <w:sz w:val="28"/>
        </w:rPr>
        <w:lastRenderedPageBreak/>
        <w:t>表</w:t>
      </w:r>
      <w:r w:rsidRPr="000D0120">
        <w:rPr>
          <w:rFonts w:hint="eastAsia"/>
          <w:b/>
          <w:sz w:val="28"/>
        </w:rPr>
        <w:t>3</w:t>
      </w:r>
      <w:r w:rsidRPr="000D0120">
        <w:rPr>
          <w:b/>
          <w:sz w:val="28"/>
        </w:rPr>
        <w:t xml:space="preserve">  </w:t>
      </w:r>
      <w:r w:rsidRPr="000D0120">
        <w:rPr>
          <w:rFonts w:hint="eastAsia"/>
          <w:b/>
          <w:sz w:val="28"/>
        </w:rPr>
        <w:t xml:space="preserve">102至111年度地下水抽用及補注概況      </w:t>
      </w:r>
      <w:r w:rsidRPr="000D0120">
        <w:rPr>
          <w:rFonts w:hint="eastAsia"/>
        </w:rPr>
        <w:t xml:space="preserve"> 單位：百萬立方公尺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32"/>
        <w:gridCol w:w="2140"/>
        <w:gridCol w:w="2140"/>
        <w:gridCol w:w="2213"/>
      </w:tblGrid>
      <w:tr w:rsidR="0093328C" w:rsidRPr="00B23720" w:rsidTr="00640605">
        <w:trPr>
          <w:tblHeader/>
        </w:trPr>
        <w:tc>
          <w:tcPr>
            <w:tcW w:w="2032"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年度/地下水區</w:t>
            </w:r>
          </w:p>
        </w:tc>
        <w:tc>
          <w:tcPr>
            <w:tcW w:w="2140"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抽用量</w:t>
            </w:r>
          </w:p>
        </w:tc>
        <w:tc>
          <w:tcPr>
            <w:tcW w:w="2140"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補注量</w:t>
            </w:r>
          </w:p>
        </w:tc>
        <w:tc>
          <w:tcPr>
            <w:tcW w:w="2213" w:type="dxa"/>
            <w:shd w:val="clear" w:color="auto" w:fill="auto"/>
            <w:vAlign w:val="center"/>
          </w:tcPr>
          <w:p w:rsidR="0093328C" w:rsidRPr="00B23720" w:rsidRDefault="0093328C" w:rsidP="00640605">
            <w:pPr>
              <w:pStyle w:val="142"/>
              <w:ind w:left="567" w:hanging="567"/>
              <w:jc w:val="center"/>
              <w:rPr>
                <w:rFonts w:hAnsi="標楷體"/>
              </w:rPr>
            </w:pPr>
            <w:r w:rsidRPr="00B23720">
              <w:rPr>
                <w:rFonts w:hAnsi="標楷體" w:hint="eastAsia"/>
              </w:rPr>
              <w:t>超抽量</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102年度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rPr>
              <w:t>5,223.9</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,173.8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,550.4</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103年度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,157.3</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,057.9</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,420.5</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104年度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,006.1</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,982.3</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,454.2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105年度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,076.2</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,514.7</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,171.0</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106年度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,146.1</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,124.8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,441.2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107年度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,066.6</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,134.6</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,328.2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108年度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,088.4</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,255.4</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,302.2</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109年度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,020.6</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,603.1</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,639.6</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110年度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,059.5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,782.7</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,390.9</w:t>
            </w:r>
          </w:p>
        </w:tc>
      </w:tr>
      <w:tr w:rsidR="0093328C" w:rsidRPr="00B23720" w:rsidTr="00640605">
        <w:tc>
          <w:tcPr>
            <w:tcW w:w="2032" w:type="dxa"/>
            <w:shd w:val="clear" w:color="auto" w:fill="auto"/>
          </w:tcPr>
          <w:p w:rsidR="0093328C" w:rsidRPr="00B23720" w:rsidRDefault="0093328C" w:rsidP="00640605">
            <w:pPr>
              <w:pStyle w:val="142"/>
              <w:ind w:leftChars="50" w:left="709" w:hanging="567"/>
              <w:rPr>
                <w:rFonts w:hAnsi="標楷體"/>
              </w:rPr>
            </w:pPr>
            <w:r w:rsidRPr="00B23720">
              <w:rPr>
                <w:rFonts w:hAnsi="標楷體" w:hint="eastAsia"/>
              </w:rPr>
              <w:t>111年度</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,707.5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,061.3</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9</w:t>
            </w:r>
            <w:r w:rsidRPr="00B23720">
              <w:rPr>
                <w:rFonts w:hAnsi="標楷體"/>
                <w:b/>
              </w:rPr>
              <w:t>42.8</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臺北盆地</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5.7</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1.0</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桃園中壢台地</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37.5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43.2</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新竹苗栗地區</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46.8</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4</w:t>
            </w:r>
            <w:r w:rsidRPr="00B23720">
              <w:rPr>
                <w:rFonts w:hAnsi="標楷體"/>
              </w:rPr>
              <w:t>35.0</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臺中地區</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2</w:t>
            </w:r>
            <w:r w:rsidRPr="00B23720">
              <w:rPr>
                <w:rFonts w:hAnsi="標楷體"/>
              </w:rPr>
              <w:t>35.4</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55.4</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濁水溪沖積扇</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,760.5</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rPr>
              <w:t>1,380.7</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3</w:t>
            </w:r>
            <w:r w:rsidRPr="00B23720">
              <w:rPr>
                <w:rFonts w:hAnsi="標楷體"/>
                <w:b/>
              </w:rPr>
              <w:t>79.8</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嘉南平原</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,198.8</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8</w:t>
            </w:r>
            <w:r w:rsidRPr="00B23720">
              <w:rPr>
                <w:rFonts w:hAnsi="標楷體"/>
              </w:rPr>
              <w:t>52.8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3</w:t>
            </w:r>
            <w:r w:rsidRPr="00B23720">
              <w:rPr>
                <w:rFonts w:hAnsi="標楷體"/>
                <w:b/>
              </w:rPr>
              <w:t>46.0</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屏東平原</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9</w:t>
            </w:r>
            <w:r>
              <w:rPr>
                <w:rFonts w:hAnsi="標楷體" w:hint="eastAsia"/>
              </w:rPr>
              <w:t>9</w:t>
            </w:r>
            <w:r w:rsidRPr="00B23720">
              <w:rPr>
                <w:rFonts w:hAnsi="標楷體"/>
              </w:rPr>
              <w:t>3.7</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7</w:t>
            </w:r>
            <w:r w:rsidRPr="00B23720">
              <w:rPr>
                <w:rFonts w:hAnsi="標楷體"/>
              </w:rPr>
              <w:t>77.8</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2</w:t>
            </w:r>
            <w:r w:rsidRPr="00B23720">
              <w:rPr>
                <w:rFonts w:hAnsi="標楷體"/>
                <w:b/>
              </w:rPr>
              <w:t>15.9</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蘭陽平原</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5</w:t>
            </w:r>
            <w:r w:rsidRPr="00B23720">
              <w:rPr>
                <w:rFonts w:hAnsi="標楷體"/>
              </w:rPr>
              <w:t>2.8</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04.2</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花蓮臺東縱谷</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36.0</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3</w:t>
            </w:r>
            <w:r w:rsidRPr="00B23720">
              <w:rPr>
                <w:rFonts w:hAnsi="標楷體"/>
              </w:rPr>
              <w:t>51.8</w:t>
            </w:r>
          </w:p>
        </w:tc>
        <w:tc>
          <w:tcPr>
            <w:tcW w:w="2213"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w:t>
            </w:r>
          </w:p>
        </w:tc>
      </w:tr>
      <w:tr w:rsidR="0093328C" w:rsidRPr="00B23720" w:rsidTr="00640605">
        <w:tc>
          <w:tcPr>
            <w:tcW w:w="2032" w:type="dxa"/>
            <w:shd w:val="clear" w:color="auto" w:fill="auto"/>
          </w:tcPr>
          <w:p w:rsidR="0093328C" w:rsidRPr="00B23720" w:rsidRDefault="0093328C" w:rsidP="00640605">
            <w:pPr>
              <w:pStyle w:val="142"/>
              <w:ind w:leftChars="100" w:left="850" w:hanging="567"/>
              <w:rPr>
                <w:rFonts w:hAnsi="標楷體"/>
              </w:rPr>
            </w:pPr>
            <w:r w:rsidRPr="00B23720">
              <w:rPr>
                <w:rFonts w:hAnsi="標楷體" w:hint="eastAsia"/>
              </w:rPr>
              <w:t>離島地區</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1</w:t>
            </w:r>
            <w:r w:rsidRPr="00B23720">
              <w:rPr>
                <w:rFonts w:hAnsi="標楷體"/>
              </w:rPr>
              <w:t>0.1</w:t>
            </w:r>
          </w:p>
        </w:tc>
        <w:tc>
          <w:tcPr>
            <w:tcW w:w="2140" w:type="dxa"/>
            <w:shd w:val="clear" w:color="auto" w:fill="auto"/>
            <w:vAlign w:val="center"/>
          </w:tcPr>
          <w:p w:rsidR="0093328C" w:rsidRPr="00B23720" w:rsidRDefault="0093328C" w:rsidP="00640605">
            <w:pPr>
              <w:pStyle w:val="142"/>
              <w:ind w:left="567" w:hanging="567"/>
              <w:jc w:val="right"/>
              <w:rPr>
                <w:rFonts w:hAnsi="標楷體"/>
              </w:rPr>
            </w:pPr>
            <w:r w:rsidRPr="00B23720">
              <w:rPr>
                <w:rFonts w:hAnsi="標楷體" w:hint="eastAsia"/>
              </w:rPr>
              <w:t>9</w:t>
            </w:r>
            <w:r w:rsidRPr="00B23720">
              <w:rPr>
                <w:rFonts w:hAnsi="標楷體"/>
              </w:rPr>
              <w:t>.4</w:t>
            </w:r>
          </w:p>
        </w:tc>
        <w:tc>
          <w:tcPr>
            <w:tcW w:w="2213" w:type="dxa"/>
            <w:shd w:val="clear" w:color="auto" w:fill="auto"/>
            <w:vAlign w:val="center"/>
          </w:tcPr>
          <w:p w:rsidR="0093328C" w:rsidRPr="00B23720" w:rsidRDefault="0093328C" w:rsidP="00640605">
            <w:pPr>
              <w:pStyle w:val="142"/>
              <w:ind w:left="566" w:hanging="566"/>
              <w:jc w:val="right"/>
              <w:rPr>
                <w:rFonts w:hAnsi="標楷體"/>
                <w:b/>
              </w:rPr>
            </w:pPr>
            <w:r w:rsidRPr="00B23720">
              <w:rPr>
                <w:rFonts w:hAnsi="標楷體" w:hint="eastAsia"/>
                <w:b/>
              </w:rPr>
              <w:t>1</w:t>
            </w:r>
            <w:r w:rsidRPr="00B23720">
              <w:rPr>
                <w:rFonts w:hAnsi="標楷體"/>
                <w:b/>
              </w:rPr>
              <w:t>.1</w:t>
            </w:r>
          </w:p>
        </w:tc>
      </w:tr>
    </w:tbl>
    <w:p w:rsidR="0093328C" w:rsidRPr="00B23720" w:rsidRDefault="0093328C" w:rsidP="00640605">
      <w:pPr>
        <w:pStyle w:val="142"/>
        <w:ind w:left="567" w:hanging="567"/>
        <w:jc w:val="both"/>
        <w:rPr>
          <w:rFonts w:hAnsi="標楷體"/>
        </w:rPr>
      </w:pPr>
      <w:r w:rsidRPr="00B23720">
        <w:rPr>
          <w:rFonts w:hAnsi="標楷體" w:hint="eastAsia"/>
        </w:rPr>
        <w:t>說    明：超抽量係指各地下水超抽量之合計。</w:t>
      </w:r>
    </w:p>
    <w:p w:rsidR="0093328C" w:rsidRPr="00B23720" w:rsidRDefault="0093328C" w:rsidP="00640605">
      <w:pPr>
        <w:pStyle w:val="142"/>
        <w:ind w:left="1216" w:hangingChars="500" w:hanging="1216"/>
        <w:jc w:val="both"/>
        <w:rPr>
          <w:rFonts w:hAnsi="標楷體"/>
        </w:rPr>
      </w:pPr>
      <w:r w:rsidRPr="00B23720">
        <w:rPr>
          <w:rFonts w:hAnsi="標楷體" w:hint="eastAsia"/>
        </w:rPr>
        <w:t>資料來源：水利署提供(111年度綠色國民所得帳編製報告(環境與經濟帳)「實物資產帳－地下水」)。</w:t>
      </w:r>
    </w:p>
    <w:p w:rsidR="0093328C" w:rsidRPr="00865E92" w:rsidRDefault="0093328C" w:rsidP="00640605">
      <w:pPr>
        <w:pStyle w:val="ad"/>
      </w:pPr>
      <w:r w:rsidRPr="00865E92">
        <w:rPr>
          <w:rFonts w:hint="eastAsia"/>
        </w:rPr>
        <w:t>(分機：1922 羅玉姍)</w:t>
      </w:r>
    </w:p>
    <w:sectPr w:rsidR="0093328C" w:rsidRPr="00865E92"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804510">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5B6520" w:rsidRDefault="00064496" w:rsidP="00640605">
      <w:pPr>
        <w:pStyle w:val="142"/>
        <w:ind w:left="83" w:hangingChars="34" w:hanging="83"/>
        <w:jc w:val="both"/>
      </w:pPr>
      <w:r>
        <w:rPr>
          <w:rStyle w:val="af5"/>
        </w:rPr>
        <w:footnoteRef/>
      </w:r>
      <w:r w:rsidR="000F0ED9" w:rsidRPr="000F0ED9">
        <w:rPr>
          <w:rFonts w:hint="eastAsia"/>
        </w:rPr>
        <w:t>資料來源，國立臺灣大學氣候天氣災害研究中心網頁(http://www.wcdr.ntu.edu.tw/223202365219979385192879723475332873845028797.html)，「地層下陷災害與防災」(檢索日期：113年7月10日)</w:t>
      </w:r>
      <w:r w:rsidRPr="005B6520">
        <w:rPr>
          <w:rFonts w:hint="eastAsia"/>
        </w:rPr>
        <w:t>。</w:t>
      </w:r>
    </w:p>
  </w:footnote>
  <w:footnote w:id="2">
    <w:p w:rsidR="00064496" w:rsidRPr="00324893" w:rsidRDefault="00064496" w:rsidP="00640605">
      <w:pPr>
        <w:pStyle w:val="142"/>
        <w:ind w:left="83" w:hangingChars="34" w:hanging="83"/>
        <w:jc w:val="both"/>
      </w:pPr>
      <w:r>
        <w:rPr>
          <w:rStyle w:val="af5"/>
        </w:rPr>
        <w:footnoteRef/>
      </w:r>
      <w:r w:rsidRPr="00324893">
        <w:rPr>
          <w:rFonts w:hint="eastAsia"/>
        </w:rPr>
        <w:t>112年度耗水費徵收之用水情形，總用水量2億1,521萬噸</w:t>
      </w:r>
      <w:r>
        <w:rPr>
          <w:rFonts w:hint="eastAsia"/>
        </w:rPr>
        <w:t>，自</w:t>
      </w:r>
      <w:r w:rsidRPr="00324893">
        <w:rPr>
          <w:rFonts w:hint="eastAsia"/>
        </w:rPr>
        <w:t>來水、地面水及地下水分別為1億2,020萬噸、4,346萬噸及5,155萬噸</w:t>
      </w:r>
      <w:r w:rsidRPr="005B6520">
        <w:rPr>
          <w:rFonts w:hint="eastAsia"/>
        </w:rPr>
        <w:t>。</w:t>
      </w:r>
    </w:p>
  </w:footnote>
  <w:footnote w:id="3">
    <w:p w:rsidR="00064496" w:rsidRPr="00EA5C14" w:rsidRDefault="00064496" w:rsidP="00640605">
      <w:pPr>
        <w:pStyle w:val="142"/>
        <w:ind w:left="83" w:hangingChars="34" w:hanging="83"/>
        <w:jc w:val="both"/>
      </w:pPr>
      <w:r>
        <w:rPr>
          <w:rStyle w:val="af5"/>
        </w:rPr>
        <w:footnoteRef/>
      </w:r>
      <w:r>
        <w:rPr>
          <w:rFonts w:hint="eastAsia"/>
        </w:rPr>
        <w:t>地層顯著下陷係指年平均下陷速率超過3公分</w:t>
      </w:r>
      <w:r>
        <w:rPr>
          <w:rFonts w:hAnsi="標楷體" w:hint="eastAsia"/>
        </w:rPr>
        <w:t>。</w:t>
      </w:r>
    </w:p>
  </w:footnote>
  <w:footnote w:id="4">
    <w:p w:rsidR="00064496" w:rsidRPr="005414C2" w:rsidRDefault="00064496" w:rsidP="00640605">
      <w:pPr>
        <w:pStyle w:val="142"/>
        <w:ind w:left="83" w:hangingChars="34" w:hanging="83"/>
        <w:jc w:val="both"/>
      </w:pPr>
      <w:r>
        <w:rPr>
          <w:rStyle w:val="af5"/>
        </w:rPr>
        <w:footnoteRef/>
      </w:r>
      <w:r w:rsidRPr="005414C2">
        <w:rPr>
          <w:rFonts w:hint="eastAsia"/>
        </w:rPr>
        <w:t>資料來源，聯合國111年世界水發展報告，GROUNDWATER Making the invisible visible 及Nature雜誌113年1月24日，Rapid groundwater decline and some cases of recovery in aquifers globally。</w:t>
      </w:r>
    </w:p>
  </w:footnote>
  <w:footnote w:id="5">
    <w:p w:rsidR="00064496" w:rsidRDefault="00064496" w:rsidP="00640605">
      <w:pPr>
        <w:pStyle w:val="142"/>
        <w:ind w:left="83" w:hangingChars="34" w:hanging="83"/>
        <w:jc w:val="both"/>
      </w:pPr>
      <w:r>
        <w:rPr>
          <w:rStyle w:val="af5"/>
        </w:rPr>
        <w:footnoteRef/>
      </w:r>
      <w:r>
        <w:rPr>
          <w:rFonts w:hint="eastAsia"/>
        </w:rPr>
        <w:t>111及112年度</w:t>
      </w:r>
      <w:r w:rsidRPr="0049303D">
        <w:rPr>
          <w:rFonts w:hint="eastAsia"/>
        </w:rPr>
        <w:t>引用地下水量</w:t>
      </w:r>
      <w:r>
        <w:rPr>
          <w:rFonts w:hint="eastAsia"/>
        </w:rPr>
        <w:t>分別為</w:t>
      </w:r>
      <w:r w:rsidRPr="0049303D">
        <w:rPr>
          <w:rFonts w:hint="eastAsia"/>
        </w:rPr>
        <w:t>農業</w:t>
      </w:r>
      <w:r>
        <w:rPr>
          <w:rFonts w:hint="eastAsia"/>
        </w:rPr>
        <w:t>27.46億及25.72億立方公尺；</w:t>
      </w:r>
      <w:r w:rsidRPr="0049303D">
        <w:rPr>
          <w:rFonts w:hint="eastAsia"/>
        </w:rPr>
        <w:t>工業</w:t>
      </w:r>
      <w:r>
        <w:rPr>
          <w:rFonts w:hint="eastAsia"/>
        </w:rPr>
        <w:t>6</w:t>
      </w:r>
      <w:r>
        <w:t>.94</w:t>
      </w:r>
      <w:r>
        <w:rPr>
          <w:rFonts w:hint="eastAsia"/>
        </w:rPr>
        <w:t>億及</w:t>
      </w:r>
      <w:r>
        <w:t>7.70</w:t>
      </w:r>
      <w:r>
        <w:rPr>
          <w:rFonts w:hint="eastAsia"/>
        </w:rPr>
        <w:t>億立方公尺；</w:t>
      </w:r>
      <w:r w:rsidRPr="0049303D">
        <w:rPr>
          <w:rFonts w:hint="eastAsia"/>
        </w:rPr>
        <w:t>家用及公共用水</w:t>
      </w:r>
      <w:r>
        <w:t>9.38</w:t>
      </w:r>
      <w:r>
        <w:rPr>
          <w:rFonts w:hint="eastAsia"/>
        </w:rPr>
        <w:t>億及</w:t>
      </w:r>
      <w:r>
        <w:t>10.22</w:t>
      </w:r>
      <w:r>
        <w:rPr>
          <w:rFonts w:hint="eastAsia"/>
        </w:rPr>
        <w:t>億立方公尺</w:t>
      </w:r>
      <w:r w:rsidRPr="007750F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04510"/>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12BA1650-CD63-494E-8025-2BD94DCC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08A11-9CED-45C3-9045-7B4E669E5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569</Words>
  <Characters>3246</Characters>
  <Application>Microsoft Office Word</Application>
  <DocSecurity>0</DocSecurity>
  <Lines>27</Lines>
  <Paragraphs>7</Paragraphs>
  <ScaleCrop>false</ScaleCrop>
  <Company>HOME</Company>
  <LinksUpToDate>false</LinksUpToDate>
  <CharactersWithSpaces>3808</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