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C71" w:rsidRDefault="00BC5C71" w:rsidP="00640605">
      <w:pPr>
        <w:pStyle w:val="ac"/>
      </w:pPr>
      <w:bookmarkStart w:id="0" w:name="_Toc170724636"/>
      <w:bookmarkStart w:id="1" w:name="_GoBack"/>
      <w:bookmarkEnd w:id="1"/>
      <w:r w:rsidRPr="00620246">
        <w:rPr>
          <w:rFonts w:hint="eastAsia"/>
        </w:rPr>
        <w:t>112年度中央政府總決算審核報告整體評估報告</w:t>
      </w:r>
    </w:p>
    <w:p w:rsidR="009C53C7" w:rsidRPr="006A3243" w:rsidRDefault="009C53C7" w:rsidP="00640605">
      <w:pPr>
        <w:pStyle w:val="14"/>
        <w:ind w:left="567" w:hanging="567"/>
      </w:pPr>
      <w:bookmarkStart w:id="2" w:name="_Toc177394296"/>
      <w:bookmarkStart w:id="3" w:name="_Toc173827407"/>
      <w:bookmarkStart w:id="4" w:name="_Toc14966343"/>
      <w:bookmarkEnd w:id="0"/>
      <w:r>
        <w:rPr>
          <w:rFonts w:hint="eastAsia"/>
        </w:rPr>
        <w:t>一八</w:t>
      </w:r>
      <w:r w:rsidRPr="00B04F8E">
        <w:rPr>
          <w:rFonts w:hint="eastAsia"/>
        </w:rPr>
        <w:t>、</w:t>
      </w:r>
      <w:bookmarkStart w:id="5" w:name="_Hlk174626181"/>
      <w:r w:rsidRPr="00304FB9">
        <w:rPr>
          <w:rFonts w:hint="eastAsia"/>
        </w:rPr>
        <w:t>為提升公路運輸減碳效能，持續推動市區公車全面電動化，惟執行成效未如預期，允宜跨部會研謀策進措施，以實現淨零排放之目標</w:t>
      </w:r>
      <w:bookmarkEnd w:id="2"/>
    </w:p>
    <w:bookmarkEnd w:id="3"/>
    <w:bookmarkEnd w:id="5"/>
    <w:p w:rsidR="009C53C7" w:rsidRDefault="009C53C7" w:rsidP="00640605">
      <w:pPr>
        <w:ind w:left="566" w:firstLine="566"/>
      </w:pPr>
      <w:r w:rsidRPr="00CF662F">
        <w:rPr>
          <w:rFonts w:hint="eastAsia"/>
        </w:rPr>
        <w:t>為提升公路運輸減碳效能</w:t>
      </w:r>
      <w:r>
        <w:rPr>
          <w:rFonts w:hint="eastAsia"/>
        </w:rPr>
        <w:t>，</w:t>
      </w:r>
      <w:r>
        <w:t>落實綠色運輸之理念，</w:t>
      </w:r>
      <w:r>
        <w:rPr>
          <w:rFonts w:hint="eastAsia"/>
        </w:rPr>
        <w:t>交通部</w:t>
      </w:r>
      <w:r>
        <w:t>邀集經濟部及</w:t>
      </w:r>
      <w:r>
        <w:rPr>
          <w:rFonts w:hint="eastAsia"/>
        </w:rPr>
        <w:t>環境保護署</w:t>
      </w:r>
      <w:r w:rsidRPr="00C71B28">
        <w:rPr>
          <w:rFonts w:hint="eastAsia"/>
        </w:rPr>
        <w:t>(112年8月22日改制為環境部，下稱環境部)</w:t>
      </w:r>
      <w:r>
        <w:t>，</w:t>
      </w:r>
      <w:r w:rsidRPr="000E6C8C">
        <w:rPr>
          <w:rFonts w:hint="eastAsia"/>
        </w:rPr>
        <w:t>成立跨部</w:t>
      </w:r>
      <w:r>
        <w:rPr>
          <w:rFonts w:hint="eastAsia"/>
        </w:rPr>
        <w:t>會</w:t>
      </w:r>
      <w:r w:rsidRPr="000E6C8C">
        <w:rPr>
          <w:rFonts w:hint="eastAsia"/>
        </w:rPr>
        <w:t>推動小組，共同推動電動公車政策</w:t>
      </w:r>
      <w:r>
        <w:rPr>
          <w:rFonts w:hAnsi="標楷體" w:hint="eastAsia"/>
        </w:rPr>
        <w:t>，以達2050年</w:t>
      </w:r>
      <w:r w:rsidRPr="00304FB9">
        <w:rPr>
          <w:rFonts w:hint="eastAsia"/>
        </w:rPr>
        <w:t>淨零</w:t>
      </w:r>
      <w:r>
        <w:rPr>
          <w:rFonts w:hint="eastAsia"/>
        </w:rPr>
        <w:t>轉型之目標</w:t>
      </w:r>
      <w:r>
        <w:rPr>
          <w:rFonts w:hAnsi="標楷體" w:hint="eastAsia"/>
        </w:rPr>
        <w:t>，惟執</w:t>
      </w:r>
      <w:r w:rsidRPr="00C97DAB">
        <w:rPr>
          <w:rFonts w:hAnsi="標楷體" w:hint="eastAsia"/>
        </w:rPr>
        <w:t>行成效受限於車輛及電池性能、充電介面、儲能設施及後勤維運成本高等</w:t>
      </w:r>
      <w:r>
        <w:rPr>
          <w:rFonts w:hAnsi="標楷體" w:hint="eastAsia"/>
        </w:rPr>
        <w:t>因素</w:t>
      </w:r>
      <w:r w:rsidRPr="00C97DAB">
        <w:rPr>
          <w:rFonts w:hAnsi="標楷體" w:hint="eastAsia"/>
        </w:rPr>
        <w:t>未如預期，</w:t>
      </w:r>
      <w:r>
        <w:rPr>
          <w:rFonts w:hAnsi="標楷體" w:hint="eastAsia"/>
        </w:rPr>
        <w:t>茲說明如次：</w:t>
      </w:r>
    </w:p>
    <w:p w:rsidR="009C53C7" w:rsidRPr="006F6930" w:rsidRDefault="009C53C7" w:rsidP="00640605">
      <w:pPr>
        <w:pStyle w:val="a5"/>
        <w:overflowPunct w:val="0"/>
        <w:adjustRightInd w:val="0"/>
        <w:snapToGrid w:val="0"/>
        <w:ind w:left="849" w:hanging="283"/>
        <w:outlineLvl w:val="2"/>
        <w:rPr>
          <w:rFonts w:hAnsi="標楷體"/>
          <w:b/>
          <w:bCs/>
        </w:rPr>
      </w:pPr>
      <w:r w:rsidRPr="006F6930">
        <w:rPr>
          <w:rFonts w:hint="eastAsia"/>
          <w:b/>
          <w:bCs/>
        </w:rPr>
        <w:t>(一)</w:t>
      </w:r>
      <w:r>
        <w:rPr>
          <w:rFonts w:hint="eastAsia"/>
          <w:b/>
          <w:bCs/>
        </w:rPr>
        <w:t>配合</w:t>
      </w:r>
      <w:r w:rsidRPr="00597C09">
        <w:rPr>
          <w:rFonts w:hint="eastAsia"/>
          <w:b/>
          <w:bCs/>
        </w:rPr>
        <w:t>淨零排放目標</w:t>
      </w:r>
      <w:r>
        <w:rPr>
          <w:rFonts w:hAnsi="標楷體" w:hint="eastAsia"/>
          <w:b/>
          <w:bCs/>
        </w:rPr>
        <w:t>，</w:t>
      </w:r>
      <w:r w:rsidRPr="00F87365">
        <w:rPr>
          <w:rFonts w:hint="eastAsia"/>
          <w:b/>
          <w:bCs/>
        </w:rPr>
        <w:t>推動市區公車全面電動化</w:t>
      </w:r>
      <w:r>
        <w:rPr>
          <w:rFonts w:hAnsi="標楷體" w:hint="eastAsia"/>
          <w:b/>
          <w:bCs/>
        </w:rPr>
        <w:t>，</w:t>
      </w:r>
      <w:r>
        <w:rPr>
          <w:rFonts w:hint="eastAsia"/>
          <w:b/>
          <w:bCs/>
        </w:rPr>
        <w:t>相關部會業務</w:t>
      </w:r>
      <w:r w:rsidRPr="003E3291">
        <w:rPr>
          <w:rFonts w:hint="eastAsia"/>
          <w:b/>
          <w:bCs/>
        </w:rPr>
        <w:t>分工及預算</w:t>
      </w:r>
      <w:r w:rsidRPr="0003158B">
        <w:rPr>
          <w:rFonts w:hint="eastAsia"/>
          <w:b/>
        </w:rPr>
        <w:t>執行</w:t>
      </w:r>
      <w:r>
        <w:rPr>
          <w:rFonts w:hint="eastAsia"/>
          <w:b/>
          <w:bCs/>
        </w:rPr>
        <w:t>情形</w:t>
      </w:r>
    </w:p>
    <w:p w:rsidR="009C53C7" w:rsidRDefault="009C53C7" w:rsidP="00640605">
      <w:pPr>
        <w:pStyle w:val="21"/>
        <w:overflowPunct w:val="0"/>
        <w:snapToGrid w:val="0"/>
        <w:ind w:left="850" w:firstLine="566"/>
        <w:rPr>
          <w:rFonts w:hAnsi="標楷體"/>
        </w:rPr>
      </w:pPr>
      <w:r>
        <w:rPr>
          <w:rFonts w:hAnsi="標楷體" w:hint="eastAsia"/>
        </w:rPr>
        <w:t>為順利</w:t>
      </w:r>
      <w:r w:rsidRPr="008E21CB">
        <w:rPr>
          <w:rFonts w:hAnsi="標楷體" w:hint="eastAsia"/>
        </w:rPr>
        <w:t>推動市區公車全面電動化，</w:t>
      </w:r>
      <w:r>
        <w:rPr>
          <w:rFonts w:hAnsi="標楷體" w:hint="eastAsia"/>
        </w:rPr>
        <w:t>藉由</w:t>
      </w:r>
      <w:r w:rsidRPr="006D4D05">
        <w:rPr>
          <w:rFonts w:hAnsi="標楷體" w:hint="eastAsia"/>
        </w:rPr>
        <w:t>先導期之營運實績</w:t>
      </w:r>
      <w:r>
        <w:rPr>
          <w:rFonts w:hAnsi="標楷體" w:hint="eastAsia"/>
        </w:rPr>
        <w:t>，</w:t>
      </w:r>
      <w:r w:rsidRPr="006D4D05">
        <w:rPr>
          <w:rFonts w:hAnsi="標楷體" w:hint="eastAsia"/>
        </w:rPr>
        <w:t>作為購車補助滾動檢討之依據，同時扶植關鍵產業本土化</w:t>
      </w:r>
      <w:r>
        <w:rPr>
          <w:rFonts w:hAnsi="標楷體" w:hint="eastAsia"/>
        </w:rPr>
        <w:t>，</w:t>
      </w:r>
      <w:r w:rsidRPr="006D4D05">
        <w:rPr>
          <w:rFonts w:hAnsi="標楷體" w:hint="eastAsia"/>
        </w:rPr>
        <w:t>輔導車廠改善充電介面</w:t>
      </w:r>
      <w:r>
        <w:rPr>
          <w:rFonts w:hAnsi="標楷體" w:hint="eastAsia"/>
        </w:rPr>
        <w:t>及</w:t>
      </w:r>
      <w:r w:rsidRPr="006D4D05">
        <w:rPr>
          <w:rFonts w:hAnsi="標楷體" w:hint="eastAsia"/>
        </w:rPr>
        <w:t>建置基礎電網設施</w:t>
      </w:r>
      <w:r>
        <w:rPr>
          <w:rFonts w:hAnsi="標楷體" w:hint="eastAsia"/>
        </w:rPr>
        <w:t>等事宜，謹</w:t>
      </w:r>
      <w:r w:rsidRPr="007639F7">
        <w:rPr>
          <w:rFonts w:hAnsi="標楷體" w:hint="eastAsia"/>
        </w:rPr>
        <w:t>就</w:t>
      </w:r>
      <w:r>
        <w:rPr>
          <w:rFonts w:hAnsi="標楷體" w:hint="eastAsia"/>
        </w:rPr>
        <w:t>相關部會</w:t>
      </w:r>
      <w:r>
        <w:rPr>
          <w:rFonts w:hint="eastAsia"/>
          <w:bCs/>
        </w:rPr>
        <w:t>分辦事項及</w:t>
      </w:r>
      <w:r w:rsidRPr="007639F7">
        <w:rPr>
          <w:rFonts w:hint="eastAsia"/>
          <w:bCs/>
        </w:rPr>
        <w:t>預算</w:t>
      </w:r>
      <w:r>
        <w:rPr>
          <w:rFonts w:hint="eastAsia"/>
          <w:bCs/>
        </w:rPr>
        <w:t>執行情形</w:t>
      </w:r>
      <w:r w:rsidRPr="007639F7">
        <w:rPr>
          <w:rFonts w:hint="eastAsia"/>
          <w:bCs/>
        </w:rPr>
        <w:t>說明如下</w:t>
      </w:r>
      <w:r w:rsidRPr="007639F7">
        <w:rPr>
          <w:rFonts w:hAnsi="標楷體" w:hint="eastAsia"/>
        </w:rPr>
        <w:t>：</w:t>
      </w:r>
    </w:p>
    <w:p w:rsidR="009C53C7" w:rsidRPr="005D48DF" w:rsidRDefault="009C53C7" w:rsidP="00640605">
      <w:pPr>
        <w:pStyle w:val="123"/>
        <w:overflowPunct w:val="0"/>
        <w:adjustRightInd w:val="0"/>
        <w:snapToGrid w:val="0"/>
        <w:ind w:left="1133" w:hanging="283"/>
      </w:pPr>
      <w:r w:rsidRPr="00D12785">
        <w:rPr>
          <w:rFonts w:hint="eastAsia"/>
          <w:b/>
          <w:bCs/>
        </w:rPr>
        <w:t>1.經濟部</w:t>
      </w:r>
      <w:r w:rsidRPr="00D12785">
        <w:rPr>
          <w:rFonts w:hAnsi="標楷體" w:hint="eastAsia"/>
          <w:b/>
          <w:bCs/>
        </w:rPr>
        <w:t>：</w:t>
      </w:r>
      <w:r w:rsidRPr="00DD4BB4">
        <w:rPr>
          <w:rFonts w:hAnsi="標楷體" w:hint="eastAsia"/>
        </w:rPr>
        <w:t>於前瞻基礎建設計畫</w:t>
      </w:r>
      <w:r>
        <w:rPr>
          <w:rFonts w:hAnsi="標楷體" w:hint="eastAsia"/>
        </w:rPr>
        <w:t>特別預算項下</w:t>
      </w:r>
      <w:r w:rsidRPr="00DD4BB4">
        <w:rPr>
          <w:rFonts w:hAnsi="標楷體" w:hint="eastAsia"/>
        </w:rPr>
        <w:t>編列「</w:t>
      </w:r>
      <w:r w:rsidRPr="007B1B66">
        <w:rPr>
          <w:rFonts w:hAnsi="標楷體" w:hint="eastAsia"/>
        </w:rPr>
        <w:t>智慧電動巴士DMIT-電動巴士關鍵系統與整車協作計畫</w:t>
      </w:r>
      <w:r>
        <w:rPr>
          <w:rFonts w:hAnsi="標楷體" w:hint="eastAsia"/>
        </w:rPr>
        <w:t>(</w:t>
      </w:r>
      <w:r>
        <w:rPr>
          <w:rFonts w:hAnsi="標楷體"/>
        </w:rPr>
        <w:t>110-114)</w:t>
      </w:r>
      <w:r w:rsidRPr="00DD4BB4">
        <w:rPr>
          <w:rFonts w:hAnsi="標楷體" w:hint="eastAsia"/>
        </w:rPr>
        <w:t>」總經費12億4,480萬元，辦理協助我國車廠投入開發各型電動巴士，並推動我國廠商投入電巴關鍵技術項目與模組研發</w:t>
      </w:r>
      <w:r>
        <w:rPr>
          <w:rFonts w:hAnsi="標楷體" w:hint="eastAsia"/>
          <w:color w:val="000000"/>
        </w:rPr>
        <w:t>。112年度預算案賡續編列</w:t>
      </w:r>
      <w:r w:rsidRPr="00D36872">
        <w:rPr>
          <w:rFonts w:hAnsi="標楷體" w:hint="eastAsia"/>
          <w:color w:val="000000"/>
        </w:rPr>
        <w:t>第</w:t>
      </w:r>
      <w:r>
        <w:rPr>
          <w:rFonts w:hAnsi="標楷體" w:hint="eastAsia"/>
          <w:color w:val="000000"/>
        </w:rPr>
        <w:t>3</w:t>
      </w:r>
      <w:r w:rsidRPr="00D36872">
        <w:rPr>
          <w:rFonts w:hAnsi="標楷體" w:hint="eastAsia"/>
          <w:color w:val="000000"/>
        </w:rPr>
        <w:t>年經費</w:t>
      </w:r>
      <w:r w:rsidRPr="00DD4BB4">
        <w:rPr>
          <w:rFonts w:hAnsi="標楷體"/>
          <w:color w:val="000000"/>
        </w:rPr>
        <w:t>2</w:t>
      </w:r>
      <w:r w:rsidRPr="00A1718F">
        <w:rPr>
          <w:rFonts w:hint="eastAsia"/>
        </w:rPr>
        <w:t>億</w:t>
      </w:r>
      <w:r>
        <w:rPr>
          <w:rFonts w:hAnsi="標楷體" w:hint="eastAsia"/>
          <w:color w:val="000000"/>
        </w:rPr>
        <w:t>2</w:t>
      </w:r>
      <w:r w:rsidRPr="00DD4BB4">
        <w:rPr>
          <w:rFonts w:hAnsi="標楷體"/>
          <w:color w:val="000000"/>
        </w:rPr>
        <w:t>,</w:t>
      </w:r>
      <w:r>
        <w:rPr>
          <w:rFonts w:hAnsi="標楷體" w:hint="eastAsia"/>
          <w:color w:val="000000"/>
        </w:rPr>
        <w:t>75</w:t>
      </w:r>
      <w:r w:rsidRPr="00DD4BB4">
        <w:rPr>
          <w:rFonts w:hAnsi="標楷體"/>
          <w:color w:val="000000"/>
        </w:rPr>
        <w:t>0</w:t>
      </w:r>
      <w:r>
        <w:rPr>
          <w:rFonts w:hAnsi="標楷體" w:hint="eastAsia"/>
          <w:color w:val="000000"/>
        </w:rPr>
        <w:t>萬元，</w:t>
      </w:r>
      <w:r>
        <w:rPr>
          <w:rFonts w:hAnsi="標楷體" w:hint="eastAsia"/>
        </w:rPr>
        <w:t>辦理</w:t>
      </w:r>
      <w:r w:rsidRPr="006A4871">
        <w:rPr>
          <w:rFonts w:hAnsi="標楷體" w:hint="eastAsia"/>
        </w:rPr>
        <w:t>推動整車廠、零組件投入產創平台計畫開發案</w:t>
      </w:r>
      <w:r>
        <w:rPr>
          <w:rFonts w:hAnsi="標楷體" w:hint="eastAsia"/>
        </w:rPr>
        <w:t>，</w:t>
      </w:r>
      <w:r>
        <w:rPr>
          <w:rFonts w:hAnsi="標楷體" w:hint="eastAsia"/>
          <w:color w:val="000000"/>
        </w:rPr>
        <w:t>決算數</w:t>
      </w:r>
      <w:r w:rsidRPr="005D48DF">
        <w:rPr>
          <w:rFonts w:hAnsi="標楷體" w:hint="eastAsia"/>
          <w:color w:val="000000"/>
        </w:rPr>
        <w:t>2億2,750萬元</w:t>
      </w:r>
      <w:r>
        <w:rPr>
          <w:rFonts w:hAnsi="標楷體" w:hint="eastAsia"/>
          <w:color w:val="000000"/>
        </w:rPr>
        <w:t>，執行率100%</w:t>
      </w:r>
      <w:r w:rsidRPr="004D0CA3">
        <w:rPr>
          <w:rFonts w:hAnsi="標楷體" w:hint="eastAsia"/>
        </w:rPr>
        <w:t>(詳表</w:t>
      </w:r>
      <w:r>
        <w:rPr>
          <w:rFonts w:hAnsi="標楷體" w:hint="eastAsia"/>
        </w:rPr>
        <w:t>1</w:t>
      </w:r>
      <w:r w:rsidRPr="004D0CA3">
        <w:rPr>
          <w:rFonts w:hAnsi="標楷體" w:hint="eastAsia"/>
        </w:rPr>
        <w:t>)</w:t>
      </w:r>
      <w:r>
        <w:rPr>
          <w:rFonts w:hAnsi="標楷體" w:hint="eastAsia"/>
          <w:color w:val="000000"/>
        </w:rPr>
        <w:t>，已</w:t>
      </w:r>
      <w:r>
        <w:rPr>
          <w:rFonts w:hAnsi="標楷體" w:hint="eastAsia"/>
        </w:rPr>
        <w:t>完成並結案6案</w:t>
      </w:r>
      <w:r w:rsidRPr="005D48DF">
        <w:rPr>
          <w:rFonts w:hAnsi="標楷體" w:hint="eastAsia"/>
        </w:rPr>
        <w:t>。</w:t>
      </w:r>
    </w:p>
    <w:p w:rsidR="009C53C7" w:rsidRPr="00A1718F" w:rsidRDefault="009C53C7" w:rsidP="00640605">
      <w:pPr>
        <w:pStyle w:val="123"/>
        <w:overflowPunct w:val="0"/>
        <w:adjustRightInd w:val="0"/>
        <w:snapToGrid w:val="0"/>
        <w:ind w:left="1133" w:hanging="283"/>
      </w:pPr>
      <w:r w:rsidRPr="00D12785">
        <w:rPr>
          <w:rFonts w:hint="eastAsia"/>
          <w:b/>
          <w:bCs/>
        </w:rPr>
        <w:t>2.公路局</w:t>
      </w:r>
      <w:r w:rsidRPr="00D12785">
        <w:rPr>
          <w:rFonts w:hAnsi="標楷體" w:hint="eastAsia"/>
          <w:b/>
          <w:bCs/>
        </w:rPr>
        <w:t>：</w:t>
      </w:r>
      <w:r w:rsidRPr="005D48DF">
        <w:rPr>
          <w:rFonts w:hAnsi="標楷體" w:hint="eastAsia"/>
        </w:rPr>
        <w:t>99至112年底於公運計畫項下核定補助汽車客運業者購置電動大客車相關經費累計92億7,866萬6千元，共計1,933輛</w:t>
      </w:r>
      <w:r w:rsidRPr="004D0CA3">
        <w:rPr>
          <w:rFonts w:hAnsi="標楷體" w:hint="eastAsia"/>
        </w:rPr>
        <w:t>(詳表</w:t>
      </w:r>
      <w:r>
        <w:rPr>
          <w:rFonts w:hAnsi="標楷體" w:hint="eastAsia"/>
        </w:rPr>
        <w:t>2</w:t>
      </w:r>
      <w:r w:rsidRPr="004D0CA3">
        <w:rPr>
          <w:rFonts w:hAnsi="標楷體" w:hint="eastAsia"/>
        </w:rPr>
        <w:t>)</w:t>
      </w:r>
      <w:r>
        <w:rPr>
          <w:rFonts w:hAnsi="標楷體" w:hint="eastAsia"/>
        </w:rPr>
        <w:t>。</w:t>
      </w:r>
    </w:p>
    <w:p w:rsidR="009C53C7" w:rsidRPr="00947E18" w:rsidRDefault="009C53C7" w:rsidP="00640605">
      <w:pPr>
        <w:pStyle w:val="123"/>
        <w:overflowPunct w:val="0"/>
        <w:adjustRightInd w:val="0"/>
        <w:snapToGrid w:val="0"/>
        <w:ind w:left="1133" w:hanging="283"/>
        <w:rPr>
          <w:u w:val="single"/>
        </w:rPr>
      </w:pPr>
      <w:r w:rsidRPr="00D12785">
        <w:rPr>
          <w:rFonts w:hint="eastAsia"/>
          <w:b/>
          <w:bCs/>
        </w:rPr>
        <w:t>3.環境部</w:t>
      </w:r>
      <w:r w:rsidRPr="00D12785">
        <w:rPr>
          <w:rFonts w:hAnsi="標楷體" w:hint="eastAsia"/>
          <w:b/>
          <w:bCs/>
        </w:rPr>
        <w:t>：</w:t>
      </w:r>
      <w:r w:rsidRPr="005D48DF">
        <w:rPr>
          <w:rFonts w:hAnsi="標楷體"/>
        </w:rPr>
        <w:t>103</w:t>
      </w:r>
      <w:r>
        <w:rPr>
          <w:rFonts w:hAnsi="標楷體" w:hint="eastAsia"/>
        </w:rPr>
        <w:t>至</w:t>
      </w:r>
      <w:r w:rsidRPr="005D48DF">
        <w:rPr>
          <w:rFonts w:hAnsi="標楷體"/>
        </w:rPr>
        <w:t>111</w:t>
      </w:r>
      <w:r w:rsidRPr="005D48DF">
        <w:rPr>
          <w:rFonts w:hAnsi="標楷體" w:hint="eastAsia"/>
        </w:rPr>
        <w:t>年</w:t>
      </w:r>
      <w:r w:rsidRPr="0089445A">
        <w:rPr>
          <w:rFonts w:hAnsi="標楷體" w:hint="eastAsia"/>
        </w:rPr>
        <w:t>與交通部共推補助購置電動公車</w:t>
      </w:r>
      <w:r>
        <w:rPr>
          <w:rFonts w:hAnsi="標楷體" w:hint="eastAsia"/>
        </w:rPr>
        <w:t>，</w:t>
      </w:r>
      <w:r w:rsidRPr="005D48DF">
        <w:rPr>
          <w:rFonts w:hAnsi="標楷體" w:hint="eastAsia"/>
        </w:rPr>
        <w:t>於空</w:t>
      </w:r>
      <w:r w:rsidRPr="005D48DF">
        <w:rPr>
          <w:rFonts w:hAnsi="標楷體" w:hint="eastAsia"/>
        </w:rPr>
        <w:lastRenderedPageBreak/>
        <w:t>氣污染防制基金項下核定補助</w:t>
      </w:r>
      <w:r w:rsidRPr="00ED08DE">
        <w:rPr>
          <w:rFonts w:hAnsi="標楷體" w:hint="eastAsia"/>
        </w:rPr>
        <w:t>汽車客運業者購置電動大客車相關經費累計</w:t>
      </w:r>
      <w:r>
        <w:rPr>
          <w:rFonts w:hAnsi="標楷體"/>
        </w:rPr>
        <w:t>27</w:t>
      </w:r>
      <w:r w:rsidRPr="00ED08DE">
        <w:rPr>
          <w:rFonts w:hAnsi="標楷體" w:hint="eastAsia"/>
        </w:rPr>
        <w:t>億7,</w:t>
      </w:r>
      <w:r>
        <w:rPr>
          <w:rFonts w:hAnsi="標楷體"/>
        </w:rPr>
        <w:t>200</w:t>
      </w:r>
      <w:r w:rsidRPr="00ED08DE">
        <w:rPr>
          <w:rFonts w:hAnsi="標楷體" w:hint="eastAsia"/>
        </w:rPr>
        <w:t>萬元</w:t>
      </w:r>
      <w:r w:rsidRPr="004D0CA3">
        <w:rPr>
          <w:rFonts w:hAnsi="標楷體" w:hint="eastAsia"/>
        </w:rPr>
        <w:t>(詳表2)</w:t>
      </w:r>
      <w:r>
        <w:rPr>
          <w:rFonts w:hAnsi="標楷體" w:hint="eastAsia"/>
        </w:rPr>
        <w:t>，</w:t>
      </w:r>
      <w:r w:rsidRPr="00ED08DE">
        <w:rPr>
          <w:rFonts w:hAnsi="標楷體" w:hint="eastAsia"/>
        </w:rPr>
        <w:t>自112年起電動大客車購車補助回歸由公路局單一補助作業，不再補助車輛購置</w:t>
      </w:r>
      <w:r>
        <w:rPr>
          <w:rFonts w:hAnsi="標楷體" w:hint="eastAsia"/>
        </w:rPr>
        <w:t>，</w:t>
      </w:r>
      <w:r w:rsidRPr="00ED08DE">
        <w:rPr>
          <w:rFonts w:hAnsi="標楷體" w:hint="eastAsia"/>
        </w:rPr>
        <w:t>改以實際營運情形為補助標的</w:t>
      </w:r>
      <w:r>
        <w:rPr>
          <w:rFonts w:hAnsi="標楷體" w:hint="eastAsia"/>
        </w:rPr>
        <w:t>，截至</w:t>
      </w:r>
      <w:r w:rsidRPr="00ED08DE">
        <w:rPr>
          <w:rFonts w:hAnsi="標楷體" w:hint="eastAsia"/>
        </w:rPr>
        <w:t>112</w:t>
      </w:r>
      <w:r w:rsidRPr="00C65603">
        <w:rPr>
          <w:rFonts w:hAnsi="標楷體" w:hint="eastAsia"/>
        </w:rPr>
        <w:t>年底</w:t>
      </w:r>
      <w:r w:rsidRPr="00AF6F9E">
        <w:rPr>
          <w:rFonts w:hAnsi="標楷體" w:hint="eastAsia"/>
        </w:rPr>
        <w:t>尚無車輛符合申請資格</w:t>
      </w:r>
      <w:r w:rsidRPr="008D539A">
        <w:rPr>
          <w:rFonts w:hAnsi="標楷體" w:hint="eastAsia"/>
        </w:rPr>
        <w:t>。</w:t>
      </w:r>
    </w:p>
    <w:p w:rsidR="009C53C7" w:rsidRDefault="009C53C7" w:rsidP="00640605">
      <w:pPr>
        <w:widowControl/>
        <w:overflowPunct w:val="0"/>
        <w:adjustRightInd w:val="0"/>
        <w:snapToGrid w:val="0"/>
        <w:spacing w:line="400" w:lineRule="exact"/>
        <w:ind w:leftChars="0" w:left="780" w:hangingChars="275" w:hanging="780"/>
        <w:jc w:val="left"/>
        <w:rPr>
          <w:b/>
          <w:bCs/>
        </w:rPr>
      </w:pPr>
      <w:r w:rsidRPr="00D50005">
        <w:rPr>
          <w:rFonts w:hint="eastAsia"/>
          <w:b/>
          <w:bCs/>
        </w:rPr>
        <w:t>表</w:t>
      </w:r>
      <w:r>
        <w:rPr>
          <w:b/>
          <w:bCs/>
        </w:rPr>
        <w:t>1</w:t>
      </w:r>
      <w:r w:rsidRPr="00D50005">
        <w:rPr>
          <w:rFonts w:hint="eastAsia"/>
          <w:b/>
          <w:bCs/>
        </w:rPr>
        <w:t xml:space="preserve">　</w:t>
      </w:r>
      <w:r>
        <w:rPr>
          <w:rFonts w:hint="eastAsia"/>
          <w:b/>
          <w:bCs/>
        </w:rPr>
        <w:t>截至112年底止</w:t>
      </w:r>
      <w:r w:rsidRPr="00D50005">
        <w:rPr>
          <w:rFonts w:hint="eastAsia"/>
          <w:b/>
          <w:bCs/>
        </w:rPr>
        <w:t>經濟部</w:t>
      </w:r>
      <w:r>
        <w:rPr>
          <w:rFonts w:hint="eastAsia"/>
          <w:b/>
          <w:bCs/>
        </w:rPr>
        <w:t>推動</w:t>
      </w:r>
      <w:r>
        <w:rPr>
          <w:rFonts w:hAnsi="標楷體" w:hint="eastAsia"/>
          <w:b/>
          <w:bCs/>
        </w:rPr>
        <w:t>「</w:t>
      </w:r>
      <w:r w:rsidRPr="007B1B66">
        <w:rPr>
          <w:rFonts w:hint="eastAsia"/>
          <w:b/>
          <w:bCs/>
        </w:rPr>
        <w:t>智慧電動巴士DMIT-電動巴士關鍵系統與整車協作計畫</w:t>
      </w:r>
      <w:r>
        <w:rPr>
          <w:rFonts w:hint="eastAsia"/>
          <w:b/>
          <w:bCs/>
        </w:rPr>
        <w:t>(110-114)</w:t>
      </w:r>
      <w:r>
        <w:rPr>
          <w:rFonts w:hAnsi="標楷體" w:hint="eastAsia"/>
          <w:b/>
          <w:bCs/>
        </w:rPr>
        <w:t>」</w:t>
      </w:r>
      <w:r w:rsidRPr="00D50005">
        <w:rPr>
          <w:rFonts w:hint="eastAsia"/>
          <w:b/>
          <w:bCs/>
        </w:rPr>
        <w:t>預算執行情形</w:t>
      </w:r>
      <w:r>
        <w:rPr>
          <w:rFonts w:hint="eastAsia"/>
          <w:b/>
          <w:bCs/>
        </w:rPr>
        <w:t>表</w:t>
      </w:r>
    </w:p>
    <w:p w:rsidR="009C53C7" w:rsidRPr="0081621A" w:rsidRDefault="009C53C7" w:rsidP="00640605">
      <w:pPr>
        <w:widowControl/>
        <w:overflowPunct w:val="0"/>
        <w:adjustRightInd w:val="0"/>
        <w:snapToGrid w:val="0"/>
        <w:spacing w:line="280" w:lineRule="exact"/>
        <w:ind w:leftChars="0" w:left="669" w:hangingChars="275" w:hanging="669"/>
        <w:jc w:val="right"/>
        <w:rPr>
          <w:sz w:val="24"/>
        </w:rPr>
      </w:pPr>
      <w:r w:rsidRPr="0081621A">
        <w:rPr>
          <w:rFonts w:hint="eastAsia"/>
          <w:sz w:val="24"/>
        </w:rPr>
        <w:t>單位：新臺幣千元；%</w:t>
      </w:r>
    </w:p>
    <w:tbl>
      <w:tblPr>
        <w:tblW w:w="851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79"/>
        <w:gridCol w:w="829"/>
        <w:gridCol w:w="490"/>
        <w:gridCol w:w="1074"/>
        <w:gridCol w:w="868"/>
        <w:gridCol w:w="825"/>
        <w:gridCol w:w="2646"/>
      </w:tblGrid>
      <w:tr w:rsidR="009C53C7" w:rsidRPr="006C2538" w:rsidTr="00640605">
        <w:trPr>
          <w:tblHeader/>
        </w:trPr>
        <w:tc>
          <w:tcPr>
            <w:tcW w:w="1779" w:type="dxa"/>
            <w:shd w:val="clear" w:color="auto" w:fill="auto"/>
            <w:vAlign w:val="center"/>
          </w:tcPr>
          <w:p w:rsidR="009C53C7" w:rsidRDefault="009C53C7" w:rsidP="00640605">
            <w:pPr>
              <w:pStyle w:val="142"/>
              <w:adjustRightInd w:val="0"/>
              <w:snapToGrid w:val="0"/>
              <w:ind w:leftChars="-20" w:left="-57" w:rightChars="-20" w:right="-57"/>
              <w:jc w:val="center"/>
              <w:rPr>
                <w:rFonts w:hAnsi="標楷體"/>
                <w:spacing w:val="-20"/>
                <w:kern w:val="0"/>
                <w:szCs w:val="24"/>
              </w:rPr>
            </w:pPr>
            <w:r w:rsidRPr="006C2538">
              <w:rPr>
                <w:rFonts w:hAnsi="標楷體" w:hint="eastAsia"/>
                <w:spacing w:val="-20"/>
                <w:kern w:val="0"/>
                <w:szCs w:val="24"/>
              </w:rPr>
              <w:t>計畫名稱</w:t>
            </w:r>
          </w:p>
          <w:p w:rsidR="009C53C7" w:rsidRPr="006C2538" w:rsidRDefault="009C53C7" w:rsidP="00640605">
            <w:pPr>
              <w:pStyle w:val="142"/>
              <w:adjustRightInd w:val="0"/>
              <w:snapToGrid w:val="0"/>
              <w:ind w:leftChars="-20" w:left="-57" w:rightChars="-20" w:right="-57"/>
              <w:jc w:val="center"/>
              <w:rPr>
                <w:rFonts w:hAnsi="標楷體"/>
                <w:spacing w:val="-20"/>
                <w:kern w:val="0"/>
                <w:szCs w:val="24"/>
              </w:rPr>
            </w:pPr>
            <w:r>
              <w:rPr>
                <w:rFonts w:hAnsi="標楷體" w:hint="eastAsia"/>
                <w:spacing w:val="-20"/>
                <w:kern w:val="0"/>
                <w:szCs w:val="24"/>
              </w:rPr>
              <w:t>(經費來源)</w:t>
            </w:r>
          </w:p>
        </w:tc>
        <w:tc>
          <w:tcPr>
            <w:tcW w:w="829" w:type="dxa"/>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r w:rsidRPr="006C2538">
              <w:rPr>
                <w:rFonts w:hAnsi="標楷體" w:hint="eastAsia"/>
                <w:spacing w:val="-20"/>
                <w:kern w:val="0"/>
                <w:szCs w:val="24"/>
              </w:rPr>
              <w:t>期程</w:t>
            </w:r>
          </w:p>
        </w:tc>
        <w:tc>
          <w:tcPr>
            <w:tcW w:w="490" w:type="dxa"/>
            <w:shd w:val="clear" w:color="auto" w:fill="auto"/>
            <w:vAlign w:val="center"/>
          </w:tcPr>
          <w:p w:rsidR="009C53C7" w:rsidRPr="006C2538" w:rsidRDefault="009C53C7" w:rsidP="00640605">
            <w:pPr>
              <w:pStyle w:val="142"/>
              <w:adjustRightInd w:val="0"/>
              <w:snapToGrid w:val="0"/>
              <w:ind w:leftChars="-30" w:left="-85" w:rightChars="-30" w:right="-85"/>
              <w:jc w:val="center"/>
              <w:rPr>
                <w:rFonts w:hAnsi="標楷體"/>
                <w:spacing w:val="-20"/>
                <w:kern w:val="0"/>
                <w:szCs w:val="24"/>
              </w:rPr>
            </w:pPr>
            <w:r w:rsidRPr="006C2538">
              <w:rPr>
                <w:rFonts w:hAnsi="標楷體" w:hint="eastAsia"/>
                <w:spacing w:val="-20"/>
                <w:kern w:val="0"/>
                <w:szCs w:val="24"/>
              </w:rPr>
              <w:t>年度</w:t>
            </w:r>
          </w:p>
        </w:tc>
        <w:tc>
          <w:tcPr>
            <w:tcW w:w="1074" w:type="dxa"/>
            <w:shd w:val="clear" w:color="auto" w:fill="auto"/>
            <w:vAlign w:val="center"/>
          </w:tcPr>
          <w:p w:rsidR="009C53C7" w:rsidRPr="002829FC" w:rsidRDefault="009C53C7" w:rsidP="00640605">
            <w:pPr>
              <w:pStyle w:val="142"/>
              <w:adjustRightInd w:val="0"/>
              <w:snapToGrid w:val="0"/>
              <w:ind w:leftChars="-40" w:left="-45" w:rightChars="-40" w:right="-113" w:hangingChars="34" w:hanging="68"/>
              <w:jc w:val="center"/>
              <w:rPr>
                <w:rFonts w:hAnsi="標楷體"/>
                <w:spacing w:val="-22"/>
                <w:kern w:val="0"/>
                <w:szCs w:val="24"/>
              </w:rPr>
            </w:pPr>
            <w:r w:rsidRPr="002829FC">
              <w:rPr>
                <w:rFonts w:hAnsi="標楷體" w:hint="eastAsia"/>
                <w:spacing w:val="-22"/>
                <w:kern w:val="0"/>
                <w:szCs w:val="24"/>
              </w:rPr>
              <w:t>預算(案)數</w:t>
            </w:r>
          </w:p>
        </w:tc>
        <w:tc>
          <w:tcPr>
            <w:tcW w:w="868" w:type="dxa"/>
            <w:shd w:val="clear" w:color="auto" w:fill="auto"/>
            <w:vAlign w:val="center"/>
          </w:tcPr>
          <w:p w:rsidR="009C53C7" w:rsidRDefault="009C53C7" w:rsidP="00640605">
            <w:pPr>
              <w:pStyle w:val="142"/>
              <w:adjustRightInd w:val="0"/>
              <w:snapToGrid w:val="0"/>
              <w:ind w:leftChars="-40" w:left="-45" w:rightChars="-40" w:right="-113" w:hangingChars="34" w:hanging="68"/>
              <w:jc w:val="center"/>
              <w:rPr>
                <w:rFonts w:hAnsi="標楷體"/>
                <w:spacing w:val="-22"/>
                <w:kern w:val="0"/>
                <w:szCs w:val="24"/>
              </w:rPr>
            </w:pPr>
            <w:r w:rsidRPr="004B45AE">
              <w:rPr>
                <w:rFonts w:hAnsi="標楷體" w:hint="eastAsia"/>
                <w:spacing w:val="-22"/>
                <w:kern w:val="0"/>
                <w:szCs w:val="24"/>
              </w:rPr>
              <w:t>決算</w:t>
            </w:r>
          </w:p>
          <w:p w:rsidR="009C53C7" w:rsidRPr="006C2538" w:rsidRDefault="009C53C7" w:rsidP="00640605">
            <w:pPr>
              <w:pStyle w:val="142"/>
              <w:adjustRightInd w:val="0"/>
              <w:snapToGrid w:val="0"/>
              <w:ind w:leftChars="-40" w:left="-45" w:rightChars="-40" w:right="-113" w:hangingChars="34" w:hanging="68"/>
              <w:jc w:val="center"/>
              <w:rPr>
                <w:rFonts w:hAnsi="標楷體"/>
                <w:spacing w:val="-20"/>
                <w:kern w:val="0"/>
                <w:szCs w:val="24"/>
              </w:rPr>
            </w:pPr>
            <w:r w:rsidRPr="004B45AE">
              <w:rPr>
                <w:rFonts w:hAnsi="標楷體" w:hint="eastAsia"/>
                <w:spacing w:val="-22"/>
                <w:kern w:val="0"/>
                <w:szCs w:val="24"/>
              </w:rPr>
              <w:t>(執行)數</w:t>
            </w:r>
          </w:p>
        </w:tc>
        <w:tc>
          <w:tcPr>
            <w:tcW w:w="825" w:type="dxa"/>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r w:rsidRPr="006C2538">
              <w:rPr>
                <w:rFonts w:hAnsi="標楷體" w:hint="eastAsia"/>
                <w:spacing w:val="-20"/>
                <w:kern w:val="0"/>
                <w:szCs w:val="24"/>
              </w:rPr>
              <w:t>執行率</w:t>
            </w:r>
          </w:p>
        </w:tc>
        <w:tc>
          <w:tcPr>
            <w:tcW w:w="2646" w:type="dxa"/>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r w:rsidRPr="006C2538">
              <w:rPr>
                <w:rFonts w:hAnsi="標楷體" w:hint="eastAsia"/>
                <w:spacing w:val="-20"/>
                <w:kern w:val="0"/>
                <w:szCs w:val="24"/>
              </w:rPr>
              <w:t>辦理項目</w:t>
            </w:r>
          </w:p>
        </w:tc>
      </w:tr>
      <w:tr w:rsidR="009C53C7" w:rsidRPr="006C2538" w:rsidTr="00640605">
        <w:trPr>
          <w:trHeight w:val="764"/>
          <w:tblHeader/>
        </w:trPr>
        <w:tc>
          <w:tcPr>
            <w:tcW w:w="1779" w:type="dxa"/>
            <w:vMerge w:val="restart"/>
            <w:shd w:val="clear" w:color="auto" w:fill="auto"/>
            <w:vAlign w:val="center"/>
          </w:tcPr>
          <w:p w:rsidR="009C53C7" w:rsidRPr="006C2538" w:rsidRDefault="009C53C7" w:rsidP="00640605">
            <w:pPr>
              <w:overflowPunct w:val="0"/>
              <w:adjustRightInd w:val="0"/>
              <w:snapToGrid w:val="0"/>
              <w:spacing w:line="280" w:lineRule="exact"/>
              <w:ind w:leftChars="-25" w:left="-71" w:firstLineChars="0" w:firstLine="0"/>
              <w:rPr>
                <w:rFonts w:hAnsi="標楷體"/>
                <w:spacing w:val="-20"/>
                <w:kern w:val="0"/>
                <w:szCs w:val="24"/>
              </w:rPr>
            </w:pPr>
            <w:r w:rsidRPr="00410837">
              <w:rPr>
                <w:rFonts w:hAnsi="標楷體" w:hint="eastAsia"/>
                <w:color w:val="000000"/>
                <w:spacing w:val="-20"/>
                <w:kern w:val="0"/>
                <w:sz w:val="24"/>
                <w:szCs w:val="24"/>
              </w:rPr>
              <w:t>智慧電動巴士DMIT</w:t>
            </w:r>
            <w:r>
              <w:rPr>
                <w:rFonts w:hAnsi="標楷體" w:hint="eastAsia"/>
                <w:color w:val="000000"/>
                <w:spacing w:val="-20"/>
                <w:kern w:val="0"/>
                <w:sz w:val="24"/>
                <w:szCs w:val="24"/>
              </w:rPr>
              <w:t>-</w:t>
            </w:r>
            <w:r w:rsidRPr="00410837">
              <w:rPr>
                <w:rFonts w:hAnsi="標楷體" w:hint="eastAsia"/>
                <w:color w:val="000000"/>
                <w:spacing w:val="-20"/>
                <w:kern w:val="0"/>
                <w:sz w:val="24"/>
                <w:szCs w:val="24"/>
              </w:rPr>
              <w:t>電動巴士關鍵系統與整車協作計畫(預計總經費1,244,800，編列於前瞻基礎建設計畫第4期)</w:t>
            </w:r>
          </w:p>
        </w:tc>
        <w:tc>
          <w:tcPr>
            <w:tcW w:w="829" w:type="dxa"/>
            <w:vMerge w:val="restart"/>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r w:rsidRPr="006C2538">
              <w:rPr>
                <w:rFonts w:hAnsi="標楷體" w:hint="eastAsia"/>
                <w:spacing w:val="-20"/>
                <w:kern w:val="0"/>
                <w:szCs w:val="24"/>
              </w:rPr>
              <w:t>110-114</w:t>
            </w:r>
          </w:p>
        </w:tc>
        <w:tc>
          <w:tcPr>
            <w:tcW w:w="490" w:type="dxa"/>
            <w:shd w:val="clear" w:color="auto" w:fill="auto"/>
            <w:vAlign w:val="center"/>
          </w:tcPr>
          <w:p w:rsidR="009C53C7" w:rsidRPr="006C2538" w:rsidRDefault="009C53C7" w:rsidP="00640605">
            <w:pPr>
              <w:pStyle w:val="142"/>
              <w:adjustRightInd w:val="0"/>
              <w:snapToGrid w:val="0"/>
              <w:ind w:leftChars="-30" w:left="-85" w:rightChars="-30" w:right="-85"/>
              <w:jc w:val="center"/>
              <w:rPr>
                <w:rFonts w:hAnsi="標楷體"/>
                <w:spacing w:val="-20"/>
                <w:kern w:val="0"/>
                <w:szCs w:val="24"/>
              </w:rPr>
            </w:pPr>
            <w:r>
              <w:rPr>
                <w:rFonts w:hAnsi="標楷體" w:hint="eastAsia"/>
                <w:spacing w:val="-20"/>
                <w:kern w:val="0"/>
                <w:szCs w:val="24"/>
              </w:rPr>
              <w:t>1</w:t>
            </w:r>
            <w:r>
              <w:rPr>
                <w:rFonts w:hAnsi="標楷體"/>
                <w:spacing w:val="-20"/>
                <w:kern w:val="0"/>
                <w:szCs w:val="24"/>
              </w:rPr>
              <w:t>10</w:t>
            </w:r>
          </w:p>
        </w:tc>
        <w:tc>
          <w:tcPr>
            <w:tcW w:w="1074" w:type="dxa"/>
            <w:shd w:val="clear" w:color="auto" w:fill="auto"/>
            <w:vAlign w:val="center"/>
          </w:tcPr>
          <w:p w:rsidR="009C53C7" w:rsidRPr="002829FC" w:rsidRDefault="009C53C7" w:rsidP="00640605">
            <w:pPr>
              <w:pStyle w:val="142"/>
              <w:adjustRightInd w:val="0"/>
              <w:snapToGrid w:val="0"/>
              <w:ind w:leftChars="-40" w:left="-44" w:rightChars="-40" w:right="-113" w:hangingChars="34" w:hanging="69"/>
              <w:jc w:val="center"/>
              <w:rPr>
                <w:rFonts w:hAnsi="標楷體"/>
                <w:spacing w:val="-22"/>
                <w:kern w:val="0"/>
                <w:szCs w:val="24"/>
              </w:rPr>
            </w:pPr>
            <w:r w:rsidRPr="006C2538">
              <w:rPr>
                <w:rFonts w:hAnsi="標楷體"/>
                <w:spacing w:val="-20"/>
                <w:kern w:val="0"/>
              </w:rPr>
              <w:t>267,500</w:t>
            </w:r>
          </w:p>
        </w:tc>
        <w:tc>
          <w:tcPr>
            <w:tcW w:w="868" w:type="dxa"/>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r w:rsidRPr="006C2538">
              <w:rPr>
                <w:rFonts w:hAnsi="標楷體"/>
                <w:spacing w:val="-20"/>
                <w:kern w:val="0"/>
              </w:rPr>
              <w:t>267,500</w:t>
            </w:r>
          </w:p>
        </w:tc>
        <w:tc>
          <w:tcPr>
            <w:tcW w:w="825" w:type="dxa"/>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r>
              <w:rPr>
                <w:rFonts w:hAnsi="標楷體" w:hint="eastAsia"/>
                <w:spacing w:val="-20"/>
                <w:kern w:val="0"/>
                <w:szCs w:val="24"/>
              </w:rPr>
              <w:t>1</w:t>
            </w:r>
            <w:r>
              <w:rPr>
                <w:rFonts w:hAnsi="標楷體"/>
                <w:spacing w:val="-20"/>
                <w:kern w:val="0"/>
                <w:szCs w:val="24"/>
              </w:rPr>
              <w:t>00.00</w:t>
            </w:r>
          </w:p>
        </w:tc>
        <w:tc>
          <w:tcPr>
            <w:tcW w:w="2646" w:type="dxa"/>
            <w:vMerge w:val="restart"/>
            <w:shd w:val="clear" w:color="auto" w:fill="auto"/>
            <w:vAlign w:val="center"/>
          </w:tcPr>
          <w:p w:rsidR="009C53C7" w:rsidRPr="006C2538" w:rsidRDefault="009C53C7" w:rsidP="00640605">
            <w:pPr>
              <w:adjustRightInd w:val="0"/>
              <w:snapToGrid w:val="0"/>
              <w:spacing w:line="240" w:lineRule="exact"/>
              <w:ind w:leftChars="-25" w:left="132" w:rightChars="-9" w:right="-25" w:hangingChars="100" w:hanging="203"/>
              <w:rPr>
                <w:rFonts w:hAnsi="標楷體"/>
                <w:color w:val="000000"/>
                <w:spacing w:val="-20"/>
                <w:kern w:val="0"/>
                <w:sz w:val="24"/>
              </w:rPr>
            </w:pPr>
            <w:r w:rsidRPr="006C2538">
              <w:rPr>
                <w:rFonts w:hAnsi="標楷體" w:hint="eastAsia"/>
                <w:color w:val="000000"/>
                <w:spacing w:val="-20"/>
                <w:kern w:val="0"/>
                <w:sz w:val="24"/>
              </w:rPr>
              <w:t>1.整車：協助我國車廠投入開發各型電巴車型，包含國產大、中、小型巴士。</w:t>
            </w:r>
          </w:p>
          <w:p w:rsidR="009C53C7" w:rsidRPr="006C2538" w:rsidRDefault="009C53C7" w:rsidP="00640605">
            <w:pPr>
              <w:adjustRightInd w:val="0"/>
              <w:snapToGrid w:val="0"/>
              <w:spacing w:line="240" w:lineRule="exact"/>
              <w:ind w:leftChars="-25" w:left="132" w:rightChars="-9" w:right="-25" w:hangingChars="100" w:hanging="203"/>
              <w:rPr>
                <w:rFonts w:hAnsi="標楷體"/>
                <w:spacing w:val="-20"/>
                <w:kern w:val="0"/>
                <w:szCs w:val="24"/>
              </w:rPr>
            </w:pPr>
            <w:r w:rsidRPr="006C2538">
              <w:rPr>
                <w:rFonts w:hAnsi="標楷體" w:hint="eastAsia"/>
                <w:color w:val="000000"/>
                <w:spacing w:val="-20"/>
                <w:kern w:val="0"/>
                <w:sz w:val="24"/>
              </w:rPr>
              <w:t>2.關鍵系統：推動我國廠商投入電巴關鍵技術項目與模組研發，包含馬達及驅控器、盲區偵測系統、電池芯/組及智慧座艙等，逐步完善我國關鍵系統供應鏈能量</w:t>
            </w:r>
            <w:r>
              <w:rPr>
                <w:rFonts w:hAnsi="標楷體" w:hint="eastAsia"/>
                <w:color w:val="000000"/>
                <w:spacing w:val="-20"/>
                <w:kern w:val="0"/>
                <w:sz w:val="24"/>
              </w:rPr>
              <w:t>。</w:t>
            </w:r>
          </w:p>
        </w:tc>
      </w:tr>
      <w:tr w:rsidR="009C53C7" w:rsidRPr="006C2538" w:rsidTr="00640605">
        <w:trPr>
          <w:trHeight w:val="764"/>
          <w:tblHeader/>
        </w:trPr>
        <w:tc>
          <w:tcPr>
            <w:tcW w:w="1779" w:type="dxa"/>
            <w:vMerge/>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p>
        </w:tc>
        <w:tc>
          <w:tcPr>
            <w:tcW w:w="829" w:type="dxa"/>
            <w:vMerge/>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p>
        </w:tc>
        <w:tc>
          <w:tcPr>
            <w:tcW w:w="490" w:type="dxa"/>
            <w:shd w:val="clear" w:color="auto" w:fill="auto"/>
            <w:vAlign w:val="center"/>
          </w:tcPr>
          <w:p w:rsidR="009C53C7" w:rsidRPr="006C2538" w:rsidRDefault="009C53C7" w:rsidP="00640605">
            <w:pPr>
              <w:pStyle w:val="142"/>
              <w:adjustRightInd w:val="0"/>
              <w:snapToGrid w:val="0"/>
              <w:ind w:leftChars="-30" w:left="-85" w:rightChars="-30" w:right="-85"/>
              <w:jc w:val="center"/>
              <w:rPr>
                <w:rFonts w:hAnsi="標楷體"/>
                <w:spacing w:val="-20"/>
                <w:kern w:val="0"/>
                <w:szCs w:val="24"/>
              </w:rPr>
            </w:pPr>
            <w:r>
              <w:rPr>
                <w:rFonts w:hAnsi="標楷體" w:hint="eastAsia"/>
                <w:spacing w:val="-20"/>
                <w:kern w:val="0"/>
                <w:szCs w:val="24"/>
              </w:rPr>
              <w:t>1</w:t>
            </w:r>
            <w:r>
              <w:rPr>
                <w:rFonts w:hAnsi="標楷體"/>
                <w:spacing w:val="-20"/>
                <w:kern w:val="0"/>
                <w:szCs w:val="24"/>
              </w:rPr>
              <w:t>11</w:t>
            </w:r>
          </w:p>
        </w:tc>
        <w:tc>
          <w:tcPr>
            <w:tcW w:w="1074" w:type="dxa"/>
            <w:shd w:val="clear" w:color="auto" w:fill="auto"/>
            <w:vAlign w:val="center"/>
          </w:tcPr>
          <w:p w:rsidR="009C53C7" w:rsidRPr="002829FC" w:rsidRDefault="009C53C7" w:rsidP="00640605">
            <w:pPr>
              <w:pStyle w:val="142"/>
              <w:adjustRightInd w:val="0"/>
              <w:snapToGrid w:val="0"/>
              <w:ind w:leftChars="-40" w:left="-44" w:rightChars="-40" w:right="-113" w:hangingChars="34" w:hanging="69"/>
              <w:jc w:val="center"/>
              <w:rPr>
                <w:rFonts w:hAnsi="標楷體"/>
                <w:spacing w:val="-22"/>
                <w:kern w:val="0"/>
                <w:szCs w:val="24"/>
              </w:rPr>
            </w:pPr>
            <w:r w:rsidRPr="006C2538">
              <w:rPr>
                <w:spacing w:val="-20"/>
                <w:kern w:val="0"/>
              </w:rPr>
              <w:t>270,000</w:t>
            </w:r>
          </w:p>
        </w:tc>
        <w:tc>
          <w:tcPr>
            <w:tcW w:w="868" w:type="dxa"/>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r w:rsidRPr="006C2538">
              <w:rPr>
                <w:spacing w:val="-20"/>
                <w:kern w:val="0"/>
              </w:rPr>
              <w:t>270,000</w:t>
            </w:r>
          </w:p>
        </w:tc>
        <w:tc>
          <w:tcPr>
            <w:tcW w:w="825" w:type="dxa"/>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r>
              <w:rPr>
                <w:rFonts w:hAnsi="標楷體" w:hint="eastAsia"/>
                <w:spacing w:val="-20"/>
                <w:kern w:val="0"/>
                <w:szCs w:val="24"/>
              </w:rPr>
              <w:t>1</w:t>
            </w:r>
            <w:r>
              <w:rPr>
                <w:rFonts w:hAnsi="標楷體"/>
                <w:spacing w:val="-20"/>
                <w:kern w:val="0"/>
                <w:szCs w:val="24"/>
              </w:rPr>
              <w:t>00.00</w:t>
            </w:r>
          </w:p>
        </w:tc>
        <w:tc>
          <w:tcPr>
            <w:tcW w:w="2646" w:type="dxa"/>
            <w:vMerge/>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p>
        </w:tc>
      </w:tr>
      <w:tr w:rsidR="009C53C7" w:rsidRPr="006C2538" w:rsidTr="00640605">
        <w:trPr>
          <w:trHeight w:val="764"/>
          <w:tblHeader/>
        </w:trPr>
        <w:tc>
          <w:tcPr>
            <w:tcW w:w="1779" w:type="dxa"/>
            <w:vMerge/>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p>
        </w:tc>
        <w:tc>
          <w:tcPr>
            <w:tcW w:w="829" w:type="dxa"/>
            <w:vMerge/>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p>
        </w:tc>
        <w:tc>
          <w:tcPr>
            <w:tcW w:w="490" w:type="dxa"/>
            <w:shd w:val="clear" w:color="auto" w:fill="auto"/>
            <w:vAlign w:val="center"/>
          </w:tcPr>
          <w:p w:rsidR="009C53C7" w:rsidRPr="006C2538" w:rsidRDefault="009C53C7" w:rsidP="00640605">
            <w:pPr>
              <w:pStyle w:val="142"/>
              <w:adjustRightInd w:val="0"/>
              <w:snapToGrid w:val="0"/>
              <w:ind w:leftChars="-30" w:left="-85" w:rightChars="-30" w:right="-85"/>
              <w:jc w:val="center"/>
              <w:rPr>
                <w:rFonts w:hAnsi="標楷體"/>
                <w:spacing w:val="-20"/>
                <w:kern w:val="0"/>
                <w:szCs w:val="24"/>
              </w:rPr>
            </w:pPr>
            <w:r>
              <w:rPr>
                <w:rFonts w:hAnsi="標楷體" w:hint="eastAsia"/>
                <w:spacing w:val="-20"/>
                <w:kern w:val="0"/>
                <w:szCs w:val="24"/>
              </w:rPr>
              <w:t>1</w:t>
            </w:r>
            <w:r>
              <w:rPr>
                <w:rFonts w:hAnsi="標楷體"/>
                <w:spacing w:val="-20"/>
                <w:kern w:val="0"/>
                <w:szCs w:val="24"/>
              </w:rPr>
              <w:t>12</w:t>
            </w:r>
          </w:p>
        </w:tc>
        <w:tc>
          <w:tcPr>
            <w:tcW w:w="1074" w:type="dxa"/>
            <w:shd w:val="clear" w:color="auto" w:fill="auto"/>
            <w:vAlign w:val="center"/>
          </w:tcPr>
          <w:p w:rsidR="009C53C7" w:rsidRPr="002829FC" w:rsidRDefault="009C53C7" w:rsidP="00640605">
            <w:pPr>
              <w:pStyle w:val="142"/>
              <w:adjustRightInd w:val="0"/>
              <w:snapToGrid w:val="0"/>
              <w:ind w:leftChars="-40" w:left="-44" w:rightChars="-40" w:right="-113" w:hangingChars="34" w:hanging="69"/>
              <w:jc w:val="center"/>
              <w:rPr>
                <w:rFonts w:hAnsi="標楷體"/>
                <w:spacing w:val="-22"/>
                <w:kern w:val="0"/>
                <w:szCs w:val="24"/>
              </w:rPr>
            </w:pPr>
            <w:r w:rsidRPr="006C2538">
              <w:rPr>
                <w:spacing w:val="-20"/>
                <w:kern w:val="0"/>
              </w:rPr>
              <w:t>227,500</w:t>
            </w:r>
          </w:p>
        </w:tc>
        <w:tc>
          <w:tcPr>
            <w:tcW w:w="868" w:type="dxa"/>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r w:rsidRPr="006C2538">
              <w:rPr>
                <w:spacing w:val="-20"/>
                <w:kern w:val="0"/>
              </w:rPr>
              <w:t>227,500</w:t>
            </w:r>
          </w:p>
        </w:tc>
        <w:tc>
          <w:tcPr>
            <w:tcW w:w="825" w:type="dxa"/>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r>
              <w:rPr>
                <w:rFonts w:hAnsi="標楷體" w:hint="eastAsia"/>
                <w:spacing w:val="-20"/>
                <w:kern w:val="0"/>
                <w:szCs w:val="24"/>
              </w:rPr>
              <w:t>1</w:t>
            </w:r>
            <w:r>
              <w:rPr>
                <w:rFonts w:hAnsi="標楷體"/>
                <w:spacing w:val="-20"/>
                <w:kern w:val="0"/>
                <w:szCs w:val="24"/>
              </w:rPr>
              <w:t>00.00</w:t>
            </w:r>
          </w:p>
        </w:tc>
        <w:tc>
          <w:tcPr>
            <w:tcW w:w="2646" w:type="dxa"/>
            <w:vMerge/>
            <w:shd w:val="clear" w:color="auto" w:fill="auto"/>
            <w:vAlign w:val="center"/>
          </w:tcPr>
          <w:p w:rsidR="009C53C7" w:rsidRPr="006C2538" w:rsidRDefault="009C53C7" w:rsidP="00640605">
            <w:pPr>
              <w:pStyle w:val="142"/>
              <w:adjustRightInd w:val="0"/>
              <w:snapToGrid w:val="0"/>
              <w:ind w:leftChars="-20" w:left="-57" w:rightChars="-20" w:right="-57"/>
              <w:jc w:val="center"/>
              <w:rPr>
                <w:rFonts w:hAnsi="標楷體"/>
                <w:spacing w:val="-20"/>
                <w:kern w:val="0"/>
                <w:szCs w:val="24"/>
              </w:rPr>
            </w:pPr>
          </w:p>
        </w:tc>
      </w:tr>
    </w:tbl>
    <w:p w:rsidR="009C53C7" w:rsidRPr="002829FC" w:rsidRDefault="009C53C7" w:rsidP="00640605">
      <w:pPr>
        <w:pStyle w:val="142"/>
        <w:overflowPunct w:val="0"/>
        <w:adjustRightInd w:val="0"/>
        <w:snapToGrid w:val="0"/>
        <w:ind w:left="1216" w:hangingChars="500" w:hanging="1216"/>
      </w:pPr>
      <w:r w:rsidRPr="002829FC">
        <w:rPr>
          <w:rFonts w:hint="eastAsia"/>
        </w:rPr>
        <w:t>資料來源：經濟部產業發展署113年</w:t>
      </w:r>
      <w:r>
        <w:rPr>
          <w:rFonts w:hAnsi="標楷體" w:hint="eastAsia"/>
        </w:rPr>
        <w:t>6</w:t>
      </w:r>
      <w:r w:rsidRPr="002829FC">
        <w:rPr>
          <w:rFonts w:hint="eastAsia"/>
        </w:rPr>
        <w:t>月</w:t>
      </w:r>
      <w:r>
        <w:rPr>
          <w:rFonts w:hAnsi="標楷體" w:hint="eastAsia"/>
        </w:rPr>
        <w:t>4</w:t>
      </w:r>
      <w:r w:rsidRPr="002829FC">
        <w:rPr>
          <w:rFonts w:hint="eastAsia"/>
        </w:rPr>
        <w:t>日提供資料；本中心製表。</w:t>
      </w:r>
    </w:p>
    <w:p w:rsidR="009C53C7" w:rsidRDefault="009C53C7" w:rsidP="00640605">
      <w:pPr>
        <w:overflowPunct w:val="0"/>
        <w:adjustRightInd w:val="0"/>
        <w:snapToGrid w:val="0"/>
        <w:spacing w:line="400" w:lineRule="exact"/>
        <w:ind w:leftChars="0" w:left="709" w:hangingChars="250" w:hanging="709"/>
        <w:rPr>
          <w:sz w:val="24"/>
        </w:rPr>
      </w:pPr>
      <w:r>
        <w:rPr>
          <w:rFonts w:hAnsi="標楷體" w:hint="eastAsia"/>
          <w:b/>
          <w:szCs w:val="20"/>
        </w:rPr>
        <w:t>表</w:t>
      </w:r>
      <w:r>
        <w:rPr>
          <w:rFonts w:hAnsi="標楷體"/>
          <w:b/>
          <w:bCs/>
        </w:rPr>
        <w:t>2</w:t>
      </w:r>
      <w:r>
        <w:rPr>
          <w:rFonts w:hint="eastAsia"/>
        </w:rPr>
        <w:t xml:space="preserve">　</w:t>
      </w:r>
      <w:r>
        <w:rPr>
          <w:rFonts w:hint="eastAsia"/>
          <w:b/>
          <w:bCs/>
        </w:rPr>
        <w:t>99至11</w:t>
      </w:r>
      <w:r>
        <w:rPr>
          <w:b/>
          <w:bCs/>
        </w:rPr>
        <w:t>2</w:t>
      </w:r>
      <w:r>
        <w:rPr>
          <w:rFonts w:hint="eastAsia"/>
          <w:b/>
          <w:bCs/>
        </w:rPr>
        <w:t>年底止</w:t>
      </w:r>
      <w:r w:rsidRPr="00C8055C">
        <w:rPr>
          <w:rFonts w:hint="eastAsia"/>
          <w:b/>
          <w:bCs/>
        </w:rPr>
        <w:t>公路局及環境部</w:t>
      </w:r>
      <w:r>
        <w:rPr>
          <w:rFonts w:hint="eastAsia"/>
          <w:b/>
          <w:bCs/>
        </w:rPr>
        <w:t>核定</w:t>
      </w:r>
      <w:r w:rsidRPr="003075BF">
        <w:rPr>
          <w:rFonts w:hint="eastAsia"/>
          <w:b/>
          <w:spacing w:val="-10"/>
        </w:rPr>
        <w:t>補助客運業者新(汰)購</w:t>
      </w:r>
      <w:r>
        <w:rPr>
          <w:rFonts w:hint="eastAsia"/>
          <w:b/>
          <w:spacing w:val="-10"/>
        </w:rPr>
        <w:t>電動大客車</w:t>
      </w:r>
      <w:r w:rsidRPr="003075BF">
        <w:rPr>
          <w:rFonts w:hint="eastAsia"/>
          <w:b/>
          <w:spacing w:val="-10"/>
        </w:rPr>
        <w:t>情形</w:t>
      </w:r>
      <w:r w:rsidRPr="002977B3">
        <w:rPr>
          <w:rFonts w:hint="eastAsia"/>
          <w:b/>
          <w:spacing w:val="-10"/>
        </w:rPr>
        <w:t>表</w:t>
      </w:r>
      <w:r>
        <w:rPr>
          <w:rFonts w:hint="eastAsia"/>
        </w:rPr>
        <w:t xml:space="preserve">　　　　　　　　　　　　　　</w:t>
      </w:r>
      <w:r w:rsidRPr="00204C14">
        <w:rPr>
          <w:rFonts w:hint="eastAsia"/>
          <w:sz w:val="24"/>
        </w:rPr>
        <w:t>單位：輛；新臺幣千元</w:t>
      </w:r>
    </w:p>
    <w:tbl>
      <w:tblPr>
        <w:tblW w:w="8525"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167"/>
        <w:gridCol w:w="1216"/>
        <w:gridCol w:w="1052"/>
        <w:gridCol w:w="1356"/>
        <w:gridCol w:w="1312"/>
        <w:gridCol w:w="1008"/>
        <w:gridCol w:w="1414"/>
      </w:tblGrid>
      <w:tr w:rsidR="009C53C7" w:rsidRPr="00C8055C" w:rsidTr="00640605">
        <w:trPr>
          <w:tblHeader/>
        </w:trPr>
        <w:tc>
          <w:tcPr>
            <w:tcW w:w="1167" w:type="dxa"/>
            <w:vMerge w:val="restart"/>
            <w:tcBorders>
              <w:top w:val="single" w:sz="12"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br w:type="page"/>
            </w:r>
            <w:r w:rsidRPr="002B573C">
              <w:rPr>
                <w:rFonts w:hAnsi="標楷體" w:hint="eastAsia"/>
                <w:spacing w:val="-20"/>
                <w:szCs w:val="24"/>
              </w:rPr>
              <w:t>年度</w:t>
            </w:r>
          </w:p>
        </w:tc>
        <w:tc>
          <w:tcPr>
            <w:tcW w:w="1216" w:type="dxa"/>
            <w:vMerge w:val="restart"/>
            <w:tcBorders>
              <w:top w:val="single" w:sz="12" w:space="0" w:color="auto"/>
              <w:left w:val="single" w:sz="4" w:space="0" w:color="auto"/>
              <w:bottom w:val="single" w:sz="4" w:space="0" w:color="auto"/>
            </w:tcBorders>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經費來源</w:t>
            </w:r>
          </w:p>
        </w:tc>
        <w:tc>
          <w:tcPr>
            <w:tcW w:w="2408" w:type="dxa"/>
            <w:gridSpan w:val="2"/>
            <w:tcBorders>
              <w:top w:val="single" w:sz="12" w:space="0" w:color="auto"/>
              <w:bottom w:val="single" w:sz="4" w:space="0" w:color="auto"/>
              <w:right w:val="doub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公路局</w:t>
            </w:r>
          </w:p>
        </w:tc>
        <w:tc>
          <w:tcPr>
            <w:tcW w:w="1312" w:type="dxa"/>
            <w:vMerge w:val="restart"/>
            <w:tcBorders>
              <w:top w:val="single" w:sz="12" w:space="0" w:color="auto"/>
              <w:left w:val="double" w:sz="4" w:space="0" w:color="auto"/>
              <w:bottom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經費來源</w:t>
            </w:r>
          </w:p>
        </w:tc>
        <w:tc>
          <w:tcPr>
            <w:tcW w:w="2422" w:type="dxa"/>
            <w:gridSpan w:val="2"/>
            <w:tcBorders>
              <w:top w:val="single" w:sz="12" w:space="0" w:color="auto"/>
              <w:bottom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環境部</w:t>
            </w:r>
          </w:p>
        </w:tc>
      </w:tr>
      <w:tr w:rsidR="009C53C7" w:rsidRPr="00C8055C" w:rsidTr="00640605">
        <w:trPr>
          <w:tblHeader/>
        </w:trPr>
        <w:tc>
          <w:tcPr>
            <w:tcW w:w="1167" w:type="dxa"/>
            <w:vMerge/>
            <w:tcBorders>
              <w:top w:val="single" w:sz="4" w:space="0" w:color="auto"/>
              <w:bottom w:val="doub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p>
        </w:tc>
        <w:tc>
          <w:tcPr>
            <w:tcW w:w="1216" w:type="dxa"/>
            <w:vMerge/>
            <w:tcBorders>
              <w:top w:val="single" w:sz="4" w:space="0" w:color="auto"/>
              <w:left w:val="single" w:sz="4" w:space="0" w:color="auto"/>
              <w:bottom w:val="double" w:sz="4" w:space="0" w:color="auto"/>
            </w:tcBorders>
            <w:vAlign w:val="center"/>
          </w:tcPr>
          <w:p w:rsidR="009C53C7" w:rsidRPr="002B573C" w:rsidRDefault="009C53C7" w:rsidP="00640605">
            <w:pPr>
              <w:pStyle w:val="142"/>
              <w:overflowPunct w:val="0"/>
              <w:adjustRightInd w:val="0"/>
              <w:snapToGrid w:val="0"/>
              <w:ind w:leftChars="-20" w:left="-57" w:rightChars="-20" w:right="-57"/>
              <w:rPr>
                <w:rFonts w:hAnsi="標楷體"/>
                <w:spacing w:val="-20"/>
                <w:szCs w:val="24"/>
              </w:rPr>
            </w:pPr>
          </w:p>
        </w:tc>
        <w:tc>
          <w:tcPr>
            <w:tcW w:w="1052" w:type="dxa"/>
            <w:tcBorders>
              <w:top w:val="single" w:sz="4" w:space="0" w:color="auto"/>
              <w:bottom w:val="doub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核定輛數</w:t>
            </w:r>
          </w:p>
        </w:tc>
        <w:tc>
          <w:tcPr>
            <w:tcW w:w="1356" w:type="dxa"/>
            <w:tcBorders>
              <w:top w:val="single" w:sz="4" w:space="0" w:color="auto"/>
              <w:bottom w:val="double" w:sz="4" w:space="0" w:color="auto"/>
              <w:right w:val="doub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核定補助金額</w:t>
            </w:r>
          </w:p>
        </w:tc>
        <w:tc>
          <w:tcPr>
            <w:tcW w:w="1312" w:type="dxa"/>
            <w:vMerge/>
            <w:tcBorders>
              <w:top w:val="single" w:sz="4" w:space="0" w:color="auto"/>
              <w:left w:val="double" w:sz="4" w:space="0" w:color="auto"/>
              <w:bottom w:val="doub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p>
        </w:tc>
        <w:tc>
          <w:tcPr>
            <w:tcW w:w="1008" w:type="dxa"/>
            <w:tcBorders>
              <w:top w:val="single" w:sz="4" w:space="0" w:color="auto"/>
              <w:bottom w:val="doub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核定輛數</w:t>
            </w:r>
          </w:p>
        </w:tc>
        <w:tc>
          <w:tcPr>
            <w:tcW w:w="1414" w:type="dxa"/>
            <w:tcBorders>
              <w:top w:val="single" w:sz="4" w:space="0" w:color="auto"/>
              <w:bottom w:val="doub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核定補助金額</w:t>
            </w:r>
          </w:p>
        </w:tc>
      </w:tr>
      <w:tr w:rsidR="009C53C7" w:rsidRPr="00C8055C" w:rsidTr="00640605">
        <w:tc>
          <w:tcPr>
            <w:tcW w:w="1167" w:type="dxa"/>
            <w:tcBorders>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99-10</w:t>
            </w:r>
            <w:r>
              <w:rPr>
                <w:rFonts w:hAnsi="標楷體"/>
                <w:spacing w:val="-20"/>
                <w:szCs w:val="24"/>
              </w:rPr>
              <w:t>3</w:t>
            </w:r>
          </w:p>
        </w:tc>
        <w:tc>
          <w:tcPr>
            <w:tcW w:w="1216" w:type="dxa"/>
            <w:vMerge w:val="restart"/>
            <w:tcBorders>
              <w:left w:val="single" w:sz="4" w:space="0" w:color="auto"/>
            </w:tcBorders>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公務預算：</w:t>
            </w:r>
          </w:p>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1至4期</w:t>
            </w:r>
          </w:p>
          <w:p w:rsidR="009C53C7" w:rsidRPr="002B573C" w:rsidRDefault="009C53C7" w:rsidP="00640605">
            <w:pPr>
              <w:pStyle w:val="142"/>
              <w:overflowPunct w:val="0"/>
              <w:adjustRightInd w:val="0"/>
              <w:snapToGrid w:val="0"/>
              <w:ind w:leftChars="-20" w:left="-57" w:rightChars="-20" w:right="-57"/>
              <w:rPr>
                <w:rFonts w:hAnsi="標楷體"/>
                <w:spacing w:val="-20"/>
                <w:szCs w:val="24"/>
              </w:rPr>
            </w:pPr>
            <w:r w:rsidRPr="002B573C">
              <w:rPr>
                <w:rFonts w:hAnsi="標楷體" w:hint="eastAsia"/>
                <w:spacing w:val="-20"/>
                <w:szCs w:val="24"/>
              </w:rPr>
              <w:t>公運計畫</w:t>
            </w:r>
          </w:p>
        </w:tc>
        <w:tc>
          <w:tcPr>
            <w:tcW w:w="1052" w:type="dxa"/>
            <w:tcBorders>
              <w:bottom w:val="sing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Pr>
                <w:rFonts w:hAnsi="標楷體"/>
                <w:color w:val="000000"/>
                <w:spacing w:val="-20"/>
                <w:kern w:val="0"/>
                <w:szCs w:val="24"/>
              </w:rPr>
              <w:t>55</w:t>
            </w:r>
          </w:p>
        </w:tc>
        <w:tc>
          <w:tcPr>
            <w:tcW w:w="1356" w:type="dxa"/>
            <w:tcBorders>
              <w:bottom w:val="single" w:sz="4" w:space="0" w:color="auto"/>
              <w:right w:val="doub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5B53FE">
              <w:rPr>
                <w:rFonts w:hAnsi="標楷體"/>
                <w:color w:val="000000"/>
                <w:spacing w:val="-20"/>
                <w:kern w:val="0"/>
                <w:szCs w:val="24"/>
              </w:rPr>
              <w:t>2</w:t>
            </w:r>
            <w:r>
              <w:rPr>
                <w:rFonts w:hAnsi="標楷體"/>
                <w:color w:val="000000"/>
                <w:spacing w:val="-20"/>
                <w:kern w:val="0"/>
                <w:szCs w:val="24"/>
              </w:rPr>
              <w:t>47</w:t>
            </w:r>
            <w:r w:rsidRPr="005B53FE">
              <w:rPr>
                <w:rFonts w:hAnsi="標楷體"/>
                <w:color w:val="000000"/>
                <w:spacing w:val="-20"/>
                <w:kern w:val="0"/>
                <w:szCs w:val="24"/>
              </w:rPr>
              <w:t>,500</w:t>
            </w:r>
          </w:p>
        </w:tc>
        <w:tc>
          <w:tcPr>
            <w:tcW w:w="1312" w:type="dxa"/>
            <w:vMerge w:val="restart"/>
            <w:tcBorders>
              <w:top w:val="single" w:sz="4" w:space="0" w:color="auto"/>
              <w:left w:val="doub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firstLineChars="4" w:firstLine="8"/>
              <w:jc w:val="center"/>
              <w:rPr>
                <w:rFonts w:hAnsi="標楷體"/>
                <w:spacing w:val="-20"/>
                <w:szCs w:val="24"/>
              </w:rPr>
            </w:pPr>
            <w:r w:rsidRPr="002B573C">
              <w:rPr>
                <w:rFonts w:hAnsi="標楷體" w:hint="eastAsia"/>
                <w:spacing w:val="-20"/>
                <w:szCs w:val="24"/>
              </w:rPr>
              <w:t>特收基金：</w:t>
            </w:r>
          </w:p>
          <w:p w:rsidR="009C53C7" w:rsidRPr="002B573C" w:rsidRDefault="009C53C7" w:rsidP="00640605">
            <w:pPr>
              <w:pStyle w:val="142"/>
              <w:overflowPunct w:val="0"/>
              <w:adjustRightInd w:val="0"/>
              <w:snapToGrid w:val="0"/>
              <w:ind w:leftChars="-48" w:left="-57" w:rightChars="-20" w:right="-57" w:hangingChars="39" w:hanging="79"/>
              <w:jc w:val="center"/>
              <w:rPr>
                <w:rFonts w:hAnsi="標楷體"/>
                <w:spacing w:val="-20"/>
                <w:szCs w:val="24"/>
              </w:rPr>
            </w:pPr>
            <w:r w:rsidRPr="002B573C">
              <w:rPr>
                <w:rFonts w:hAnsi="標楷體" w:hint="eastAsia"/>
                <w:spacing w:val="-20"/>
                <w:szCs w:val="24"/>
              </w:rPr>
              <w:t>空氣污染防制</w:t>
            </w:r>
          </w:p>
          <w:p w:rsidR="009C53C7" w:rsidRPr="002B573C" w:rsidRDefault="009C53C7" w:rsidP="00640605">
            <w:pPr>
              <w:pStyle w:val="142"/>
              <w:overflowPunct w:val="0"/>
              <w:adjustRightInd w:val="0"/>
              <w:snapToGrid w:val="0"/>
              <w:ind w:leftChars="-48" w:left="-57" w:rightChars="-20" w:right="-57" w:hangingChars="39" w:hanging="79"/>
              <w:jc w:val="center"/>
              <w:rPr>
                <w:rFonts w:hAnsi="標楷體"/>
                <w:spacing w:val="-20"/>
                <w:szCs w:val="24"/>
              </w:rPr>
            </w:pPr>
            <w:r w:rsidRPr="002B573C">
              <w:rPr>
                <w:rFonts w:hAnsi="標楷體" w:hint="eastAsia"/>
                <w:spacing w:val="-20"/>
                <w:szCs w:val="24"/>
              </w:rPr>
              <w:t>基金</w:t>
            </w: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2</w:t>
            </w:r>
          </w:p>
        </w:tc>
        <w:tc>
          <w:tcPr>
            <w:tcW w:w="1414" w:type="dxa"/>
            <w:tcBorders>
              <w:top w:val="single" w:sz="4" w:space="0" w:color="auto"/>
              <w:left w:val="single" w:sz="4" w:space="0" w:color="auto"/>
              <w:bottom w:val="single" w:sz="4" w:space="0" w:color="auto"/>
              <w:right w:val="single" w:sz="12"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3</w:t>
            </w:r>
            <w:r w:rsidRPr="002B573C">
              <w:rPr>
                <w:rFonts w:hAnsi="標楷體"/>
                <w:color w:val="000000"/>
                <w:spacing w:val="-20"/>
                <w:szCs w:val="24"/>
              </w:rPr>
              <w:t>,</w:t>
            </w:r>
            <w:r w:rsidRPr="002B573C">
              <w:rPr>
                <w:rFonts w:hAnsi="標楷體" w:hint="eastAsia"/>
                <w:color w:val="000000"/>
                <w:spacing w:val="-20"/>
                <w:szCs w:val="24"/>
              </w:rPr>
              <w:t>000</w:t>
            </w:r>
          </w:p>
        </w:tc>
      </w:tr>
      <w:tr w:rsidR="009C53C7" w:rsidRPr="00C8055C" w:rsidTr="00640605">
        <w:tc>
          <w:tcPr>
            <w:tcW w:w="1167" w:type="dxa"/>
            <w:tcBorders>
              <w:top w:val="sing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104</w:t>
            </w:r>
          </w:p>
        </w:tc>
        <w:tc>
          <w:tcPr>
            <w:tcW w:w="1216" w:type="dxa"/>
            <w:vMerge/>
            <w:tcBorders>
              <w:left w:val="single" w:sz="4" w:space="0" w:color="auto"/>
            </w:tcBorders>
            <w:vAlign w:val="center"/>
          </w:tcPr>
          <w:p w:rsidR="009C53C7" w:rsidRPr="002B573C" w:rsidRDefault="009C53C7" w:rsidP="00640605">
            <w:pPr>
              <w:pStyle w:val="142"/>
              <w:overflowPunct w:val="0"/>
              <w:adjustRightInd w:val="0"/>
              <w:snapToGrid w:val="0"/>
              <w:ind w:leftChars="-20" w:left="-57" w:rightChars="-20" w:right="-57"/>
              <w:rPr>
                <w:rFonts w:hAnsi="標楷體"/>
                <w:spacing w:val="-20"/>
                <w:szCs w:val="24"/>
              </w:rPr>
            </w:pPr>
          </w:p>
        </w:tc>
        <w:tc>
          <w:tcPr>
            <w:tcW w:w="1052" w:type="dxa"/>
            <w:tcBorders>
              <w:top w:val="single" w:sz="4" w:space="0" w:color="auto"/>
              <w:bottom w:val="sing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5</w:t>
            </w:r>
          </w:p>
        </w:tc>
        <w:tc>
          <w:tcPr>
            <w:tcW w:w="1356" w:type="dxa"/>
            <w:tcBorders>
              <w:top w:val="single" w:sz="4" w:space="0" w:color="auto"/>
              <w:bottom w:val="single" w:sz="4" w:space="0" w:color="auto"/>
              <w:right w:val="doub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22,500</w:t>
            </w:r>
          </w:p>
        </w:tc>
        <w:tc>
          <w:tcPr>
            <w:tcW w:w="1312" w:type="dxa"/>
            <w:vMerge/>
            <w:tcBorders>
              <w:top w:val="single" w:sz="4" w:space="0" w:color="auto"/>
              <w:left w:val="doub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5</w:t>
            </w:r>
          </w:p>
        </w:tc>
        <w:tc>
          <w:tcPr>
            <w:tcW w:w="1414" w:type="dxa"/>
            <w:tcBorders>
              <w:top w:val="single" w:sz="4" w:space="0" w:color="auto"/>
              <w:left w:val="single" w:sz="4" w:space="0" w:color="auto"/>
              <w:bottom w:val="single" w:sz="4" w:space="0" w:color="auto"/>
              <w:right w:val="single" w:sz="12"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7</w:t>
            </w:r>
            <w:r w:rsidRPr="002B573C">
              <w:rPr>
                <w:rFonts w:hAnsi="標楷體"/>
                <w:color w:val="000000"/>
                <w:spacing w:val="-20"/>
                <w:szCs w:val="24"/>
              </w:rPr>
              <w:t>,</w:t>
            </w:r>
            <w:r w:rsidRPr="002B573C">
              <w:rPr>
                <w:rFonts w:hAnsi="標楷體" w:hint="eastAsia"/>
                <w:color w:val="000000"/>
                <w:spacing w:val="-20"/>
                <w:szCs w:val="24"/>
              </w:rPr>
              <w:t>500</w:t>
            </w:r>
          </w:p>
        </w:tc>
      </w:tr>
      <w:tr w:rsidR="009C53C7" w:rsidRPr="00C8055C" w:rsidTr="00640605">
        <w:tc>
          <w:tcPr>
            <w:tcW w:w="1167" w:type="dxa"/>
            <w:tcBorders>
              <w:top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105</w:t>
            </w:r>
          </w:p>
        </w:tc>
        <w:tc>
          <w:tcPr>
            <w:tcW w:w="1216" w:type="dxa"/>
            <w:vMerge/>
            <w:tcBorders>
              <w:left w:val="single" w:sz="4" w:space="0" w:color="auto"/>
            </w:tcBorders>
            <w:vAlign w:val="center"/>
          </w:tcPr>
          <w:p w:rsidR="009C53C7" w:rsidRPr="002B573C" w:rsidRDefault="009C53C7" w:rsidP="00640605">
            <w:pPr>
              <w:pStyle w:val="142"/>
              <w:overflowPunct w:val="0"/>
              <w:adjustRightInd w:val="0"/>
              <w:snapToGrid w:val="0"/>
              <w:ind w:leftChars="-20" w:left="-57" w:rightChars="-20" w:right="-57"/>
              <w:rPr>
                <w:rFonts w:hAnsi="標楷體"/>
                <w:spacing w:val="-20"/>
                <w:szCs w:val="24"/>
              </w:rPr>
            </w:pPr>
          </w:p>
        </w:tc>
        <w:tc>
          <w:tcPr>
            <w:tcW w:w="1052" w:type="dxa"/>
            <w:tcBorders>
              <w:top w:val="sing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143</w:t>
            </w:r>
          </w:p>
        </w:tc>
        <w:tc>
          <w:tcPr>
            <w:tcW w:w="1356" w:type="dxa"/>
            <w:tcBorders>
              <w:top w:val="single" w:sz="4" w:space="0" w:color="auto"/>
              <w:right w:val="doub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643,500</w:t>
            </w:r>
          </w:p>
        </w:tc>
        <w:tc>
          <w:tcPr>
            <w:tcW w:w="1312" w:type="dxa"/>
            <w:vMerge/>
            <w:tcBorders>
              <w:top w:val="single" w:sz="4" w:space="0" w:color="auto"/>
              <w:left w:val="doub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143</w:t>
            </w:r>
          </w:p>
        </w:tc>
        <w:tc>
          <w:tcPr>
            <w:tcW w:w="1414" w:type="dxa"/>
            <w:tcBorders>
              <w:top w:val="single" w:sz="4" w:space="0" w:color="auto"/>
              <w:left w:val="single" w:sz="4" w:space="0" w:color="auto"/>
              <w:bottom w:val="single" w:sz="4" w:space="0" w:color="auto"/>
              <w:right w:val="single" w:sz="12"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214</w:t>
            </w:r>
            <w:r w:rsidRPr="002B573C">
              <w:rPr>
                <w:rFonts w:hAnsi="標楷體"/>
                <w:color w:val="000000"/>
                <w:spacing w:val="-20"/>
                <w:szCs w:val="24"/>
              </w:rPr>
              <w:t>,</w:t>
            </w:r>
            <w:r w:rsidRPr="002B573C">
              <w:rPr>
                <w:rFonts w:hAnsi="標楷體" w:hint="eastAsia"/>
                <w:color w:val="000000"/>
                <w:spacing w:val="-20"/>
                <w:szCs w:val="24"/>
              </w:rPr>
              <w:t>500</w:t>
            </w:r>
          </w:p>
        </w:tc>
      </w:tr>
      <w:tr w:rsidR="009C53C7" w:rsidRPr="00C8055C" w:rsidTr="00640605">
        <w:tc>
          <w:tcPr>
            <w:tcW w:w="1167" w:type="dxa"/>
            <w:tcBorders>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106</w:t>
            </w:r>
          </w:p>
        </w:tc>
        <w:tc>
          <w:tcPr>
            <w:tcW w:w="1216" w:type="dxa"/>
            <w:vMerge/>
            <w:tcBorders>
              <w:left w:val="single" w:sz="4" w:space="0" w:color="auto"/>
            </w:tcBorders>
            <w:vAlign w:val="center"/>
          </w:tcPr>
          <w:p w:rsidR="009C53C7" w:rsidRPr="002B573C" w:rsidRDefault="009C53C7" w:rsidP="00640605">
            <w:pPr>
              <w:pStyle w:val="142"/>
              <w:overflowPunct w:val="0"/>
              <w:adjustRightInd w:val="0"/>
              <w:snapToGrid w:val="0"/>
              <w:ind w:leftChars="-20" w:left="-57" w:rightChars="-20" w:right="-57"/>
              <w:rPr>
                <w:rFonts w:hAnsi="標楷體"/>
                <w:spacing w:val="-20"/>
                <w:szCs w:val="24"/>
              </w:rPr>
            </w:pPr>
          </w:p>
        </w:tc>
        <w:tc>
          <w:tcPr>
            <w:tcW w:w="1052" w:type="dxa"/>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69</w:t>
            </w:r>
          </w:p>
        </w:tc>
        <w:tc>
          <w:tcPr>
            <w:tcW w:w="1356" w:type="dxa"/>
            <w:tcBorders>
              <w:right w:val="doub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310,500</w:t>
            </w:r>
          </w:p>
        </w:tc>
        <w:tc>
          <w:tcPr>
            <w:tcW w:w="1312" w:type="dxa"/>
            <w:vMerge/>
            <w:tcBorders>
              <w:left w:val="doub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69</w:t>
            </w:r>
          </w:p>
        </w:tc>
        <w:tc>
          <w:tcPr>
            <w:tcW w:w="1414" w:type="dxa"/>
            <w:tcBorders>
              <w:top w:val="single" w:sz="4" w:space="0" w:color="auto"/>
              <w:left w:val="single" w:sz="4" w:space="0" w:color="auto"/>
              <w:bottom w:val="single" w:sz="4" w:space="0" w:color="auto"/>
              <w:right w:val="single" w:sz="12"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103</w:t>
            </w:r>
            <w:r w:rsidRPr="002B573C">
              <w:rPr>
                <w:rFonts w:hAnsi="標楷體"/>
                <w:color w:val="000000"/>
                <w:spacing w:val="-20"/>
                <w:szCs w:val="24"/>
              </w:rPr>
              <w:t>,</w:t>
            </w:r>
            <w:r w:rsidRPr="002B573C">
              <w:rPr>
                <w:rFonts w:hAnsi="標楷體" w:hint="eastAsia"/>
                <w:color w:val="000000"/>
                <w:spacing w:val="-20"/>
                <w:szCs w:val="24"/>
              </w:rPr>
              <w:t>500</w:t>
            </w:r>
          </w:p>
        </w:tc>
      </w:tr>
      <w:tr w:rsidR="009C53C7" w:rsidRPr="00C8055C" w:rsidTr="00640605">
        <w:tc>
          <w:tcPr>
            <w:tcW w:w="1167" w:type="dxa"/>
            <w:tcBorders>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107</w:t>
            </w:r>
          </w:p>
        </w:tc>
        <w:tc>
          <w:tcPr>
            <w:tcW w:w="1216" w:type="dxa"/>
            <w:vMerge/>
            <w:tcBorders>
              <w:left w:val="single" w:sz="4" w:space="0" w:color="auto"/>
            </w:tcBorders>
            <w:vAlign w:val="center"/>
          </w:tcPr>
          <w:p w:rsidR="009C53C7" w:rsidRPr="002B573C" w:rsidRDefault="009C53C7" w:rsidP="00640605">
            <w:pPr>
              <w:pStyle w:val="142"/>
              <w:overflowPunct w:val="0"/>
              <w:adjustRightInd w:val="0"/>
              <w:snapToGrid w:val="0"/>
              <w:ind w:leftChars="-20" w:left="-57" w:rightChars="-20" w:right="-57"/>
              <w:rPr>
                <w:rFonts w:hAnsi="標楷體"/>
                <w:spacing w:val="-20"/>
                <w:szCs w:val="24"/>
              </w:rPr>
            </w:pPr>
          </w:p>
        </w:tc>
        <w:tc>
          <w:tcPr>
            <w:tcW w:w="1052" w:type="dxa"/>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130</w:t>
            </w:r>
          </w:p>
        </w:tc>
        <w:tc>
          <w:tcPr>
            <w:tcW w:w="1356" w:type="dxa"/>
            <w:tcBorders>
              <w:right w:val="doub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585,000</w:t>
            </w:r>
          </w:p>
        </w:tc>
        <w:tc>
          <w:tcPr>
            <w:tcW w:w="1312" w:type="dxa"/>
            <w:vMerge/>
            <w:tcBorders>
              <w:left w:val="doub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130</w:t>
            </w:r>
          </w:p>
        </w:tc>
        <w:tc>
          <w:tcPr>
            <w:tcW w:w="1414" w:type="dxa"/>
            <w:tcBorders>
              <w:top w:val="single" w:sz="4" w:space="0" w:color="auto"/>
              <w:left w:val="single" w:sz="4" w:space="0" w:color="auto"/>
              <w:bottom w:val="single" w:sz="4" w:space="0" w:color="auto"/>
              <w:right w:val="single" w:sz="12"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195,000</w:t>
            </w:r>
          </w:p>
        </w:tc>
      </w:tr>
      <w:tr w:rsidR="009C53C7" w:rsidRPr="00C8055C" w:rsidTr="00640605">
        <w:tc>
          <w:tcPr>
            <w:tcW w:w="1167" w:type="dxa"/>
            <w:tcBorders>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108</w:t>
            </w:r>
          </w:p>
        </w:tc>
        <w:tc>
          <w:tcPr>
            <w:tcW w:w="1216" w:type="dxa"/>
            <w:vMerge/>
            <w:tcBorders>
              <w:left w:val="single" w:sz="4" w:space="0" w:color="auto"/>
            </w:tcBorders>
            <w:vAlign w:val="center"/>
          </w:tcPr>
          <w:p w:rsidR="009C53C7" w:rsidRPr="002B573C" w:rsidRDefault="009C53C7" w:rsidP="00640605">
            <w:pPr>
              <w:pStyle w:val="142"/>
              <w:overflowPunct w:val="0"/>
              <w:adjustRightInd w:val="0"/>
              <w:snapToGrid w:val="0"/>
              <w:ind w:leftChars="-20" w:left="-57" w:rightChars="-20" w:right="-57"/>
              <w:rPr>
                <w:rFonts w:hAnsi="標楷體"/>
                <w:spacing w:val="-20"/>
                <w:szCs w:val="24"/>
              </w:rPr>
            </w:pPr>
          </w:p>
        </w:tc>
        <w:tc>
          <w:tcPr>
            <w:tcW w:w="1052" w:type="dxa"/>
            <w:tcBorders>
              <w:bottom w:val="sing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73</w:t>
            </w:r>
          </w:p>
        </w:tc>
        <w:tc>
          <w:tcPr>
            <w:tcW w:w="1356" w:type="dxa"/>
            <w:tcBorders>
              <w:bottom w:val="single" w:sz="4" w:space="0" w:color="auto"/>
              <w:right w:val="doub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328,500</w:t>
            </w:r>
          </w:p>
        </w:tc>
        <w:tc>
          <w:tcPr>
            <w:tcW w:w="1312" w:type="dxa"/>
            <w:vMerge/>
            <w:tcBorders>
              <w:left w:val="doub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spacing w:val="-20"/>
                <w:szCs w:val="24"/>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73</w:t>
            </w:r>
          </w:p>
        </w:tc>
        <w:tc>
          <w:tcPr>
            <w:tcW w:w="1414" w:type="dxa"/>
            <w:tcBorders>
              <w:top w:val="single" w:sz="4" w:space="0" w:color="auto"/>
              <w:left w:val="single" w:sz="4" w:space="0" w:color="auto"/>
              <w:bottom w:val="single" w:sz="4" w:space="0" w:color="auto"/>
              <w:right w:val="single" w:sz="12"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109,500</w:t>
            </w:r>
          </w:p>
        </w:tc>
      </w:tr>
      <w:tr w:rsidR="009C53C7" w:rsidRPr="00C8055C" w:rsidTr="00640605">
        <w:tc>
          <w:tcPr>
            <w:tcW w:w="1167" w:type="dxa"/>
            <w:tcBorders>
              <w:top w:val="sing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109</w:t>
            </w:r>
          </w:p>
        </w:tc>
        <w:tc>
          <w:tcPr>
            <w:tcW w:w="1216" w:type="dxa"/>
            <w:vMerge/>
            <w:tcBorders>
              <w:left w:val="single" w:sz="4" w:space="0" w:color="auto"/>
            </w:tcBorders>
            <w:vAlign w:val="center"/>
          </w:tcPr>
          <w:p w:rsidR="009C53C7" w:rsidRPr="002B573C" w:rsidRDefault="009C53C7" w:rsidP="00640605">
            <w:pPr>
              <w:pStyle w:val="142"/>
              <w:overflowPunct w:val="0"/>
              <w:adjustRightInd w:val="0"/>
              <w:snapToGrid w:val="0"/>
              <w:ind w:leftChars="-20" w:left="-57" w:rightChars="-20" w:right="-57"/>
              <w:rPr>
                <w:rFonts w:hAnsi="標楷體"/>
                <w:spacing w:val="-20"/>
                <w:szCs w:val="24"/>
              </w:rPr>
            </w:pPr>
          </w:p>
        </w:tc>
        <w:tc>
          <w:tcPr>
            <w:tcW w:w="1052" w:type="dxa"/>
            <w:tcBorders>
              <w:top w:val="single" w:sz="4" w:space="0" w:color="auto"/>
              <w:bottom w:val="sing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300</w:t>
            </w:r>
          </w:p>
        </w:tc>
        <w:tc>
          <w:tcPr>
            <w:tcW w:w="1356" w:type="dxa"/>
            <w:tcBorders>
              <w:top w:val="single" w:sz="4" w:space="0" w:color="auto"/>
              <w:bottom w:val="single" w:sz="4" w:space="0" w:color="auto"/>
              <w:right w:val="doub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1,350,000</w:t>
            </w:r>
          </w:p>
        </w:tc>
        <w:tc>
          <w:tcPr>
            <w:tcW w:w="1312" w:type="dxa"/>
            <w:vMerge/>
            <w:tcBorders>
              <w:top w:val="single" w:sz="4" w:space="0" w:color="auto"/>
              <w:left w:val="doub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spacing w:val="-20"/>
                <w:szCs w:val="24"/>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300</w:t>
            </w:r>
          </w:p>
        </w:tc>
        <w:tc>
          <w:tcPr>
            <w:tcW w:w="1414" w:type="dxa"/>
            <w:tcBorders>
              <w:top w:val="single" w:sz="4" w:space="0" w:color="auto"/>
              <w:left w:val="single" w:sz="4" w:space="0" w:color="auto"/>
              <w:bottom w:val="single" w:sz="4" w:space="0" w:color="auto"/>
              <w:right w:val="single" w:sz="12"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450,000</w:t>
            </w:r>
          </w:p>
        </w:tc>
      </w:tr>
      <w:tr w:rsidR="009C53C7" w:rsidRPr="00C8055C" w:rsidTr="00640605">
        <w:tc>
          <w:tcPr>
            <w:tcW w:w="1167" w:type="dxa"/>
            <w:tcBorders>
              <w:top w:val="sing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110</w:t>
            </w:r>
          </w:p>
        </w:tc>
        <w:tc>
          <w:tcPr>
            <w:tcW w:w="1216" w:type="dxa"/>
            <w:vMerge/>
            <w:tcBorders>
              <w:left w:val="single" w:sz="4" w:space="0" w:color="auto"/>
            </w:tcBorders>
            <w:vAlign w:val="center"/>
          </w:tcPr>
          <w:p w:rsidR="009C53C7" w:rsidRPr="002B573C" w:rsidRDefault="009C53C7" w:rsidP="00640605">
            <w:pPr>
              <w:pStyle w:val="142"/>
              <w:overflowPunct w:val="0"/>
              <w:adjustRightInd w:val="0"/>
              <w:snapToGrid w:val="0"/>
              <w:ind w:leftChars="-20" w:left="-57" w:rightChars="-20" w:right="-57"/>
              <w:rPr>
                <w:rFonts w:hAnsi="標楷體"/>
                <w:spacing w:val="-20"/>
                <w:szCs w:val="24"/>
              </w:rPr>
            </w:pPr>
          </w:p>
        </w:tc>
        <w:tc>
          <w:tcPr>
            <w:tcW w:w="1052" w:type="dxa"/>
            <w:tcBorders>
              <w:top w:val="single" w:sz="4" w:space="0" w:color="auto"/>
              <w:bottom w:val="sing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434</w:t>
            </w:r>
          </w:p>
        </w:tc>
        <w:tc>
          <w:tcPr>
            <w:tcW w:w="1356" w:type="dxa"/>
            <w:tcBorders>
              <w:top w:val="single" w:sz="4" w:space="0" w:color="auto"/>
              <w:bottom w:val="single" w:sz="4" w:space="0" w:color="auto"/>
              <w:right w:val="doub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1,953,000</w:t>
            </w:r>
          </w:p>
        </w:tc>
        <w:tc>
          <w:tcPr>
            <w:tcW w:w="1312" w:type="dxa"/>
            <w:vMerge/>
            <w:tcBorders>
              <w:top w:val="single" w:sz="4" w:space="0" w:color="auto"/>
              <w:left w:val="doub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spacing w:val="-20"/>
                <w:szCs w:val="24"/>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434</w:t>
            </w:r>
          </w:p>
        </w:tc>
        <w:tc>
          <w:tcPr>
            <w:tcW w:w="1414" w:type="dxa"/>
            <w:tcBorders>
              <w:top w:val="single" w:sz="4" w:space="0" w:color="auto"/>
              <w:left w:val="single" w:sz="4" w:space="0" w:color="auto"/>
              <w:bottom w:val="single" w:sz="4" w:space="0" w:color="auto"/>
              <w:right w:val="single" w:sz="12"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651,000</w:t>
            </w:r>
          </w:p>
        </w:tc>
      </w:tr>
      <w:tr w:rsidR="009C53C7" w:rsidRPr="00C8055C" w:rsidTr="00640605">
        <w:tc>
          <w:tcPr>
            <w:tcW w:w="1167" w:type="dxa"/>
            <w:tcBorders>
              <w:top w:val="sing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111</w:t>
            </w:r>
          </w:p>
        </w:tc>
        <w:tc>
          <w:tcPr>
            <w:tcW w:w="1216" w:type="dxa"/>
            <w:vMerge/>
            <w:tcBorders>
              <w:left w:val="single" w:sz="4" w:space="0" w:color="auto"/>
            </w:tcBorders>
            <w:vAlign w:val="center"/>
          </w:tcPr>
          <w:p w:rsidR="009C53C7" w:rsidRPr="002B573C" w:rsidRDefault="009C53C7" w:rsidP="00640605">
            <w:pPr>
              <w:pStyle w:val="142"/>
              <w:overflowPunct w:val="0"/>
              <w:adjustRightInd w:val="0"/>
              <w:snapToGrid w:val="0"/>
              <w:ind w:leftChars="-20" w:left="-57" w:rightChars="-20" w:right="-57"/>
              <w:rPr>
                <w:rFonts w:hAnsi="標楷體"/>
                <w:spacing w:val="-20"/>
                <w:szCs w:val="24"/>
              </w:rPr>
            </w:pPr>
          </w:p>
        </w:tc>
        <w:tc>
          <w:tcPr>
            <w:tcW w:w="1052" w:type="dxa"/>
            <w:tcBorders>
              <w:top w:val="sing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692</w:t>
            </w:r>
          </w:p>
        </w:tc>
        <w:tc>
          <w:tcPr>
            <w:tcW w:w="1356" w:type="dxa"/>
            <w:tcBorders>
              <w:top w:val="single" w:sz="4" w:space="0" w:color="auto"/>
              <w:right w:val="doub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spacing w:val="-20"/>
                <w:kern w:val="0"/>
                <w:szCs w:val="24"/>
              </w:rPr>
              <w:t>3,719,766</w:t>
            </w:r>
          </w:p>
        </w:tc>
        <w:tc>
          <w:tcPr>
            <w:tcW w:w="1312" w:type="dxa"/>
            <w:vMerge/>
            <w:tcBorders>
              <w:top w:val="single" w:sz="4" w:space="0" w:color="auto"/>
              <w:left w:val="doub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spacing w:val="-20"/>
                <w:szCs w:val="24"/>
              </w:rPr>
            </w:pPr>
          </w:p>
        </w:tc>
        <w:tc>
          <w:tcPr>
            <w:tcW w:w="1008" w:type="dxa"/>
            <w:tcBorders>
              <w:top w:val="single" w:sz="4" w:space="0" w:color="auto"/>
              <w:left w:val="single" w:sz="4" w:space="0" w:color="auto"/>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692</w:t>
            </w:r>
          </w:p>
        </w:tc>
        <w:tc>
          <w:tcPr>
            <w:tcW w:w="1414" w:type="dxa"/>
            <w:tcBorders>
              <w:top w:val="single" w:sz="4" w:space="0" w:color="auto"/>
              <w:left w:val="single" w:sz="4" w:space="0" w:color="auto"/>
              <w:bottom w:val="single" w:sz="4" w:space="0" w:color="auto"/>
              <w:right w:val="single" w:sz="12"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Ansi="標楷體" w:hint="eastAsia"/>
                <w:color w:val="000000"/>
                <w:spacing w:val="-20"/>
                <w:szCs w:val="24"/>
              </w:rPr>
              <w:t>1,038,000</w:t>
            </w:r>
          </w:p>
        </w:tc>
      </w:tr>
      <w:tr w:rsidR="009C53C7" w:rsidRPr="00C8055C" w:rsidTr="00640605">
        <w:tc>
          <w:tcPr>
            <w:tcW w:w="1167" w:type="dxa"/>
            <w:tcBorders>
              <w:bottom w:val="single" w:sz="4"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112</w:t>
            </w:r>
          </w:p>
        </w:tc>
        <w:tc>
          <w:tcPr>
            <w:tcW w:w="1216" w:type="dxa"/>
            <w:vMerge/>
            <w:tcBorders>
              <w:left w:val="single" w:sz="4" w:space="0" w:color="auto"/>
            </w:tcBorders>
            <w:vAlign w:val="center"/>
          </w:tcPr>
          <w:p w:rsidR="009C53C7" w:rsidRPr="002B573C" w:rsidRDefault="009C53C7" w:rsidP="00640605">
            <w:pPr>
              <w:pStyle w:val="142"/>
              <w:overflowPunct w:val="0"/>
              <w:adjustRightInd w:val="0"/>
              <w:snapToGrid w:val="0"/>
              <w:ind w:leftChars="-20" w:left="-57" w:rightChars="-20" w:right="-57"/>
              <w:rPr>
                <w:rFonts w:hAnsi="標楷體"/>
                <w:spacing w:val="-20"/>
                <w:szCs w:val="24"/>
              </w:rPr>
            </w:pPr>
          </w:p>
        </w:tc>
        <w:tc>
          <w:tcPr>
            <w:tcW w:w="1052" w:type="dxa"/>
            <w:tcBorders>
              <w:bottom w:val="sing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spacing w:val="-20"/>
                <w:kern w:val="0"/>
                <w:szCs w:val="24"/>
              </w:rPr>
              <w:t>32</w:t>
            </w:r>
          </w:p>
        </w:tc>
        <w:tc>
          <w:tcPr>
            <w:tcW w:w="1356" w:type="dxa"/>
            <w:tcBorders>
              <w:right w:val="double" w:sz="4" w:space="0" w:color="auto"/>
            </w:tcBorders>
            <w:shd w:val="clear" w:color="auto" w:fill="auto"/>
            <w:vAlign w:val="center"/>
          </w:tcPr>
          <w:p w:rsidR="009C53C7" w:rsidRPr="002C00A6" w:rsidRDefault="009C53C7" w:rsidP="00640605">
            <w:pPr>
              <w:pStyle w:val="142"/>
              <w:wordWrap w:val="0"/>
              <w:overflowPunct w:val="0"/>
              <w:adjustRightInd w:val="0"/>
              <w:snapToGrid w:val="0"/>
              <w:ind w:leftChars="-20" w:left="-57" w:rightChars="-20" w:right="-57"/>
              <w:jc w:val="right"/>
              <w:rPr>
                <w:rFonts w:hAnsi="標楷體"/>
                <w:spacing w:val="-20"/>
                <w:kern w:val="0"/>
                <w:szCs w:val="24"/>
              </w:rPr>
            </w:pPr>
            <w:r w:rsidRPr="002C00A6">
              <w:rPr>
                <w:rFonts w:hAnsi="標楷體" w:hint="eastAsia"/>
                <w:spacing w:val="-20"/>
                <w:kern w:val="0"/>
                <w:szCs w:val="24"/>
              </w:rPr>
              <w:t>118</w:t>
            </w:r>
            <w:r w:rsidRPr="002C00A6">
              <w:rPr>
                <w:rFonts w:hAnsi="標楷體"/>
                <w:spacing w:val="-20"/>
                <w:kern w:val="0"/>
                <w:szCs w:val="24"/>
              </w:rPr>
              <w:t>,400</w:t>
            </w:r>
          </w:p>
        </w:tc>
        <w:tc>
          <w:tcPr>
            <w:tcW w:w="1312" w:type="dxa"/>
            <w:tcBorders>
              <w:top w:val="single" w:sz="4" w:space="0" w:color="auto"/>
              <w:left w:val="double" w:sz="4" w:space="0" w:color="auto"/>
              <w:bottom w:val="double" w:sz="4" w:space="0" w:color="auto"/>
            </w:tcBorders>
            <w:shd w:val="clear" w:color="auto" w:fill="F2F2F2"/>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103-111</w:t>
            </w:r>
          </w:p>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合計</w:t>
            </w:r>
          </w:p>
        </w:tc>
        <w:tc>
          <w:tcPr>
            <w:tcW w:w="1008" w:type="dxa"/>
            <w:tcBorders>
              <w:top w:val="single" w:sz="4" w:space="0" w:color="auto"/>
              <w:left w:val="nil"/>
              <w:bottom w:val="nil"/>
              <w:right w:val="single" w:sz="4" w:space="0" w:color="auto"/>
            </w:tcBorders>
            <w:shd w:val="clear" w:color="auto" w:fill="F2F2F2"/>
            <w:vAlign w:val="center"/>
          </w:tcPr>
          <w:p w:rsidR="009C53C7" w:rsidRPr="002B573C" w:rsidRDefault="009C53C7" w:rsidP="00640605">
            <w:pPr>
              <w:pStyle w:val="142"/>
              <w:overflowPunct w:val="0"/>
              <w:adjustRightInd w:val="0"/>
              <w:snapToGrid w:val="0"/>
              <w:ind w:leftChars="-20" w:left="-57" w:rightChars="-20" w:right="-57"/>
              <w:jc w:val="right"/>
              <w:rPr>
                <w:rFonts w:hAnsi="標楷體"/>
                <w:spacing w:val="-20"/>
                <w:szCs w:val="24"/>
              </w:rPr>
            </w:pPr>
            <w:r w:rsidRPr="002B573C">
              <w:rPr>
                <w:rFonts w:hint="eastAsia"/>
                <w:color w:val="000000"/>
                <w:spacing w:val="-20"/>
                <w:szCs w:val="24"/>
              </w:rPr>
              <w:t>1</w:t>
            </w:r>
            <w:r w:rsidRPr="002B573C">
              <w:rPr>
                <w:color w:val="000000"/>
                <w:spacing w:val="-20"/>
                <w:szCs w:val="24"/>
              </w:rPr>
              <w:t>,</w:t>
            </w:r>
            <w:r w:rsidRPr="002B573C">
              <w:rPr>
                <w:rFonts w:hint="eastAsia"/>
                <w:color w:val="000000"/>
                <w:spacing w:val="-20"/>
                <w:szCs w:val="24"/>
              </w:rPr>
              <w:t>848</w:t>
            </w:r>
          </w:p>
        </w:tc>
        <w:tc>
          <w:tcPr>
            <w:tcW w:w="1414" w:type="dxa"/>
            <w:tcBorders>
              <w:top w:val="single" w:sz="4" w:space="0" w:color="auto"/>
              <w:left w:val="single" w:sz="4" w:space="0" w:color="auto"/>
              <w:bottom w:val="nil"/>
              <w:right w:val="single" w:sz="12" w:space="0" w:color="auto"/>
            </w:tcBorders>
            <w:shd w:val="clear" w:color="auto" w:fill="F2F2F2"/>
            <w:vAlign w:val="center"/>
          </w:tcPr>
          <w:p w:rsidR="009C53C7" w:rsidRPr="002B573C" w:rsidRDefault="009C53C7" w:rsidP="00640605">
            <w:pPr>
              <w:pStyle w:val="142"/>
              <w:overflowPunct w:val="0"/>
              <w:adjustRightInd w:val="0"/>
              <w:snapToGrid w:val="0"/>
              <w:ind w:leftChars="-20" w:left="-57" w:rightChars="-20" w:right="-57"/>
              <w:jc w:val="right"/>
              <w:rPr>
                <w:rFonts w:hAnsi="標楷體"/>
                <w:color w:val="000000"/>
                <w:spacing w:val="-20"/>
                <w:szCs w:val="24"/>
              </w:rPr>
            </w:pPr>
            <w:r w:rsidRPr="002B573C">
              <w:rPr>
                <w:rFonts w:hint="eastAsia"/>
                <w:color w:val="000000"/>
                <w:spacing w:val="-20"/>
                <w:szCs w:val="24"/>
              </w:rPr>
              <w:t>2</w:t>
            </w:r>
            <w:r w:rsidRPr="002B573C">
              <w:rPr>
                <w:color w:val="000000"/>
                <w:spacing w:val="-20"/>
                <w:szCs w:val="24"/>
              </w:rPr>
              <w:t>,</w:t>
            </w:r>
            <w:r w:rsidRPr="002B573C">
              <w:rPr>
                <w:rFonts w:hint="eastAsia"/>
                <w:color w:val="000000"/>
                <w:spacing w:val="-20"/>
                <w:szCs w:val="24"/>
              </w:rPr>
              <w:t>772</w:t>
            </w:r>
            <w:r w:rsidRPr="002B573C">
              <w:rPr>
                <w:color w:val="000000"/>
                <w:spacing w:val="-20"/>
                <w:szCs w:val="24"/>
              </w:rPr>
              <w:t>,</w:t>
            </w:r>
            <w:r w:rsidRPr="002B573C">
              <w:rPr>
                <w:rFonts w:hint="eastAsia"/>
                <w:color w:val="000000"/>
                <w:spacing w:val="-20"/>
                <w:szCs w:val="24"/>
              </w:rPr>
              <w:t>000</w:t>
            </w:r>
          </w:p>
        </w:tc>
      </w:tr>
      <w:tr w:rsidR="009C53C7" w:rsidRPr="00C8055C" w:rsidTr="00640605">
        <w:tc>
          <w:tcPr>
            <w:tcW w:w="1167" w:type="dxa"/>
            <w:tcBorders>
              <w:top w:val="single" w:sz="4" w:space="0" w:color="auto"/>
              <w:bottom w:val="single" w:sz="12" w:space="0" w:color="auto"/>
              <w:right w:val="single" w:sz="4"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sidRPr="002B573C">
              <w:rPr>
                <w:rFonts w:hAnsi="標楷體" w:hint="eastAsia"/>
                <w:spacing w:val="-20"/>
                <w:szCs w:val="24"/>
              </w:rPr>
              <w:t>99-112</w:t>
            </w:r>
          </w:p>
          <w:p w:rsidR="009C53C7" w:rsidRPr="002B573C" w:rsidRDefault="009C53C7" w:rsidP="00640605">
            <w:pPr>
              <w:pStyle w:val="142"/>
              <w:overflowPunct w:val="0"/>
              <w:adjustRightInd w:val="0"/>
              <w:snapToGrid w:val="0"/>
              <w:ind w:leftChars="-20" w:left="-57" w:rightChars="-20" w:right="-57"/>
              <w:jc w:val="center"/>
              <w:rPr>
                <w:rFonts w:hAnsi="標楷體"/>
                <w:spacing w:val="-20"/>
                <w:szCs w:val="24"/>
              </w:rPr>
            </w:pPr>
            <w:r>
              <w:rPr>
                <w:rFonts w:hAnsi="標楷體" w:hint="eastAsia"/>
                <w:spacing w:val="-20"/>
                <w:szCs w:val="24"/>
              </w:rPr>
              <w:t>合</w:t>
            </w:r>
            <w:r w:rsidRPr="002B573C">
              <w:rPr>
                <w:rFonts w:hAnsi="標楷體" w:hint="eastAsia"/>
                <w:spacing w:val="-20"/>
                <w:szCs w:val="24"/>
              </w:rPr>
              <w:t>計</w:t>
            </w:r>
          </w:p>
        </w:tc>
        <w:tc>
          <w:tcPr>
            <w:tcW w:w="1216" w:type="dxa"/>
            <w:vMerge/>
            <w:tcBorders>
              <w:left w:val="single" w:sz="4" w:space="0" w:color="auto"/>
              <w:bottom w:val="single" w:sz="12" w:space="0" w:color="auto"/>
            </w:tcBorders>
            <w:vAlign w:val="center"/>
          </w:tcPr>
          <w:p w:rsidR="009C53C7" w:rsidRPr="002B573C" w:rsidRDefault="009C53C7" w:rsidP="00640605">
            <w:pPr>
              <w:pStyle w:val="142"/>
              <w:overflowPunct w:val="0"/>
              <w:adjustRightInd w:val="0"/>
              <w:snapToGrid w:val="0"/>
              <w:ind w:leftChars="-20" w:left="-57" w:rightChars="-20" w:right="-57"/>
              <w:rPr>
                <w:rFonts w:hAnsi="標楷體"/>
                <w:color w:val="000000"/>
                <w:spacing w:val="-20"/>
                <w:szCs w:val="24"/>
              </w:rPr>
            </w:pPr>
          </w:p>
        </w:tc>
        <w:tc>
          <w:tcPr>
            <w:tcW w:w="1052" w:type="dxa"/>
            <w:tcBorders>
              <w:top w:val="single" w:sz="4" w:space="0" w:color="auto"/>
              <w:bottom w:val="single" w:sz="12" w:space="0" w:color="auto"/>
              <w:right w:val="sing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1</w:t>
            </w:r>
            <w:r w:rsidRPr="002C00A6">
              <w:rPr>
                <w:rFonts w:hAnsi="標楷體"/>
                <w:color w:val="000000"/>
                <w:spacing w:val="-20"/>
                <w:kern w:val="0"/>
                <w:szCs w:val="24"/>
              </w:rPr>
              <w:t>,</w:t>
            </w:r>
            <w:r w:rsidRPr="002C00A6">
              <w:rPr>
                <w:rFonts w:hAnsi="標楷體" w:hint="eastAsia"/>
                <w:color w:val="000000"/>
                <w:spacing w:val="-20"/>
                <w:kern w:val="0"/>
                <w:szCs w:val="24"/>
              </w:rPr>
              <w:t>933</w:t>
            </w:r>
          </w:p>
        </w:tc>
        <w:tc>
          <w:tcPr>
            <w:tcW w:w="1356" w:type="dxa"/>
            <w:tcBorders>
              <w:top w:val="single" w:sz="4" w:space="0" w:color="auto"/>
              <w:left w:val="single" w:sz="4" w:space="0" w:color="auto"/>
              <w:bottom w:val="single" w:sz="12" w:space="0" w:color="auto"/>
              <w:right w:val="double" w:sz="4" w:space="0" w:color="auto"/>
            </w:tcBorders>
            <w:shd w:val="clear" w:color="auto" w:fill="auto"/>
            <w:vAlign w:val="center"/>
          </w:tcPr>
          <w:p w:rsidR="009C53C7" w:rsidRPr="002C00A6" w:rsidRDefault="009C53C7" w:rsidP="00640605">
            <w:pPr>
              <w:pStyle w:val="142"/>
              <w:overflowPunct w:val="0"/>
              <w:adjustRightInd w:val="0"/>
              <w:snapToGrid w:val="0"/>
              <w:ind w:leftChars="-20" w:left="-57" w:rightChars="-20" w:right="-57"/>
              <w:jc w:val="right"/>
              <w:rPr>
                <w:rFonts w:hAnsi="標楷體"/>
                <w:spacing w:val="-20"/>
                <w:kern w:val="0"/>
                <w:szCs w:val="24"/>
              </w:rPr>
            </w:pPr>
            <w:r w:rsidRPr="002C00A6">
              <w:rPr>
                <w:rFonts w:hAnsi="標楷體" w:hint="eastAsia"/>
                <w:color w:val="000000"/>
                <w:spacing w:val="-20"/>
                <w:kern w:val="0"/>
                <w:szCs w:val="24"/>
              </w:rPr>
              <w:t>9</w:t>
            </w:r>
            <w:r w:rsidRPr="002C00A6">
              <w:rPr>
                <w:rFonts w:hAnsi="標楷體"/>
                <w:color w:val="000000"/>
                <w:spacing w:val="-20"/>
                <w:kern w:val="0"/>
                <w:szCs w:val="24"/>
              </w:rPr>
              <w:t>,278,666</w:t>
            </w:r>
          </w:p>
        </w:tc>
        <w:tc>
          <w:tcPr>
            <w:tcW w:w="3734" w:type="dxa"/>
            <w:gridSpan w:val="3"/>
            <w:tcBorders>
              <w:top w:val="double" w:sz="4" w:space="0" w:color="auto"/>
              <w:left w:val="double" w:sz="4" w:space="0" w:color="auto"/>
              <w:bottom w:val="single" w:sz="12" w:space="0" w:color="auto"/>
              <w:right w:val="single" w:sz="12" w:space="0" w:color="auto"/>
            </w:tcBorders>
            <w:shd w:val="clear" w:color="auto" w:fill="auto"/>
            <w:vAlign w:val="center"/>
          </w:tcPr>
          <w:p w:rsidR="009C53C7" w:rsidRPr="002B573C" w:rsidRDefault="009C53C7" w:rsidP="00640605">
            <w:pPr>
              <w:pStyle w:val="142"/>
              <w:overflowPunct w:val="0"/>
              <w:adjustRightInd w:val="0"/>
              <w:snapToGrid w:val="0"/>
              <w:ind w:leftChars="-20" w:left="-57" w:rightChars="-20" w:right="-57"/>
              <w:rPr>
                <w:rFonts w:hAnsi="標楷體"/>
                <w:color w:val="000000"/>
                <w:spacing w:val="-20"/>
                <w:sz w:val="22"/>
              </w:rPr>
            </w:pPr>
            <w:bookmarkStart w:id="6" w:name="_Hlk175833725"/>
            <w:r w:rsidRPr="002B573C">
              <w:rPr>
                <w:rFonts w:hAnsi="標楷體" w:hint="eastAsia"/>
                <w:spacing w:val="-20"/>
                <w:szCs w:val="24"/>
              </w:rPr>
              <w:t>自112年起，電動大客車購車補助回歸由公路局單一補助作業，環境部112年起不再補助車輛購置。</w:t>
            </w:r>
            <w:bookmarkEnd w:id="6"/>
          </w:p>
        </w:tc>
      </w:tr>
    </w:tbl>
    <w:p w:rsidR="009C53C7" w:rsidRDefault="009C53C7" w:rsidP="00640605">
      <w:pPr>
        <w:overflowPunct w:val="0"/>
        <w:adjustRightInd w:val="0"/>
        <w:snapToGrid w:val="0"/>
        <w:spacing w:line="280" w:lineRule="exact"/>
        <w:ind w:leftChars="0" w:left="1277" w:hangingChars="525" w:hanging="1277"/>
        <w:rPr>
          <w:sz w:val="24"/>
        </w:rPr>
      </w:pPr>
      <w:r w:rsidRPr="0031608F">
        <w:rPr>
          <w:rFonts w:hint="eastAsia"/>
          <w:sz w:val="24"/>
        </w:rPr>
        <w:t>說</w:t>
      </w:r>
      <w:r>
        <w:rPr>
          <w:rFonts w:hint="eastAsia"/>
        </w:rPr>
        <w:t xml:space="preserve">　　</w:t>
      </w:r>
      <w:r w:rsidRPr="0031608F">
        <w:rPr>
          <w:rFonts w:hint="eastAsia"/>
          <w:sz w:val="24"/>
        </w:rPr>
        <w:t>明：</w:t>
      </w:r>
      <w:r w:rsidRPr="00762439">
        <w:rPr>
          <w:rFonts w:hint="eastAsia"/>
          <w:sz w:val="24"/>
          <w:szCs w:val="24"/>
        </w:rPr>
        <w:t>環境部</w:t>
      </w:r>
      <w:r w:rsidRPr="00762439">
        <w:rPr>
          <w:rFonts w:hAnsi="標楷體" w:hint="eastAsia"/>
          <w:spacing w:val="-20"/>
          <w:sz w:val="24"/>
          <w:szCs w:val="24"/>
        </w:rPr>
        <w:t>103</w:t>
      </w:r>
      <w:r w:rsidRPr="00762439">
        <w:rPr>
          <w:rFonts w:hint="eastAsia"/>
          <w:sz w:val="24"/>
          <w:szCs w:val="24"/>
        </w:rPr>
        <w:t>年起與交通部共推，每輛車體補助150萬元</w:t>
      </w:r>
      <w:r w:rsidRPr="00762439">
        <w:rPr>
          <w:rFonts w:hAnsi="標楷體" w:hint="eastAsia"/>
          <w:sz w:val="24"/>
          <w:szCs w:val="24"/>
        </w:rPr>
        <w:t>，為促使車輛優先投入高營運路線，自112年起改以實際營運情形為補助標的。</w:t>
      </w:r>
    </w:p>
    <w:p w:rsidR="009C53C7" w:rsidRPr="00975541" w:rsidRDefault="009C53C7" w:rsidP="00640605">
      <w:pPr>
        <w:pStyle w:val="142"/>
        <w:overflowPunct w:val="0"/>
        <w:adjustRightInd w:val="0"/>
        <w:snapToGrid w:val="0"/>
        <w:ind w:left="1216" w:hangingChars="500" w:hanging="1216"/>
        <w:jc w:val="both"/>
      </w:pPr>
      <w:r w:rsidRPr="005B06C2">
        <w:rPr>
          <w:rFonts w:hint="eastAsia"/>
        </w:rPr>
        <w:t>資料來源：</w:t>
      </w:r>
      <w:r>
        <w:rPr>
          <w:rFonts w:hint="eastAsia"/>
        </w:rPr>
        <w:t>公路局113年</w:t>
      </w:r>
      <w:r>
        <w:rPr>
          <w:rFonts w:hAnsi="標楷體" w:hint="eastAsia"/>
        </w:rPr>
        <w:t>6</w:t>
      </w:r>
      <w:r>
        <w:rPr>
          <w:rFonts w:hint="eastAsia"/>
        </w:rPr>
        <w:t>月</w:t>
      </w:r>
      <w:r>
        <w:rPr>
          <w:rFonts w:hAnsi="標楷體" w:hint="eastAsia"/>
        </w:rPr>
        <w:t>5</w:t>
      </w:r>
      <w:r>
        <w:rPr>
          <w:rFonts w:hint="eastAsia"/>
        </w:rPr>
        <w:t>日及環境部</w:t>
      </w:r>
      <w:r>
        <w:rPr>
          <w:rFonts w:hAnsi="標楷體" w:hint="eastAsia"/>
        </w:rPr>
        <w:t>6</w:t>
      </w:r>
      <w:r>
        <w:rPr>
          <w:rFonts w:hint="eastAsia"/>
        </w:rPr>
        <w:t>月</w:t>
      </w:r>
      <w:r>
        <w:rPr>
          <w:rFonts w:hAnsi="標楷體" w:hint="eastAsia"/>
        </w:rPr>
        <w:t>1</w:t>
      </w:r>
      <w:r>
        <w:rPr>
          <w:rFonts w:hAnsi="標楷體"/>
        </w:rPr>
        <w:t>7</w:t>
      </w:r>
      <w:r>
        <w:rPr>
          <w:rFonts w:hint="eastAsia"/>
        </w:rPr>
        <w:t>日提供資料，本中心製表。</w:t>
      </w:r>
    </w:p>
    <w:p w:rsidR="009C53C7" w:rsidRPr="00171492" w:rsidRDefault="009C53C7" w:rsidP="00640605">
      <w:pPr>
        <w:pStyle w:val="a5"/>
        <w:overflowPunct w:val="0"/>
        <w:adjustRightInd w:val="0"/>
        <w:snapToGrid w:val="0"/>
        <w:ind w:left="849" w:hanging="283"/>
        <w:outlineLvl w:val="2"/>
        <w:rPr>
          <w:b/>
        </w:rPr>
      </w:pPr>
      <w:bookmarkStart w:id="7" w:name="_Hlk169027531"/>
      <w:r w:rsidRPr="00171492">
        <w:rPr>
          <w:rFonts w:hint="eastAsia"/>
          <w:b/>
        </w:rPr>
        <w:lastRenderedPageBreak/>
        <w:t>(二)</w:t>
      </w:r>
      <w:r w:rsidRPr="002C00A6">
        <w:rPr>
          <w:rFonts w:hint="eastAsia"/>
          <w:b/>
        </w:rPr>
        <w:t>截至11</w:t>
      </w:r>
      <w:r>
        <w:rPr>
          <w:rFonts w:hint="eastAsia"/>
          <w:b/>
        </w:rPr>
        <w:t>2</w:t>
      </w:r>
      <w:r w:rsidRPr="002C00A6">
        <w:rPr>
          <w:rFonts w:hint="eastAsia"/>
          <w:b/>
        </w:rPr>
        <w:t>年底</w:t>
      </w:r>
      <w:r>
        <w:rPr>
          <w:rFonts w:hint="eastAsia"/>
          <w:b/>
        </w:rPr>
        <w:t>止</w:t>
      </w:r>
      <w:r>
        <w:rPr>
          <w:rFonts w:hAnsi="標楷體" w:hint="eastAsia"/>
          <w:b/>
        </w:rPr>
        <w:t>，</w:t>
      </w:r>
      <w:r w:rsidRPr="0012231E">
        <w:rPr>
          <w:rFonts w:hint="eastAsia"/>
          <w:b/>
        </w:rPr>
        <w:t>推動市區公車全面電動化</w:t>
      </w:r>
      <w:r>
        <w:rPr>
          <w:rFonts w:hint="eastAsia"/>
          <w:b/>
        </w:rPr>
        <w:t>之</w:t>
      </w:r>
      <w:r w:rsidRPr="00171492">
        <w:rPr>
          <w:rFonts w:hint="eastAsia"/>
          <w:b/>
        </w:rPr>
        <w:t>執行成效未如預期，允宜研謀</w:t>
      </w:r>
      <w:r>
        <w:rPr>
          <w:rFonts w:hint="eastAsia"/>
          <w:b/>
        </w:rPr>
        <w:t>策進措施</w:t>
      </w:r>
    </w:p>
    <w:p w:rsidR="009C53C7" w:rsidRDefault="009C53C7" w:rsidP="00640605">
      <w:pPr>
        <w:pStyle w:val="21"/>
        <w:overflowPunct w:val="0"/>
        <w:snapToGrid w:val="0"/>
        <w:ind w:left="850" w:firstLine="566"/>
        <w:rPr>
          <w:rFonts w:hAnsi="標楷體"/>
        </w:rPr>
      </w:pPr>
      <w:r w:rsidRPr="00665650">
        <w:rPr>
          <w:rFonts w:hint="eastAsia"/>
        </w:rPr>
        <w:t>截至</w:t>
      </w:r>
      <w:r w:rsidRPr="009D0CF1">
        <w:rPr>
          <w:rFonts w:hint="eastAsia"/>
        </w:rPr>
        <w:t>11</w:t>
      </w:r>
      <w:r>
        <w:rPr>
          <w:rFonts w:hint="eastAsia"/>
        </w:rPr>
        <w:t>2</w:t>
      </w:r>
      <w:r w:rsidRPr="009D0CF1">
        <w:rPr>
          <w:rFonts w:hint="eastAsia"/>
        </w:rPr>
        <w:t>年</w:t>
      </w:r>
      <w:r>
        <w:rPr>
          <w:rFonts w:hint="eastAsia"/>
        </w:rPr>
        <w:t>底止</w:t>
      </w:r>
      <w:r w:rsidRPr="00824817">
        <w:rPr>
          <w:rFonts w:hAnsi="標楷體" w:hint="eastAsia"/>
        </w:rPr>
        <w:t>，</w:t>
      </w:r>
      <w:bookmarkStart w:id="8" w:name="_Hlk175833780"/>
      <w:r>
        <w:rPr>
          <w:rFonts w:hint="eastAsia"/>
        </w:rPr>
        <w:t>經濟</w:t>
      </w:r>
      <w:r w:rsidRPr="009D0CF1">
        <w:rPr>
          <w:rFonts w:hint="eastAsia"/>
        </w:rPr>
        <w:t>部</w:t>
      </w:r>
      <w:r>
        <w:rPr>
          <w:rFonts w:hint="eastAsia"/>
        </w:rPr>
        <w:t>雖</w:t>
      </w:r>
      <w:r w:rsidRPr="00824817">
        <w:rPr>
          <w:rFonts w:hint="eastAsia"/>
        </w:rPr>
        <w:t>已輔導</w:t>
      </w:r>
      <w:bookmarkEnd w:id="8"/>
      <w:r w:rsidRPr="00505428">
        <w:rPr>
          <w:rFonts w:hint="eastAsia"/>
        </w:rPr>
        <w:t>2家業者2車型完成10項國產化項目</w:t>
      </w:r>
      <w:r>
        <w:rPr>
          <w:rFonts w:hAnsi="標楷體" w:hint="eastAsia"/>
        </w:rPr>
        <w:t>，惟其</w:t>
      </w:r>
      <w:r w:rsidRPr="004D21A6">
        <w:rPr>
          <w:rFonts w:hAnsi="標楷體" w:hint="eastAsia"/>
        </w:rPr>
        <w:t>產能</w:t>
      </w:r>
      <w:r>
        <w:rPr>
          <w:rFonts w:hAnsi="標楷體" w:hint="eastAsia"/>
        </w:rPr>
        <w:t>尚不足因應市場需求</w:t>
      </w:r>
      <w:r w:rsidRPr="00505428">
        <w:rPr>
          <w:rFonts w:hAnsi="標楷體" w:hint="eastAsia"/>
        </w:rPr>
        <w:t>；</w:t>
      </w:r>
      <w:r>
        <w:rPr>
          <w:rFonts w:hAnsi="標楷體" w:hint="eastAsia"/>
        </w:rPr>
        <w:t>另</w:t>
      </w:r>
      <w:r w:rsidRPr="00505428">
        <w:rPr>
          <w:rFonts w:hAnsi="標楷體" w:hint="eastAsia"/>
        </w:rPr>
        <w:t>公</w:t>
      </w:r>
      <w:r>
        <w:rPr>
          <w:rFonts w:hAnsi="標楷體" w:hint="eastAsia"/>
        </w:rPr>
        <w:t>路局</w:t>
      </w:r>
      <w:bookmarkStart w:id="9" w:name="_Hlk175839841"/>
      <w:r w:rsidRPr="008A4DA9">
        <w:rPr>
          <w:rFonts w:hint="eastAsia"/>
        </w:rPr>
        <w:t>核定補助汽車客運業者購置電動大客車</w:t>
      </w:r>
      <w:r>
        <w:rPr>
          <w:rFonts w:hint="eastAsia"/>
        </w:rPr>
        <w:t>相關經費累計</w:t>
      </w:r>
      <w:r w:rsidRPr="0012231E">
        <w:t>9</w:t>
      </w:r>
      <w:r w:rsidRPr="0012231E">
        <w:rPr>
          <w:rFonts w:hint="eastAsia"/>
        </w:rPr>
        <w:t>2</w:t>
      </w:r>
      <w:r w:rsidRPr="0012231E">
        <w:rPr>
          <w:rFonts w:hint="eastAsia"/>
          <w:snapToGrid/>
        </w:rPr>
        <w:t>億</w:t>
      </w:r>
      <w:r w:rsidRPr="0012231E">
        <w:rPr>
          <w:rFonts w:hint="eastAsia"/>
        </w:rPr>
        <w:t>7</w:t>
      </w:r>
      <w:r w:rsidRPr="0012231E">
        <w:t>,</w:t>
      </w:r>
      <w:r w:rsidRPr="0012231E">
        <w:rPr>
          <w:rFonts w:hint="eastAsia"/>
        </w:rPr>
        <w:t>86</w:t>
      </w:r>
      <w:r w:rsidRPr="0012231E">
        <w:t>6萬6千元</w:t>
      </w:r>
      <w:r w:rsidRPr="0012231E">
        <w:rPr>
          <w:rFonts w:hAnsi="標楷體" w:hint="eastAsia"/>
        </w:rPr>
        <w:t>，共計</w:t>
      </w:r>
      <w:r w:rsidRPr="0012231E">
        <w:rPr>
          <w:rFonts w:hint="eastAsia"/>
        </w:rPr>
        <w:t>1,933</w:t>
      </w:r>
      <w:r w:rsidRPr="008A4DA9">
        <w:rPr>
          <w:rFonts w:hint="eastAsia"/>
        </w:rPr>
        <w:t>輛</w:t>
      </w:r>
      <w:bookmarkEnd w:id="9"/>
      <w:r w:rsidRPr="002E395F">
        <w:rPr>
          <w:rFonts w:hint="eastAsia"/>
        </w:rPr>
        <w:t>(詳表</w:t>
      </w:r>
      <w:r>
        <w:rPr>
          <w:rFonts w:hint="eastAsia"/>
        </w:rPr>
        <w:t>2</w:t>
      </w:r>
      <w:r w:rsidRPr="002E395F">
        <w:rPr>
          <w:rFonts w:hint="eastAsia"/>
        </w:rPr>
        <w:t>)</w:t>
      </w:r>
      <w:r>
        <w:rPr>
          <w:rFonts w:hAnsi="標楷體" w:hint="eastAsia"/>
        </w:rPr>
        <w:t>，惟</w:t>
      </w:r>
      <w:r w:rsidRPr="00732B54">
        <w:rPr>
          <w:rFonts w:hAnsi="標楷體" w:hint="eastAsia"/>
        </w:rPr>
        <w:t>與</w:t>
      </w:r>
      <w:r>
        <w:rPr>
          <w:rFonts w:hAnsi="標楷體" w:hint="eastAsia"/>
        </w:rPr>
        <w:t>119年</w:t>
      </w:r>
      <w:r w:rsidRPr="00732B54">
        <w:rPr>
          <w:rFonts w:hAnsi="標楷體" w:hint="eastAsia"/>
        </w:rPr>
        <w:t>1萬</w:t>
      </w:r>
      <w:r>
        <w:rPr>
          <w:rFonts w:hAnsi="標楷體" w:hint="eastAsia"/>
        </w:rPr>
        <w:t>多</w:t>
      </w:r>
      <w:r w:rsidRPr="00732B54">
        <w:rPr>
          <w:rFonts w:hAnsi="標楷體" w:hint="eastAsia"/>
        </w:rPr>
        <w:t>輛</w:t>
      </w:r>
      <w:r>
        <w:rPr>
          <w:rStyle w:val="af5"/>
          <w:rFonts w:hAnsi="標楷體"/>
        </w:rPr>
        <w:footnoteReference w:id="1"/>
      </w:r>
      <w:r>
        <w:rPr>
          <w:rFonts w:hAnsi="標楷體" w:hint="eastAsia"/>
        </w:rPr>
        <w:t>之</w:t>
      </w:r>
      <w:r w:rsidRPr="00732B54">
        <w:rPr>
          <w:rFonts w:hAnsi="標楷體" w:hint="eastAsia"/>
        </w:rPr>
        <w:t>目標</w:t>
      </w:r>
      <w:r>
        <w:rPr>
          <w:rFonts w:hAnsi="標楷體" w:hint="eastAsia"/>
        </w:rPr>
        <w:t>值相距</w:t>
      </w:r>
      <w:r w:rsidRPr="00732B54">
        <w:rPr>
          <w:rFonts w:hAnsi="標楷體" w:hint="eastAsia"/>
        </w:rPr>
        <w:t>甚遠</w:t>
      </w:r>
      <w:r>
        <w:rPr>
          <w:rFonts w:hAnsi="標楷體" w:hint="eastAsia"/>
        </w:rPr>
        <w:t>，且</w:t>
      </w:r>
      <w:r w:rsidRPr="00366754">
        <w:rPr>
          <w:rFonts w:hAnsi="標楷體" w:hint="eastAsia"/>
        </w:rPr>
        <w:t>多數市縣電動公車比率仍未及</w:t>
      </w:r>
      <w:r>
        <w:rPr>
          <w:rFonts w:hAnsi="標楷體" w:hint="eastAsia"/>
        </w:rPr>
        <w:t>2</w:t>
      </w:r>
      <w:r w:rsidRPr="00366754">
        <w:rPr>
          <w:rFonts w:hAnsi="標楷體" w:hint="eastAsia"/>
        </w:rPr>
        <w:t>成</w:t>
      </w:r>
      <w:r>
        <w:rPr>
          <w:rFonts w:hAnsi="標楷體" w:hint="eastAsia"/>
        </w:rPr>
        <w:t>，甚有為0%</w:t>
      </w:r>
      <w:r w:rsidRPr="00824817">
        <w:rPr>
          <w:rFonts w:hint="eastAsia"/>
        </w:rPr>
        <w:t>(詳表</w:t>
      </w:r>
      <w:r>
        <w:rPr>
          <w:rFonts w:hint="eastAsia"/>
        </w:rPr>
        <w:t>3</w:t>
      </w:r>
      <w:r w:rsidRPr="00824817">
        <w:rPr>
          <w:rFonts w:hint="eastAsia"/>
        </w:rPr>
        <w:t>)</w:t>
      </w:r>
      <w:r>
        <w:rPr>
          <w:rFonts w:hAnsi="標楷體" w:hint="eastAsia"/>
        </w:rPr>
        <w:t>；又環境部依</w:t>
      </w:r>
      <w:r w:rsidRPr="00BD11A8">
        <w:rPr>
          <w:rFonts w:hAnsi="標楷體" w:hint="eastAsia"/>
        </w:rPr>
        <w:t>「環境部補助電動大客車營運作業要點」，112年以後向</w:t>
      </w:r>
      <w:r>
        <w:rPr>
          <w:rFonts w:hAnsi="標楷體" w:hint="eastAsia"/>
        </w:rPr>
        <w:t>公路局</w:t>
      </w:r>
      <w:r w:rsidRPr="00BD11A8">
        <w:rPr>
          <w:rFonts w:hAnsi="標楷體" w:hint="eastAsia"/>
        </w:rPr>
        <w:t>申請之案件，營運後1年</w:t>
      </w:r>
      <w:r>
        <w:rPr>
          <w:rFonts w:hAnsi="標楷體" w:hint="eastAsia"/>
        </w:rPr>
        <w:t>始</w:t>
      </w:r>
      <w:r w:rsidRPr="00BD11A8">
        <w:rPr>
          <w:rFonts w:hAnsi="標楷體" w:hint="eastAsia"/>
        </w:rPr>
        <w:t>依營運里程及人次</w:t>
      </w:r>
      <w:r>
        <w:rPr>
          <w:rFonts w:hAnsi="標楷體" w:hint="eastAsia"/>
        </w:rPr>
        <w:t>提出</w:t>
      </w:r>
      <w:r w:rsidRPr="00BD11A8">
        <w:rPr>
          <w:rFonts w:hAnsi="標楷體" w:hint="eastAsia"/>
        </w:rPr>
        <w:t>申請營運補助</w:t>
      </w:r>
      <w:r>
        <w:rPr>
          <w:rFonts w:hAnsi="標楷體" w:hint="eastAsia"/>
        </w:rPr>
        <w:t>，故</w:t>
      </w:r>
      <w:r w:rsidRPr="00994C49">
        <w:rPr>
          <w:rFonts w:hAnsi="標楷體" w:hint="eastAsia"/>
        </w:rPr>
        <w:t>截至112年底尚無車輛符合申請資格。</w:t>
      </w:r>
      <w:r>
        <w:rPr>
          <w:rFonts w:hAnsi="標楷體" w:hint="eastAsia"/>
        </w:rPr>
        <w:t>綜觀</w:t>
      </w:r>
      <w:r w:rsidRPr="00B54C6E">
        <w:rPr>
          <w:rFonts w:hAnsi="標楷體" w:hint="eastAsia"/>
        </w:rPr>
        <w:t>過</w:t>
      </w:r>
      <w:r>
        <w:rPr>
          <w:rFonts w:hAnsi="標楷體" w:hint="eastAsia"/>
        </w:rPr>
        <w:t>往</w:t>
      </w:r>
      <w:r w:rsidRPr="00B54C6E">
        <w:rPr>
          <w:rFonts w:hAnsi="標楷體" w:hint="eastAsia"/>
        </w:rPr>
        <w:t>推動</w:t>
      </w:r>
      <w:r w:rsidRPr="00824817">
        <w:rPr>
          <w:rFonts w:hint="eastAsia"/>
        </w:rPr>
        <w:t>成效未如預期</w:t>
      </w:r>
      <w:r>
        <w:rPr>
          <w:rFonts w:hAnsi="標楷體" w:hint="eastAsia"/>
        </w:rPr>
        <w:t>，究其原因，主要</w:t>
      </w:r>
      <w:r w:rsidRPr="00B54C6E">
        <w:rPr>
          <w:rFonts w:hAnsi="標楷體" w:hint="eastAsia"/>
        </w:rPr>
        <w:t>受限於車輛</w:t>
      </w:r>
      <w:r>
        <w:rPr>
          <w:rFonts w:hAnsi="標楷體" w:hint="eastAsia"/>
        </w:rPr>
        <w:t>及</w:t>
      </w:r>
      <w:r w:rsidRPr="00B54C6E">
        <w:rPr>
          <w:rFonts w:hAnsi="標楷體" w:hint="eastAsia"/>
        </w:rPr>
        <w:t>電池性能、</w:t>
      </w:r>
      <w:r w:rsidRPr="0054550C">
        <w:rPr>
          <w:rFonts w:hAnsi="標楷體" w:hint="eastAsia"/>
        </w:rPr>
        <w:t>充電介面、儲能設施</w:t>
      </w:r>
      <w:r w:rsidRPr="00B54C6E">
        <w:rPr>
          <w:rFonts w:hAnsi="標楷體" w:hint="eastAsia"/>
        </w:rPr>
        <w:t>及後勤維運成本高等</w:t>
      </w:r>
      <w:r>
        <w:rPr>
          <w:rFonts w:hAnsi="標楷體" w:hint="eastAsia"/>
        </w:rPr>
        <w:t>，</w:t>
      </w:r>
      <w:r w:rsidRPr="00366754">
        <w:rPr>
          <w:rFonts w:hAnsi="標楷體" w:hint="eastAsia"/>
        </w:rPr>
        <w:t>允宜研謀</w:t>
      </w:r>
      <w:r>
        <w:rPr>
          <w:rFonts w:hAnsi="標楷體" w:hint="eastAsia"/>
        </w:rPr>
        <w:t>策進措施。</w:t>
      </w:r>
    </w:p>
    <w:bookmarkEnd w:id="7"/>
    <w:p w:rsidR="009C53C7" w:rsidRDefault="009C53C7" w:rsidP="00640605">
      <w:pPr>
        <w:pStyle w:val="200"/>
      </w:pPr>
      <w:r w:rsidRPr="00D420BE">
        <w:rPr>
          <w:rFonts w:hint="eastAsia"/>
          <w:b/>
          <w:bCs/>
          <w:sz w:val="28"/>
        </w:rPr>
        <w:t>表</w:t>
      </w:r>
      <w:r>
        <w:rPr>
          <w:rFonts w:hint="eastAsia"/>
          <w:b/>
          <w:bCs/>
          <w:sz w:val="28"/>
        </w:rPr>
        <w:t>3</w:t>
      </w:r>
      <w:r w:rsidRPr="00D420BE">
        <w:rPr>
          <w:rFonts w:hint="eastAsia"/>
          <w:b/>
          <w:bCs/>
          <w:sz w:val="28"/>
        </w:rPr>
        <w:t xml:space="preserve">　</w:t>
      </w:r>
      <w:bookmarkStart w:id="10" w:name="_Hlk161672634"/>
      <w:r w:rsidRPr="00D420BE">
        <w:rPr>
          <w:rFonts w:hint="eastAsia"/>
          <w:b/>
          <w:bCs/>
          <w:sz w:val="28"/>
        </w:rPr>
        <w:t>99至11</w:t>
      </w:r>
      <w:r>
        <w:rPr>
          <w:b/>
          <w:bCs/>
          <w:sz w:val="28"/>
        </w:rPr>
        <w:t>2</w:t>
      </w:r>
      <w:r w:rsidRPr="00D420BE">
        <w:rPr>
          <w:rFonts w:hint="eastAsia"/>
          <w:b/>
          <w:bCs/>
          <w:sz w:val="28"/>
        </w:rPr>
        <w:t>年底</w:t>
      </w:r>
      <w:r>
        <w:rPr>
          <w:rFonts w:hint="eastAsia"/>
          <w:b/>
          <w:bCs/>
          <w:sz w:val="28"/>
        </w:rPr>
        <w:t>止</w:t>
      </w:r>
      <w:r w:rsidRPr="00D420BE">
        <w:rPr>
          <w:rFonts w:hint="eastAsia"/>
          <w:b/>
          <w:bCs/>
          <w:sz w:val="28"/>
        </w:rPr>
        <w:t>公路及市區汽車客運電動大客車</w:t>
      </w:r>
      <w:bookmarkEnd w:id="10"/>
      <w:r w:rsidRPr="00D420BE">
        <w:rPr>
          <w:rFonts w:hint="eastAsia"/>
          <w:b/>
          <w:bCs/>
          <w:sz w:val="28"/>
        </w:rPr>
        <w:t>占比</w:t>
      </w:r>
      <w:r>
        <w:rPr>
          <w:rFonts w:hint="eastAsia"/>
          <w:b/>
          <w:bCs/>
          <w:sz w:val="28"/>
        </w:rPr>
        <w:t>表</w:t>
      </w:r>
      <w:r w:rsidRPr="00E97CA6">
        <w:rPr>
          <w:rFonts w:hint="eastAsia"/>
        </w:rPr>
        <w:t>單位：輛</w:t>
      </w:r>
    </w:p>
    <w:tbl>
      <w:tblPr>
        <w:tblW w:w="8519" w:type="dxa"/>
        <w:tblInd w:w="9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414"/>
        <w:gridCol w:w="7"/>
        <w:gridCol w:w="1421"/>
        <w:gridCol w:w="2855"/>
        <w:gridCol w:w="2822"/>
      </w:tblGrid>
      <w:tr w:rsidR="009C53C7" w:rsidRPr="00B772C4" w:rsidTr="00640605">
        <w:trPr>
          <w:trHeight w:val="53"/>
        </w:trPr>
        <w:tc>
          <w:tcPr>
            <w:tcW w:w="8519" w:type="dxa"/>
            <w:gridSpan w:val="5"/>
            <w:tcBorders>
              <w:top w:val="single" w:sz="12" w:space="0" w:color="auto"/>
              <w:bottom w:val="doub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b/>
                <w:sz w:val="24"/>
                <w:szCs w:val="24"/>
              </w:rPr>
            </w:pPr>
            <w:bookmarkStart w:id="11" w:name="_Hlk170920437"/>
            <w:r w:rsidRPr="00B772C4">
              <w:rPr>
                <w:rFonts w:hAnsi="標楷體" w:hint="eastAsia"/>
                <w:b/>
                <w:sz w:val="24"/>
                <w:szCs w:val="24"/>
              </w:rPr>
              <w:t>公路汽車客運</w:t>
            </w:r>
          </w:p>
        </w:tc>
      </w:tr>
      <w:tr w:rsidR="009C53C7" w:rsidRPr="00B772C4" w:rsidTr="00640605">
        <w:trPr>
          <w:trHeight w:val="141"/>
        </w:trPr>
        <w:tc>
          <w:tcPr>
            <w:tcW w:w="2842" w:type="dxa"/>
            <w:gridSpan w:val="3"/>
            <w:tcBorders>
              <w:top w:val="double" w:sz="4"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總車輛數</w:t>
            </w:r>
          </w:p>
        </w:tc>
        <w:tc>
          <w:tcPr>
            <w:tcW w:w="2855" w:type="dxa"/>
            <w:tcBorders>
              <w:top w:val="double" w:sz="4" w:space="0" w:color="auto"/>
              <w:left w:val="single" w:sz="4" w:space="0" w:color="auto"/>
              <w:bottom w:val="single" w:sz="4" w:space="0" w:color="auto"/>
            </w:tcBorders>
            <w:shd w:val="clear" w:color="auto" w:fill="auto"/>
            <w:vAlign w:val="center"/>
          </w:tcPr>
          <w:p w:rsidR="009C53C7"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截至112年底止</w:t>
            </w:r>
          </w:p>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電動大客車輛數</w:t>
            </w:r>
          </w:p>
        </w:tc>
        <w:tc>
          <w:tcPr>
            <w:tcW w:w="2822" w:type="dxa"/>
            <w:tcBorders>
              <w:top w:val="double" w:sz="4" w:space="0" w:color="auto"/>
              <w:left w:val="single" w:sz="4" w:space="0" w:color="auto"/>
              <w:bottom w:val="single" w:sz="4" w:space="0" w:color="auto"/>
            </w:tcBorders>
            <w:shd w:val="clear" w:color="auto" w:fill="auto"/>
            <w:vAlign w:val="center"/>
          </w:tcPr>
          <w:p w:rsidR="009C53C7"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截至112年底止</w:t>
            </w:r>
          </w:p>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電動大客車輛占比</w:t>
            </w:r>
          </w:p>
        </w:tc>
      </w:tr>
      <w:tr w:rsidR="009C53C7" w:rsidRPr="00B772C4" w:rsidTr="00640605">
        <w:trPr>
          <w:trHeight w:val="53"/>
        </w:trPr>
        <w:tc>
          <w:tcPr>
            <w:tcW w:w="2842" w:type="dxa"/>
            <w:gridSpan w:val="3"/>
            <w:tcBorders>
              <w:top w:val="single" w:sz="2" w:space="0" w:color="auto"/>
              <w:bottom w:val="double" w:sz="4"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b/>
                <w:bCs/>
                <w:sz w:val="24"/>
                <w:szCs w:val="24"/>
              </w:rPr>
            </w:pPr>
            <w:r w:rsidRPr="00B772C4">
              <w:rPr>
                <w:rFonts w:hAnsi="標楷體" w:hint="eastAsia"/>
                <w:b/>
                <w:bCs/>
                <w:sz w:val="24"/>
                <w:szCs w:val="24"/>
              </w:rPr>
              <w:t>4</w:t>
            </w:r>
            <w:r w:rsidRPr="00B772C4">
              <w:rPr>
                <w:rFonts w:hAnsi="標楷體"/>
                <w:b/>
                <w:bCs/>
                <w:sz w:val="24"/>
                <w:szCs w:val="24"/>
              </w:rPr>
              <w:t>,</w:t>
            </w:r>
            <w:r w:rsidRPr="00B772C4">
              <w:rPr>
                <w:rFonts w:hAnsi="標楷體" w:hint="eastAsia"/>
                <w:b/>
                <w:bCs/>
                <w:sz w:val="24"/>
                <w:szCs w:val="24"/>
              </w:rPr>
              <w:t>184</w:t>
            </w:r>
          </w:p>
        </w:tc>
        <w:tc>
          <w:tcPr>
            <w:tcW w:w="2855" w:type="dxa"/>
            <w:tcBorders>
              <w:top w:val="single" w:sz="2" w:space="0" w:color="auto"/>
              <w:left w:val="single" w:sz="4" w:space="0" w:color="auto"/>
              <w:bottom w:val="doub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b/>
                <w:bCs/>
                <w:sz w:val="24"/>
                <w:szCs w:val="24"/>
              </w:rPr>
            </w:pPr>
            <w:r w:rsidRPr="00B772C4">
              <w:rPr>
                <w:rFonts w:hAnsi="標楷體" w:hint="eastAsia"/>
                <w:b/>
                <w:bCs/>
                <w:sz w:val="24"/>
                <w:szCs w:val="24"/>
              </w:rPr>
              <w:t>29</w:t>
            </w:r>
          </w:p>
        </w:tc>
        <w:tc>
          <w:tcPr>
            <w:tcW w:w="2822" w:type="dxa"/>
            <w:tcBorders>
              <w:top w:val="single" w:sz="4" w:space="0" w:color="auto"/>
              <w:left w:val="single" w:sz="4" w:space="0" w:color="auto"/>
              <w:bottom w:val="single" w:sz="4" w:space="0" w:color="auto"/>
              <w:right w:val="single" w:sz="1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b/>
                <w:bCs/>
                <w:sz w:val="24"/>
                <w:szCs w:val="24"/>
              </w:rPr>
            </w:pPr>
            <w:r w:rsidRPr="00B772C4">
              <w:rPr>
                <w:rFonts w:hAnsi="標楷體" w:hint="eastAsia"/>
                <w:b/>
                <w:bCs/>
                <w:sz w:val="24"/>
                <w:szCs w:val="24"/>
              </w:rPr>
              <w:t>0.69%</w:t>
            </w:r>
          </w:p>
        </w:tc>
      </w:tr>
      <w:tr w:rsidR="009C53C7" w:rsidRPr="00B772C4" w:rsidTr="00640605">
        <w:trPr>
          <w:trHeight w:val="53"/>
        </w:trPr>
        <w:tc>
          <w:tcPr>
            <w:tcW w:w="8519" w:type="dxa"/>
            <w:gridSpan w:val="5"/>
            <w:tcBorders>
              <w:top w:val="double" w:sz="4" w:space="0" w:color="auto"/>
              <w:bottom w:val="doub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b/>
                <w:sz w:val="24"/>
                <w:szCs w:val="24"/>
              </w:rPr>
            </w:pPr>
            <w:r w:rsidRPr="00B772C4">
              <w:rPr>
                <w:rFonts w:hAnsi="標楷體" w:hint="eastAsia"/>
                <w:b/>
                <w:sz w:val="24"/>
                <w:szCs w:val="24"/>
              </w:rPr>
              <w:t>市區汽車客運(市縣別)</w:t>
            </w:r>
          </w:p>
        </w:tc>
      </w:tr>
      <w:tr w:rsidR="009C53C7" w:rsidRPr="00B772C4" w:rsidTr="00640605">
        <w:trPr>
          <w:trHeight w:val="53"/>
        </w:trPr>
        <w:tc>
          <w:tcPr>
            <w:tcW w:w="1421" w:type="dxa"/>
            <w:gridSpan w:val="2"/>
            <w:tcBorders>
              <w:top w:val="doub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b/>
                <w:sz w:val="24"/>
                <w:szCs w:val="24"/>
              </w:rPr>
            </w:pPr>
            <w:r w:rsidRPr="00B772C4">
              <w:rPr>
                <w:rFonts w:hAnsi="標楷體" w:hint="eastAsia"/>
                <w:sz w:val="24"/>
                <w:szCs w:val="24"/>
              </w:rPr>
              <w:t>市縣別</w:t>
            </w:r>
          </w:p>
        </w:tc>
        <w:tc>
          <w:tcPr>
            <w:tcW w:w="1421" w:type="dxa"/>
            <w:tcBorders>
              <w:top w:val="doub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b/>
                <w:sz w:val="24"/>
                <w:szCs w:val="24"/>
              </w:rPr>
            </w:pPr>
            <w:r w:rsidRPr="00B772C4">
              <w:rPr>
                <w:rFonts w:hAnsi="標楷體" w:hint="eastAsia"/>
                <w:sz w:val="24"/>
                <w:szCs w:val="24"/>
              </w:rPr>
              <w:t>總車輛數</w:t>
            </w:r>
          </w:p>
        </w:tc>
        <w:tc>
          <w:tcPr>
            <w:tcW w:w="2855" w:type="dxa"/>
            <w:tcBorders>
              <w:top w:val="double" w:sz="4" w:space="0" w:color="auto"/>
              <w:left w:val="single" w:sz="4" w:space="0" w:color="auto"/>
              <w:bottom w:val="single" w:sz="4" w:space="0" w:color="auto"/>
            </w:tcBorders>
            <w:shd w:val="clear" w:color="auto" w:fill="auto"/>
            <w:vAlign w:val="center"/>
          </w:tcPr>
          <w:p w:rsidR="009C53C7"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截至112年底止</w:t>
            </w:r>
          </w:p>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b/>
                <w:sz w:val="24"/>
                <w:szCs w:val="24"/>
              </w:rPr>
            </w:pPr>
            <w:r w:rsidRPr="00B772C4">
              <w:rPr>
                <w:rFonts w:hAnsi="標楷體" w:hint="eastAsia"/>
                <w:sz w:val="24"/>
                <w:szCs w:val="24"/>
              </w:rPr>
              <w:t>電動大客車輛數</w:t>
            </w:r>
          </w:p>
        </w:tc>
        <w:tc>
          <w:tcPr>
            <w:tcW w:w="2822" w:type="dxa"/>
            <w:tcBorders>
              <w:top w:val="double" w:sz="4" w:space="0" w:color="auto"/>
              <w:left w:val="single" w:sz="4" w:space="0" w:color="auto"/>
              <w:bottom w:val="single" w:sz="4" w:space="0" w:color="auto"/>
            </w:tcBorders>
            <w:shd w:val="clear" w:color="auto" w:fill="auto"/>
            <w:vAlign w:val="center"/>
          </w:tcPr>
          <w:p w:rsidR="009C53C7"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截至112年底止</w:t>
            </w:r>
          </w:p>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b/>
                <w:sz w:val="24"/>
                <w:szCs w:val="24"/>
              </w:rPr>
            </w:pPr>
            <w:r w:rsidRPr="00B772C4">
              <w:rPr>
                <w:rFonts w:hAnsi="標楷體" w:hint="eastAsia"/>
                <w:sz w:val="24"/>
                <w:szCs w:val="24"/>
              </w:rPr>
              <w:t>電動大客車輛占比</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臺北市</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3</w:t>
            </w:r>
            <w:r w:rsidRPr="00B772C4">
              <w:rPr>
                <w:rFonts w:hAnsi="標楷體"/>
                <w:sz w:val="24"/>
                <w:szCs w:val="24"/>
              </w:rPr>
              <w:t>,</w:t>
            </w:r>
            <w:r w:rsidRPr="00B772C4">
              <w:rPr>
                <w:rFonts w:hAnsi="標楷體" w:hint="eastAsia"/>
                <w:sz w:val="24"/>
                <w:szCs w:val="24"/>
              </w:rPr>
              <w:t>396</w:t>
            </w:r>
          </w:p>
        </w:tc>
        <w:tc>
          <w:tcPr>
            <w:tcW w:w="2855" w:type="dxa"/>
            <w:tcBorders>
              <w:top w:val="single" w:sz="2" w:space="0" w:color="auto"/>
              <w:left w:val="single" w:sz="4"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sz w:val="24"/>
                <w:szCs w:val="24"/>
              </w:rPr>
              <w:t>635</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18.70%</w:t>
            </w:r>
          </w:p>
        </w:tc>
      </w:tr>
      <w:tr w:rsidR="009C53C7" w:rsidRPr="00B772C4" w:rsidTr="00640605">
        <w:trPr>
          <w:trHeight w:val="53"/>
        </w:trPr>
        <w:tc>
          <w:tcPr>
            <w:tcW w:w="1414" w:type="dxa"/>
            <w:tcBorders>
              <w:top w:val="single" w:sz="2" w:space="0" w:color="auto"/>
              <w:bottom w:val="single" w:sz="4" w:space="0" w:color="auto"/>
              <w:right w:val="single" w:sz="4"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新北市</w:t>
            </w:r>
          </w:p>
        </w:tc>
        <w:tc>
          <w:tcPr>
            <w:tcW w:w="1428" w:type="dxa"/>
            <w:gridSpan w:val="2"/>
            <w:tcBorders>
              <w:top w:val="single" w:sz="2" w:space="0" w:color="auto"/>
              <w:left w:val="single" w:sz="4" w:space="0" w:color="auto"/>
              <w:bottom w:val="single" w:sz="4"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2,473</w:t>
            </w:r>
          </w:p>
        </w:tc>
        <w:tc>
          <w:tcPr>
            <w:tcW w:w="2855" w:type="dxa"/>
            <w:tcBorders>
              <w:top w:val="single" w:sz="2" w:space="0" w:color="auto"/>
              <w:left w:val="single" w:sz="4" w:space="0" w:color="auto"/>
              <w:bottom w:val="single" w:sz="4" w:space="0" w:color="auto"/>
              <w:right w:val="single" w:sz="4"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sz w:val="24"/>
                <w:szCs w:val="24"/>
              </w:rPr>
              <w:t>244</w:t>
            </w:r>
          </w:p>
        </w:tc>
        <w:tc>
          <w:tcPr>
            <w:tcW w:w="2822" w:type="dxa"/>
            <w:tcBorders>
              <w:top w:val="single" w:sz="2" w:space="0" w:color="auto"/>
              <w:left w:val="single" w:sz="4" w:space="0" w:color="auto"/>
              <w:bottom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9.87%</w:t>
            </w:r>
          </w:p>
        </w:tc>
      </w:tr>
      <w:tr w:rsidR="009C53C7" w:rsidRPr="00B772C4" w:rsidTr="00640605">
        <w:trPr>
          <w:trHeight w:val="53"/>
        </w:trPr>
        <w:tc>
          <w:tcPr>
            <w:tcW w:w="1414" w:type="dxa"/>
            <w:tcBorders>
              <w:top w:val="single" w:sz="4" w:space="0" w:color="auto"/>
              <w:bottom w:val="single" w:sz="4" w:space="0" w:color="auto"/>
              <w:right w:val="single" w:sz="4"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桃園市</w:t>
            </w:r>
          </w:p>
        </w:tc>
        <w:tc>
          <w:tcPr>
            <w:tcW w:w="14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748</w:t>
            </w:r>
          </w:p>
        </w:tc>
        <w:tc>
          <w:tcPr>
            <w:tcW w:w="2855" w:type="dxa"/>
            <w:tcBorders>
              <w:top w:val="single" w:sz="4" w:space="0" w:color="auto"/>
              <w:left w:val="single" w:sz="4" w:space="0" w:color="auto"/>
              <w:bottom w:val="single" w:sz="4" w:space="0" w:color="auto"/>
              <w:right w:val="single" w:sz="4"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sz w:val="24"/>
                <w:szCs w:val="24"/>
              </w:rPr>
              <w:t>44</w:t>
            </w:r>
          </w:p>
        </w:tc>
        <w:tc>
          <w:tcPr>
            <w:tcW w:w="2822" w:type="dxa"/>
            <w:tcBorders>
              <w:top w:val="single" w:sz="4" w:space="0" w:color="auto"/>
              <w:left w:val="single" w:sz="4" w:space="0" w:color="auto"/>
              <w:bottom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sz w:val="24"/>
                <w:szCs w:val="24"/>
              </w:rPr>
              <w:t>5.88%</w:t>
            </w:r>
          </w:p>
        </w:tc>
      </w:tr>
      <w:tr w:rsidR="009C53C7" w:rsidRPr="00B772C4" w:rsidTr="00640605">
        <w:trPr>
          <w:trHeight w:val="53"/>
        </w:trPr>
        <w:tc>
          <w:tcPr>
            <w:tcW w:w="1414" w:type="dxa"/>
            <w:tcBorders>
              <w:top w:val="single" w:sz="4"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臺中市</w:t>
            </w:r>
          </w:p>
        </w:tc>
        <w:tc>
          <w:tcPr>
            <w:tcW w:w="1428" w:type="dxa"/>
            <w:gridSpan w:val="2"/>
            <w:tcBorders>
              <w:top w:val="single" w:sz="4"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1,420</w:t>
            </w:r>
          </w:p>
        </w:tc>
        <w:tc>
          <w:tcPr>
            <w:tcW w:w="2855" w:type="dxa"/>
            <w:tcBorders>
              <w:top w:val="single" w:sz="4" w:space="0" w:color="auto"/>
              <w:left w:val="single" w:sz="4"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sz w:val="24"/>
                <w:szCs w:val="24"/>
              </w:rPr>
              <w:t>371</w:t>
            </w:r>
          </w:p>
        </w:tc>
        <w:tc>
          <w:tcPr>
            <w:tcW w:w="2822" w:type="dxa"/>
            <w:tcBorders>
              <w:top w:val="single" w:sz="4"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sz w:val="24"/>
                <w:szCs w:val="24"/>
              </w:rPr>
              <w:t>26.13%</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臺南市</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486</w:t>
            </w:r>
          </w:p>
        </w:tc>
        <w:tc>
          <w:tcPr>
            <w:tcW w:w="2855" w:type="dxa"/>
            <w:tcBorders>
              <w:top w:val="single" w:sz="2" w:space="0" w:color="auto"/>
              <w:left w:val="single" w:sz="4"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sz w:val="24"/>
                <w:szCs w:val="24"/>
              </w:rPr>
              <w:t>90</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18.52%</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高雄市</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948</w:t>
            </w:r>
          </w:p>
        </w:tc>
        <w:tc>
          <w:tcPr>
            <w:tcW w:w="2855" w:type="dxa"/>
            <w:tcBorders>
              <w:top w:val="single" w:sz="2" w:space="0" w:color="auto"/>
              <w:left w:val="single" w:sz="4"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sz w:val="24"/>
                <w:szCs w:val="24"/>
              </w:rPr>
              <w:t>295</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31.12%</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基隆市</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163</w:t>
            </w:r>
          </w:p>
        </w:tc>
        <w:tc>
          <w:tcPr>
            <w:tcW w:w="2855"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0</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0.00%</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新竹市</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84</w:t>
            </w:r>
          </w:p>
        </w:tc>
        <w:tc>
          <w:tcPr>
            <w:tcW w:w="2855"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3</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3.57%</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新竹縣</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45</w:t>
            </w:r>
          </w:p>
        </w:tc>
        <w:tc>
          <w:tcPr>
            <w:tcW w:w="2855"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2</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4.44%</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苗栗縣</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13</w:t>
            </w:r>
          </w:p>
        </w:tc>
        <w:tc>
          <w:tcPr>
            <w:tcW w:w="2855"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0</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0.00%</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彰化縣</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45</w:t>
            </w:r>
          </w:p>
        </w:tc>
        <w:tc>
          <w:tcPr>
            <w:tcW w:w="2855"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11</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24.44%</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南投縣</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27</w:t>
            </w:r>
          </w:p>
        </w:tc>
        <w:tc>
          <w:tcPr>
            <w:tcW w:w="2855"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0</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0.00%</w:t>
            </w:r>
          </w:p>
        </w:tc>
      </w:tr>
      <w:tr w:rsidR="009C53C7" w:rsidRPr="00B772C4" w:rsidTr="00640605">
        <w:trPr>
          <w:trHeight w:val="53"/>
        </w:trPr>
        <w:tc>
          <w:tcPr>
            <w:tcW w:w="1414" w:type="dxa"/>
            <w:tcBorders>
              <w:top w:val="single" w:sz="2" w:space="0" w:color="auto"/>
              <w:bottom w:val="double" w:sz="4"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lastRenderedPageBreak/>
              <w:t>雲林縣</w:t>
            </w:r>
          </w:p>
        </w:tc>
        <w:tc>
          <w:tcPr>
            <w:tcW w:w="1428" w:type="dxa"/>
            <w:gridSpan w:val="2"/>
            <w:tcBorders>
              <w:top w:val="single" w:sz="2" w:space="0" w:color="auto"/>
              <w:bottom w:val="double" w:sz="4"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22</w:t>
            </w:r>
          </w:p>
        </w:tc>
        <w:tc>
          <w:tcPr>
            <w:tcW w:w="2855" w:type="dxa"/>
            <w:tcBorders>
              <w:top w:val="single" w:sz="2" w:space="0" w:color="auto"/>
              <w:left w:val="single" w:sz="4" w:space="0" w:color="auto"/>
              <w:bottom w:val="doub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sz w:val="24"/>
                <w:szCs w:val="24"/>
              </w:rPr>
              <w:t>11</w:t>
            </w:r>
          </w:p>
        </w:tc>
        <w:tc>
          <w:tcPr>
            <w:tcW w:w="2822" w:type="dxa"/>
            <w:tcBorders>
              <w:top w:val="single" w:sz="2" w:space="0" w:color="auto"/>
              <w:left w:val="single" w:sz="4" w:space="0" w:color="auto"/>
              <w:bottom w:val="doub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sz w:val="24"/>
                <w:szCs w:val="24"/>
              </w:rPr>
              <w:t>50.00%</w:t>
            </w:r>
          </w:p>
        </w:tc>
      </w:tr>
      <w:tr w:rsidR="009C53C7" w:rsidRPr="00B772C4" w:rsidTr="00640605">
        <w:trPr>
          <w:trHeight w:val="53"/>
        </w:trPr>
        <w:tc>
          <w:tcPr>
            <w:tcW w:w="8519" w:type="dxa"/>
            <w:gridSpan w:val="5"/>
            <w:tcBorders>
              <w:top w:val="double" w:sz="4"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b/>
                <w:sz w:val="24"/>
                <w:szCs w:val="24"/>
              </w:rPr>
              <w:t>市區汽車客運(市縣別)</w:t>
            </w:r>
          </w:p>
        </w:tc>
      </w:tr>
      <w:tr w:rsidR="009C53C7" w:rsidRPr="00B772C4" w:rsidTr="00640605">
        <w:trPr>
          <w:trHeight w:val="53"/>
        </w:trPr>
        <w:tc>
          <w:tcPr>
            <w:tcW w:w="1414" w:type="dxa"/>
            <w:tcBorders>
              <w:top w:val="doub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市縣別</w:t>
            </w:r>
          </w:p>
        </w:tc>
        <w:tc>
          <w:tcPr>
            <w:tcW w:w="1428" w:type="dxa"/>
            <w:gridSpan w:val="2"/>
            <w:tcBorders>
              <w:top w:val="doub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總車輛數</w:t>
            </w:r>
          </w:p>
        </w:tc>
        <w:tc>
          <w:tcPr>
            <w:tcW w:w="2855" w:type="dxa"/>
            <w:tcBorders>
              <w:top w:val="double" w:sz="4" w:space="0" w:color="auto"/>
              <w:left w:val="single" w:sz="4" w:space="0" w:color="auto"/>
              <w:bottom w:val="single" w:sz="4" w:space="0" w:color="auto"/>
            </w:tcBorders>
            <w:shd w:val="clear" w:color="auto" w:fill="auto"/>
            <w:vAlign w:val="center"/>
          </w:tcPr>
          <w:p w:rsidR="009C53C7"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截至112年底止</w:t>
            </w:r>
          </w:p>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電動大客車輛數</w:t>
            </w:r>
          </w:p>
        </w:tc>
        <w:tc>
          <w:tcPr>
            <w:tcW w:w="2822" w:type="dxa"/>
            <w:tcBorders>
              <w:top w:val="double" w:sz="4" w:space="0" w:color="auto"/>
              <w:left w:val="single" w:sz="4" w:space="0" w:color="auto"/>
              <w:bottom w:val="single" w:sz="4" w:space="0" w:color="auto"/>
            </w:tcBorders>
            <w:shd w:val="clear" w:color="auto" w:fill="auto"/>
            <w:vAlign w:val="center"/>
          </w:tcPr>
          <w:p w:rsidR="009C53C7"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截至112年底止</w:t>
            </w:r>
          </w:p>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電動大客車輛占比</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嘉義市</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30</w:t>
            </w:r>
          </w:p>
        </w:tc>
        <w:tc>
          <w:tcPr>
            <w:tcW w:w="2855"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22</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73.33%</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嘉義縣</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38</w:t>
            </w:r>
          </w:p>
        </w:tc>
        <w:tc>
          <w:tcPr>
            <w:tcW w:w="2855"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8</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21.05%</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屏東縣</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143</w:t>
            </w:r>
          </w:p>
        </w:tc>
        <w:tc>
          <w:tcPr>
            <w:tcW w:w="2855"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7</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4.90%</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宜蘭縣</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147</w:t>
            </w:r>
          </w:p>
        </w:tc>
        <w:tc>
          <w:tcPr>
            <w:tcW w:w="2855"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27</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18.37%</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花蓮縣</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63</w:t>
            </w:r>
          </w:p>
        </w:tc>
        <w:tc>
          <w:tcPr>
            <w:tcW w:w="2855"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16</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25.40%</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臺東縣</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32</w:t>
            </w:r>
          </w:p>
        </w:tc>
        <w:tc>
          <w:tcPr>
            <w:tcW w:w="2855"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3</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9.38%</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澎湖縣</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60</w:t>
            </w:r>
          </w:p>
        </w:tc>
        <w:tc>
          <w:tcPr>
            <w:tcW w:w="2855"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4</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6.67%</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金門縣</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80</w:t>
            </w:r>
          </w:p>
        </w:tc>
        <w:tc>
          <w:tcPr>
            <w:tcW w:w="2855"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9</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11.25%</w:t>
            </w:r>
          </w:p>
        </w:tc>
      </w:tr>
      <w:tr w:rsidR="009C53C7" w:rsidRPr="00B772C4" w:rsidTr="00640605">
        <w:trPr>
          <w:trHeight w:val="53"/>
        </w:trPr>
        <w:tc>
          <w:tcPr>
            <w:tcW w:w="1414" w:type="dxa"/>
            <w:tcBorders>
              <w:top w:val="single" w:sz="2" w:space="0" w:color="auto"/>
              <w:bottom w:val="single" w:sz="2" w:space="0" w:color="auto"/>
            </w:tcBorders>
            <w:shd w:val="clear" w:color="auto" w:fill="auto"/>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連江縣</w:t>
            </w:r>
          </w:p>
        </w:tc>
        <w:tc>
          <w:tcPr>
            <w:tcW w:w="1428" w:type="dxa"/>
            <w:gridSpan w:val="2"/>
            <w:tcBorders>
              <w:top w:val="single" w:sz="2" w:space="0" w:color="auto"/>
              <w:bottom w:val="single" w:sz="2"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36</w:t>
            </w:r>
          </w:p>
        </w:tc>
        <w:tc>
          <w:tcPr>
            <w:tcW w:w="2855"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0</w:t>
            </w:r>
          </w:p>
        </w:tc>
        <w:tc>
          <w:tcPr>
            <w:tcW w:w="2822" w:type="dxa"/>
            <w:tcBorders>
              <w:top w:val="single" w:sz="2" w:space="0" w:color="auto"/>
              <w:left w:val="single" w:sz="4" w:space="0" w:color="auto"/>
              <w:bottom w:val="single" w:sz="2"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sz w:val="24"/>
                <w:szCs w:val="24"/>
              </w:rPr>
            </w:pPr>
            <w:r w:rsidRPr="00B772C4">
              <w:rPr>
                <w:rFonts w:hAnsi="標楷體" w:hint="eastAsia"/>
                <w:sz w:val="24"/>
                <w:szCs w:val="24"/>
              </w:rPr>
              <w:t>0.00%</w:t>
            </w:r>
          </w:p>
        </w:tc>
      </w:tr>
      <w:tr w:rsidR="009C53C7" w:rsidRPr="00B772C4" w:rsidTr="00640605">
        <w:trPr>
          <w:trHeight w:val="53"/>
        </w:trPr>
        <w:tc>
          <w:tcPr>
            <w:tcW w:w="1414" w:type="dxa"/>
            <w:tcBorders>
              <w:top w:val="single" w:sz="2" w:space="0" w:color="auto"/>
              <w:bottom w:val="doub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b/>
                <w:bCs/>
                <w:sz w:val="24"/>
                <w:szCs w:val="24"/>
              </w:rPr>
            </w:pPr>
            <w:r w:rsidRPr="00B772C4">
              <w:rPr>
                <w:rFonts w:hAnsi="標楷體" w:hint="eastAsia"/>
                <w:b/>
                <w:bCs/>
                <w:sz w:val="24"/>
                <w:szCs w:val="24"/>
              </w:rPr>
              <w:t>合計</w:t>
            </w:r>
          </w:p>
        </w:tc>
        <w:tc>
          <w:tcPr>
            <w:tcW w:w="1428" w:type="dxa"/>
            <w:gridSpan w:val="2"/>
            <w:tcBorders>
              <w:top w:val="single" w:sz="2" w:space="0" w:color="auto"/>
              <w:bottom w:val="double" w:sz="4"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b/>
                <w:bCs/>
                <w:sz w:val="24"/>
                <w:szCs w:val="24"/>
              </w:rPr>
            </w:pPr>
            <w:r w:rsidRPr="00B772C4">
              <w:rPr>
                <w:rFonts w:hAnsi="標楷體" w:hint="eastAsia"/>
                <w:b/>
                <w:bCs/>
                <w:sz w:val="24"/>
                <w:szCs w:val="24"/>
              </w:rPr>
              <w:t>10,499</w:t>
            </w:r>
          </w:p>
        </w:tc>
        <w:tc>
          <w:tcPr>
            <w:tcW w:w="2855" w:type="dxa"/>
            <w:tcBorders>
              <w:top w:val="single" w:sz="2" w:space="0" w:color="auto"/>
              <w:left w:val="single" w:sz="4" w:space="0" w:color="auto"/>
              <w:bottom w:val="doub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b/>
                <w:bCs/>
                <w:sz w:val="24"/>
                <w:szCs w:val="24"/>
              </w:rPr>
            </w:pPr>
            <w:r w:rsidRPr="00B772C4">
              <w:rPr>
                <w:rFonts w:hAnsi="標楷體" w:hint="eastAsia"/>
                <w:b/>
                <w:bCs/>
                <w:sz w:val="24"/>
                <w:szCs w:val="24"/>
              </w:rPr>
              <w:t>1</w:t>
            </w:r>
            <w:r w:rsidRPr="00B772C4">
              <w:rPr>
                <w:rFonts w:hAnsi="標楷體"/>
                <w:b/>
                <w:bCs/>
                <w:sz w:val="24"/>
                <w:szCs w:val="24"/>
              </w:rPr>
              <w:t>,</w:t>
            </w:r>
            <w:r w:rsidRPr="00B772C4">
              <w:rPr>
                <w:rFonts w:hAnsi="標楷體" w:hint="eastAsia"/>
                <w:b/>
                <w:bCs/>
                <w:sz w:val="24"/>
                <w:szCs w:val="24"/>
              </w:rPr>
              <w:t>802</w:t>
            </w:r>
          </w:p>
        </w:tc>
        <w:tc>
          <w:tcPr>
            <w:tcW w:w="2822" w:type="dxa"/>
            <w:tcBorders>
              <w:top w:val="single" w:sz="2" w:space="0" w:color="auto"/>
              <w:left w:val="single" w:sz="4" w:space="0" w:color="auto"/>
              <w:bottom w:val="doub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b/>
                <w:bCs/>
                <w:sz w:val="24"/>
                <w:szCs w:val="24"/>
              </w:rPr>
            </w:pPr>
            <w:r w:rsidRPr="00B772C4">
              <w:rPr>
                <w:rFonts w:hAnsi="標楷體" w:hint="eastAsia"/>
                <w:b/>
                <w:bCs/>
                <w:sz w:val="24"/>
                <w:szCs w:val="24"/>
              </w:rPr>
              <w:t>17.16%</w:t>
            </w:r>
          </w:p>
        </w:tc>
      </w:tr>
      <w:tr w:rsidR="009C53C7" w:rsidRPr="00B772C4" w:rsidTr="00640605">
        <w:trPr>
          <w:trHeight w:val="53"/>
        </w:trPr>
        <w:tc>
          <w:tcPr>
            <w:tcW w:w="8519" w:type="dxa"/>
            <w:gridSpan w:val="5"/>
            <w:tcBorders>
              <w:top w:val="double" w:sz="4" w:space="0" w:color="auto"/>
              <w:bottom w:val="doub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b/>
                <w:sz w:val="24"/>
                <w:szCs w:val="24"/>
              </w:rPr>
            </w:pPr>
            <w:r w:rsidRPr="00B772C4">
              <w:rPr>
                <w:rFonts w:hAnsi="標楷體" w:hint="eastAsia"/>
                <w:b/>
                <w:sz w:val="24"/>
                <w:szCs w:val="24"/>
              </w:rPr>
              <w:t>汽車客運合計</w:t>
            </w:r>
          </w:p>
        </w:tc>
      </w:tr>
      <w:tr w:rsidR="009C53C7" w:rsidRPr="00B772C4" w:rsidTr="00640605">
        <w:trPr>
          <w:trHeight w:val="53"/>
        </w:trPr>
        <w:tc>
          <w:tcPr>
            <w:tcW w:w="2842" w:type="dxa"/>
            <w:gridSpan w:val="3"/>
            <w:tcBorders>
              <w:top w:val="double" w:sz="4" w:space="0" w:color="auto"/>
              <w:right w:val="single" w:sz="4" w:space="0" w:color="auto"/>
            </w:tcBorders>
            <w:shd w:val="clear" w:color="auto" w:fill="auto"/>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總車輛數</w:t>
            </w:r>
          </w:p>
        </w:tc>
        <w:tc>
          <w:tcPr>
            <w:tcW w:w="2855" w:type="dxa"/>
            <w:tcBorders>
              <w:top w:val="double" w:sz="4" w:space="0" w:color="auto"/>
              <w:left w:val="single" w:sz="4" w:space="0" w:color="auto"/>
              <w:bottom w:val="single" w:sz="2" w:space="0" w:color="auto"/>
            </w:tcBorders>
            <w:shd w:val="clear" w:color="auto" w:fill="auto"/>
          </w:tcPr>
          <w:p w:rsidR="009C53C7"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截至112年底止</w:t>
            </w:r>
          </w:p>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電動大客車輛數</w:t>
            </w:r>
          </w:p>
        </w:tc>
        <w:tc>
          <w:tcPr>
            <w:tcW w:w="2822" w:type="dxa"/>
            <w:tcBorders>
              <w:top w:val="double" w:sz="4" w:space="0" w:color="auto"/>
              <w:left w:val="single" w:sz="4" w:space="0" w:color="auto"/>
              <w:bottom w:val="single" w:sz="2" w:space="0" w:color="auto"/>
            </w:tcBorders>
            <w:shd w:val="clear" w:color="auto" w:fill="auto"/>
          </w:tcPr>
          <w:p w:rsidR="009C53C7"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截至112年底止</w:t>
            </w:r>
          </w:p>
          <w:p w:rsidR="009C53C7" w:rsidRPr="00B772C4" w:rsidRDefault="009C53C7" w:rsidP="00640605">
            <w:pPr>
              <w:overflowPunct w:val="0"/>
              <w:adjustRightInd w:val="0"/>
              <w:snapToGrid w:val="0"/>
              <w:spacing w:line="280" w:lineRule="exact"/>
              <w:ind w:leftChars="-25" w:left="-71" w:rightChars="-25" w:right="-71" w:firstLineChars="0" w:firstLine="0"/>
              <w:jc w:val="center"/>
              <w:rPr>
                <w:rFonts w:hAnsi="標楷體"/>
                <w:sz w:val="24"/>
                <w:szCs w:val="24"/>
              </w:rPr>
            </w:pPr>
            <w:r w:rsidRPr="00B772C4">
              <w:rPr>
                <w:rFonts w:hAnsi="標楷體" w:hint="eastAsia"/>
                <w:sz w:val="24"/>
                <w:szCs w:val="24"/>
              </w:rPr>
              <w:t>電動大客車輛占比</w:t>
            </w:r>
          </w:p>
        </w:tc>
      </w:tr>
      <w:tr w:rsidR="009C53C7" w:rsidRPr="00B772C4" w:rsidTr="00640605">
        <w:trPr>
          <w:trHeight w:val="53"/>
        </w:trPr>
        <w:tc>
          <w:tcPr>
            <w:tcW w:w="2842" w:type="dxa"/>
            <w:gridSpan w:val="3"/>
            <w:tcBorders>
              <w:top w:val="single" w:sz="2" w:space="0" w:color="auto"/>
              <w:bottom w:val="single" w:sz="12" w:space="0" w:color="auto"/>
              <w:right w:val="single" w:sz="4" w:space="0" w:color="auto"/>
            </w:tcBorders>
            <w:shd w:val="clear" w:color="auto" w:fill="F2F2F2"/>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b/>
                <w:bCs/>
                <w:sz w:val="24"/>
                <w:szCs w:val="24"/>
              </w:rPr>
            </w:pPr>
            <w:r w:rsidRPr="00B772C4">
              <w:rPr>
                <w:rFonts w:hAnsi="標楷體" w:hint="eastAsia"/>
                <w:b/>
                <w:bCs/>
                <w:sz w:val="24"/>
                <w:szCs w:val="24"/>
              </w:rPr>
              <w:t>14</w:t>
            </w:r>
            <w:r w:rsidRPr="00B772C4">
              <w:rPr>
                <w:rFonts w:hAnsi="標楷體"/>
                <w:b/>
                <w:bCs/>
                <w:sz w:val="24"/>
                <w:szCs w:val="24"/>
              </w:rPr>
              <w:t>,</w:t>
            </w:r>
            <w:r w:rsidRPr="00B772C4">
              <w:rPr>
                <w:rFonts w:hAnsi="標楷體" w:hint="eastAsia"/>
                <w:b/>
                <w:bCs/>
                <w:sz w:val="24"/>
                <w:szCs w:val="24"/>
              </w:rPr>
              <w:t>683</w:t>
            </w:r>
          </w:p>
        </w:tc>
        <w:tc>
          <w:tcPr>
            <w:tcW w:w="2855" w:type="dxa"/>
            <w:tcBorders>
              <w:top w:val="single" w:sz="2" w:space="0" w:color="auto"/>
              <w:left w:val="single" w:sz="4" w:space="0" w:color="auto"/>
              <w:bottom w:val="single" w:sz="12" w:space="0" w:color="auto"/>
            </w:tcBorders>
            <w:shd w:val="clear" w:color="auto" w:fill="F2F2F2"/>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b/>
                <w:bCs/>
                <w:sz w:val="24"/>
                <w:szCs w:val="24"/>
              </w:rPr>
            </w:pPr>
            <w:r w:rsidRPr="00B772C4">
              <w:rPr>
                <w:rFonts w:hAnsi="標楷體" w:hint="eastAsia"/>
                <w:b/>
                <w:bCs/>
                <w:sz w:val="24"/>
                <w:szCs w:val="24"/>
              </w:rPr>
              <w:t>1</w:t>
            </w:r>
            <w:r w:rsidRPr="00B772C4">
              <w:rPr>
                <w:rFonts w:hAnsi="標楷體"/>
                <w:b/>
                <w:bCs/>
                <w:sz w:val="24"/>
                <w:szCs w:val="24"/>
              </w:rPr>
              <w:t>,</w:t>
            </w:r>
            <w:r w:rsidRPr="00B772C4">
              <w:rPr>
                <w:rFonts w:hAnsi="標楷體" w:hint="eastAsia"/>
                <w:b/>
                <w:bCs/>
                <w:sz w:val="24"/>
                <w:szCs w:val="24"/>
              </w:rPr>
              <w:t>831</w:t>
            </w:r>
          </w:p>
        </w:tc>
        <w:tc>
          <w:tcPr>
            <w:tcW w:w="2822" w:type="dxa"/>
            <w:tcBorders>
              <w:top w:val="single" w:sz="2" w:space="0" w:color="auto"/>
              <w:left w:val="single" w:sz="4" w:space="0" w:color="auto"/>
              <w:bottom w:val="single" w:sz="12" w:space="0" w:color="auto"/>
            </w:tcBorders>
            <w:shd w:val="clear" w:color="auto" w:fill="F2F2F2"/>
            <w:vAlign w:val="center"/>
          </w:tcPr>
          <w:p w:rsidR="009C53C7" w:rsidRPr="00B772C4" w:rsidRDefault="009C53C7" w:rsidP="00640605">
            <w:pPr>
              <w:overflowPunct w:val="0"/>
              <w:adjustRightInd w:val="0"/>
              <w:snapToGrid w:val="0"/>
              <w:spacing w:line="280" w:lineRule="exact"/>
              <w:ind w:leftChars="-25" w:left="-71" w:rightChars="-25" w:right="-71" w:firstLineChars="0" w:firstLine="0"/>
              <w:jc w:val="right"/>
              <w:rPr>
                <w:rFonts w:hAnsi="標楷體"/>
                <w:b/>
                <w:bCs/>
                <w:sz w:val="24"/>
                <w:szCs w:val="24"/>
              </w:rPr>
            </w:pPr>
            <w:r w:rsidRPr="00B772C4">
              <w:rPr>
                <w:rFonts w:hAnsi="標楷體" w:hint="eastAsia"/>
                <w:b/>
                <w:bCs/>
                <w:sz w:val="24"/>
                <w:szCs w:val="24"/>
              </w:rPr>
              <w:t>12.47%</w:t>
            </w:r>
          </w:p>
        </w:tc>
      </w:tr>
    </w:tbl>
    <w:p w:rsidR="009C53C7" w:rsidRDefault="009C53C7" w:rsidP="00640605">
      <w:pPr>
        <w:pStyle w:val="142"/>
        <w:overflowPunct w:val="0"/>
        <w:adjustRightInd w:val="0"/>
        <w:snapToGrid w:val="0"/>
        <w:spacing w:line="260" w:lineRule="exact"/>
        <w:ind w:left="1119" w:hangingChars="460" w:hanging="1119"/>
        <w:jc w:val="both"/>
      </w:pPr>
      <w:bookmarkStart w:id="12" w:name="_Hlk169027570"/>
      <w:bookmarkEnd w:id="4"/>
      <w:bookmarkEnd w:id="11"/>
      <w:r>
        <w:rPr>
          <w:rFonts w:hint="eastAsia"/>
        </w:rPr>
        <w:t>說　　明</w:t>
      </w:r>
      <w:r>
        <w:rPr>
          <w:rFonts w:hAnsi="標楷體" w:hint="eastAsia"/>
        </w:rPr>
        <w:t>：</w:t>
      </w:r>
      <w:r w:rsidRPr="000F53AE">
        <w:rPr>
          <w:rFonts w:hAnsi="標楷體" w:hint="eastAsia"/>
        </w:rPr>
        <w:t>汽車客運路線按公路法第34條規定可區分成兩類：1.公路客運路線（公路汽車客運業），係由公路局作為主管機關，按一定路線以公共汽車運輸旅客之運輸服務，按是否以高速公路（國道）為主要行經道路，又可細分為一般公路客運路線與國道客運路線；2.市區公車路線（市區汽車客運業），係以直轄市、縣（市）政府為主管機關，除以該直轄市、縣（市）行政區為營運範圍外，並得申請延長至鄰接直轄市、縣（市）行政區域範圍。</w:t>
      </w:r>
    </w:p>
    <w:p w:rsidR="009C53C7" w:rsidRDefault="009C53C7" w:rsidP="00640605">
      <w:pPr>
        <w:pStyle w:val="142"/>
        <w:overflowPunct w:val="0"/>
        <w:adjustRightInd w:val="0"/>
        <w:snapToGrid w:val="0"/>
        <w:ind w:left="1216" w:hangingChars="500" w:hanging="1216"/>
      </w:pPr>
      <w:r w:rsidRPr="005B06C2">
        <w:rPr>
          <w:rFonts w:hint="eastAsia"/>
        </w:rPr>
        <w:t>資料來源：</w:t>
      </w:r>
      <w:r>
        <w:rPr>
          <w:rFonts w:hint="eastAsia"/>
        </w:rPr>
        <w:t>公路局113年</w:t>
      </w:r>
      <w:r>
        <w:rPr>
          <w:rFonts w:hAnsi="標楷體" w:hint="eastAsia"/>
        </w:rPr>
        <w:t>6</w:t>
      </w:r>
      <w:r>
        <w:rPr>
          <w:rFonts w:hint="eastAsia"/>
        </w:rPr>
        <w:t>月</w:t>
      </w:r>
      <w:r>
        <w:rPr>
          <w:rFonts w:hAnsi="標楷體" w:hint="eastAsia"/>
        </w:rPr>
        <w:t>5</w:t>
      </w:r>
      <w:r>
        <w:rPr>
          <w:rFonts w:hint="eastAsia"/>
        </w:rPr>
        <w:t>日提供資料，本中心製表。</w:t>
      </w:r>
    </w:p>
    <w:p w:rsidR="009C53C7" w:rsidRDefault="009C53C7" w:rsidP="00640605">
      <w:pPr>
        <w:pStyle w:val="a5"/>
        <w:overflowPunct w:val="0"/>
        <w:adjustRightInd w:val="0"/>
        <w:snapToGrid w:val="0"/>
        <w:ind w:left="849" w:hanging="283"/>
        <w:outlineLvl w:val="2"/>
        <w:rPr>
          <w:b/>
        </w:rPr>
      </w:pPr>
      <w:r w:rsidRPr="00171492">
        <w:rPr>
          <w:rFonts w:hint="eastAsia"/>
          <w:b/>
        </w:rPr>
        <w:t>(三)</w:t>
      </w:r>
      <w:r w:rsidRPr="0002188F">
        <w:rPr>
          <w:rFonts w:hint="eastAsia"/>
          <w:b/>
        </w:rPr>
        <w:t>運輸部門能源使用仍以汽柴油等化石燃料為主</w:t>
      </w:r>
      <w:r>
        <w:rPr>
          <w:rFonts w:hAnsi="標楷體" w:hint="eastAsia"/>
          <w:b/>
        </w:rPr>
        <w:t>，</w:t>
      </w:r>
      <w:r>
        <w:rPr>
          <w:rFonts w:hint="eastAsia"/>
          <w:b/>
        </w:rPr>
        <w:t>相關部會允宜各司其職</w:t>
      </w:r>
      <w:r>
        <w:rPr>
          <w:rFonts w:hAnsi="標楷體" w:hint="eastAsia"/>
          <w:b/>
        </w:rPr>
        <w:t>，</w:t>
      </w:r>
      <w:r>
        <w:rPr>
          <w:rFonts w:hint="eastAsia"/>
          <w:b/>
        </w:rPr>
        <w:t>積極</w:t>
      </w:r>
      <w:r w:rsidRPr="00A91E2B">
        <w:rPr>
          <w:rFonts w:hint="eastAsia"/>
          <w:b/>
        </w:rPr>
        <w:t>協助各業者</w:t>
      </w:r>
      <w:r w:rsidRPr="00A91E2B">
        <w:rPr>
          <w:rFonts w:hAnsi="標楷體" w:hint="eastAsia"/>
          <w:b/>
        </w:rPr>
        <w:t>投入</w:t>
      </w:r>
      <w:r w:rsidRPr="00A91E2B">
        <w:rPr>
          <w:b/>
          <w:bCs/>
        </w:rPr>
        <w:t>電</w:t>
      </w:r>
      <w:r>
        <w:rPr>
          <w:rFonts w:hint="eastAsia"/>
          <w:b/>
          <w:bCs/>
        </w:rPr>
        <w:t>動</w:t>
      </w:r>
      <w:r w:rsidRPr="00A91E2B">
        <w:rPr>
          <w:b/>
          <w:bCs/>
        </w:rPr>
        <w:t>巴</w:t>
      </w:r>
      <w:r>
        <w:rPr>
          <w:rFonts w:hint="eastAsia"/>
          <w:b/>
          <w:bCs/>
        </w:rPr>
        <w:t>士</w:t>
      </w:r>
      <w:r w:rsidRPr="00A91E2B">
        <w:rPr>
          <w:rFonts w:hAnsi="標楷體" w:hint="eastAsia"/>
          <w:b/>
        </w:rPr>
        <w:t>市場</w:t>
      </w:r>
      <w:r>
        <w:rPr>
          <w:rFonts w:hAnsi="標楷體" w:hint="eastAsia"/>
          <w:b/>
        </w:rPr>
        <w:t>加速普及</w:t>
      </w:r>
      <w:r w:rsidRPr="00171492">
        <w:rPr>
          <w:rFonts w:hint="eastAsia"/>
          <w:b/>
        </w:rPr>
        <w:t>，</w:t>
      </w:r>
      <w:r w:rsidRPr="0012231E">
        <w:rPr>
          <w:rFonts w:hint="eastAsia"/>
          <w:b/>
        </w:rPr>
        <w:t>以實現淨零排放之目標</w:t>
      </w:r>
    </w:p>
    <w:p w:rsidR="009C53C7" w:rsidRPr="00171492" w:rsidRDefault="009C53C7" w:rsidP="00640605">
      <w:pPr>
        <w:pStyle w:val="21"/>
        <w:overflowPunct w:val="0"/>
        <w:snapToGrid w:val="0"/>
        <w:ind w:left="850" w:firstLine="566"/>
      </w:pPr>
      <w:r>
        <w:rPr>
          <w:rFonts w:hAnsi="標楷體" w:hint="eastAsia"/>
        </w:rPr>
        <w:t>據</w:t>
      </w:r>
      <w:r w:rsidRPr="00F534C9">
        <w:rPr>
          <w:rFonts w:hAnsi="標楷體" w:hint="eastAsia"/>
        </w:rPr>
        <w:t>運輸研究所</w:t>
      </w:r>
      <w:r>
        <w:rPr>
          <w:rFonts w:hAnsi="標楷體" w:hint="eastAsia"/>
        </w:rPr>
        <w:t>資料顯示，</w:t>
      </w:r>
      <w:r w:rsidRPr="00DF0416">
        <w:rPr>
          <w:rFonts w:hAnsi="標楷體" w:hint="eastAsia"/>
        </w:rPr>
        <w:t>臺灣110年能源使用結構，</w:t>
      </w:r>
      <w:r w:rsidRPr="00CE5F6F">
        <w:rPr>
          <w:rFonts w:hAnsi="標楷體" w:hint="eastAsia"/>
        </w:rPr>
        <w:t>運輸部門仍以</w:t>
      </w:r>
      <w:bookmarkStart w:id="13" w:name="_Hlk175909226"/>
      <w:r w:rsidRPr="00CE5F6F">
        <w:rPr>
          <w:rFonts w:hAnsi="標楷體" w:hint="eastAsia"/>
        </w:rPr>
        <w:t>汽柴油等化石燃料</w:t>
      </w:r>
      <w:bookmarkEnd w:id="13"/>
      <w:r w:rsidRPr="00CE5F6F">
        <w:rPr>
          <w:rFonts w:hAnsi="標楷體" w:hint="eastAsia"/>
        </w:rPr>
        <w:t>為主(化石燃料占99%，電力僅占1%)</w:t>
      </w:r>
      <w:r>
        <w:rPr>
          <w:rStyle w:val="af5"/>
          <w:rFonts w:hAnsi="標楷體"/>
        </w:rPr>
        <w:footnoteReference w:id="2"/>
      </w:r>
      <w:r>
        <w:rPr>
          <w:rFonts w:hAnsi="標楷體" w:hint="eastAsia"/>
        </w:rPr>
        <w:t>，</w:t>
      </w:r>
      <w:r w:rsidRPr="007D1D2E">
        <w:rPr>
          <w:rFonts w:hAnsi="標楷體" w:hint="eastAsia"/>
        </w:rPr>
        <w:t>相關部會</w:t>
      </w:r>
      <w:r w:rsidRPr="00A4157F">
        <w:rPr>
          <w:rFonts w:hAnsi="標楷體" w:hint="eastAsia"/>
        </w:rPr>
        <w:t>允宜各司其職，積極協助各業者投入電</w:t>
      </w:r>
      <w:r>
        <w:rPr>
          <w:rFonts w:hAnsi="標楷體" w:hint="eastAsia"/>
        </w:rPr>
        <w:t>動</w:t>
      </w:r>
      <w:r w:rsidRPr="00A4157F">
        <w:rPr>
          <w:rFonts w:hAnsi="標楷體" w:hint="eastAsia"/>
        </w:rPr>
        <w:t>巴</w:t>
      </w:r>
      <w:r>
        <w:rPr>
          <w:rFonts w:hAnsi="標楷體" w:hint="eastAsia"/>
        </w:rPr>
        <w:t>士</w:t>
      </w:r>
      <w:r w:rsidRPr="00A4157F">
        <w:rPr>
          <w:rFonts w:hAnsi="標楷體" w:hint="eastAsia"/>
        </w:rPr>
        <w:t>市場加速普及</w:t>
      </w:r>
      <w:r>
        <w:rPr>
          <w:rFonts w:hAnsi="標楷體" w:hint="eastAsia"/>
        </w:rPr>
        <w:t>，經</w:t>
      </w:r>
      <w:r w:rsidRPr="00ED6420">
        <w:rPr>
          <w:rFonts w:hAnsi="標楷體" w:hint="eastAsia"/>
        </w:rPr>
        <w:t>檢視推動及預算</w:t>
      </w:r>
      <w:r>
        <w:rPr>
          <w:rFonts w:hAnsi="標楷體" w:hint="eastAsia"/>
        </w:rPr>
        <w:t>執行</w:t>
      </w:r>
      <w:r>
        <w:t>情形</w:t>
      </w:r>
      <w:r>
        <w:rPr>
          <w:rFonts w:hAnsi="標楷體" w:hint="eastAsia"/>
        </w:rPr>
        <w:t>，且</w:t>
      </w:r>
      <w:r>
        <w:t>參酌公路局</w:t>
      </w:r>
      <w:r>
        <w:rPr>
          <w:rFonts w:hint="eastAsia"/>
        </w:rPr>
        <w:t>提供之資料</w:t>
      </w:r>
      <w:r>
        <w:rPr>
          <w:rFonts w:hAnsi="標楷體" w:hint="eastAsia"/>
        </w:rPr>
        <w:t>，分由</w:t>
      </w:r>
      <w:r w:rsidRPr="00FE0FFC">
        <w:rPr>
          <w:rFonts w:hAnsi="標楷體" w:hint="eastAsia"/>
        </w:rPr>
        <w:t>產業面</w:t>
      </w:r>
      <w:r>
        <w:rPr>
          <w:rFonts w:hAnsi="標楷體" w:hint="eastAsia"/>
        </w:rPr>
        <w:t>、</w:t>
      </w:r>
      <w:r w:rsidRPr="00FE0FFC">
        <w:rPr>
          <w:rFonts w:hAnsi="標楷體" w:hint="eastAsia"/>
        </w:rPr>
        <w:t>營運面</w:t>
      </w:r>
      <w:r>
        <w:rPr>
          <w:rFonts w:hAnsi="標楷體" w:hint="eastAsia"/>
        </w:rPr>
        <w:t>及</w:t>
      </w:r>
      <w:r w:rsidRPr="00FE0FFC">
        <w:rPr>
          <w:rFonts w:hAnsi="標楷體" w:hint="eastAsia"/>
        </w:rPr>
        <w:t>能源面</w:t>
      </w:r>
      <w:r>
        <w:rPr>
          <w:rFonts w:hAnsi="標楷體" w:hint="eastAsia"/>
        </w:rPr>
        <w:t>，</w:t>
      </w:r>
      <w:r>
        <w:rPr>
          <w:rFonts w:hint="eastAsia"/>
        </w:rPr>
        <w:t>提</w:t>
      </w:r>
      <w:r w:rsidRPr="006359A7">
        <w:t>出</w:t>
      </w:r>
      <w:r>
        <w:rPr>
          <w:rFonts w:hint="eastAsia"/>
        </w:rPr>
        <w:t>下列策進之建議</w:t>
      </w:r>
      <w:r>
        <w:rPr>
          <w:rFonts w:hAnsi="標楷體" w:hint="eastAsia"/>
        </w:rPr>
        <w:t>：</w:t>
      </w:r>
    </w:p>
    <w:p w:rsidR="009C53C7" w:rsidRDefault="009C53C7" w:rsidP="00640605">
      <w:pPr>
        <w:pStyle w:val="123"/>
        <w:ind w:left="1133" w:hanging="283"/>
        <w:rPr>
          <w:rStyle w:val="1230"/>
          <w:b/>
        </w:rPr>
      </w:pPr>
      <w:r w:rsidRPr="00171492">
        <w:rPr>
          <w:rStyle w:val="1230"/>
          <w:rFonts w:hint="eastAsia"/>
          <w:b/>
        </w:rPr>
        <w:t>1.產業面：</w:t>
      </w:r>
    </w:p>
    <w:p w:rsidR="009C53C7" w:rsidRDefault="009C53C7" w:rsidP="00640605">
      <w:pPr>
        <w:pStyle w:val="21"/>
        <w:overflowPunct w:val="0"/>
        <w:snapToGrid w:val="0"/>
        <w:ind w:leftChars="400" w:left="1558" w:hangingChars="150" w:hanging="425"/>
        <w:rPr>
          <w:rFonts w:hAnsi="標楷體"/>
        </w:rPr>
      </w:pPr>
      <w:r w:rsidRPr="002C497F">
        <w:rPr>
          <w:rFonts w:hint="eastAsia"/>
          <w:b/>
          <w:bCs/>
        </w:rPr>
        <w:t>(1)</w:t>
      </w:r>
      <w:r w:rsidRPr="002C497F">
        <w:rPr>
          <w:rFonts w:hAnsi="標楷體" w:hint="eastAsia"/>
          <w:b/>
          <w:bCs/>
        </w:rPr>
        <w:t>提高國產電動大客車產能：</w:t>
      </w:r>
      <w:r>
        <w:rPr>
          <w:rFonts w:hAnsi="標楷體" w:hint="eastAsia"/>
        </w:rPr>
        <w:t>經濟部應積極輔導</w:t>
      </w:r>
      <w:r w:rsidRPr="00903E89">
        <w:rPr>
          <w:rFonts w:hAnsi="標楷體" w:hint="eastAsia"/>
        </w:rPr>
        <w:t>車輛業者</w:t>
      </w:r>
      <w:r>
        <w:rPr>
          <w:rFonts w:hAnsi="標楷體" w:hint="eastAsia"/>
        </w:rPr>
        <w:t>，</w:t>
      </w:r>
      <w:r w:rsidRPr="00CC2D12">
        <w:rPr>
          <w:rFonts w:hAnsi="標楷體" w:hint="eastAsia"/>
        </w:rPr>
        <w:lastRenderedPageBreak/>
        <w:t>強化關鍵零組件國產化與品質提升</w:t>
      </w:r>
      <w:r>
        <w:rPr>
          <w:rFonts w:hAnsi="標楷體" w:hint="eastAsia"/>
        </w:rPr>
        <w:t>，提高產能，</w:t>
      </w:r>
      <w:r w:rsidRPr="00D37445">
        <w:rPr>
          <w:rFonts w:hAnsi="標楷體" w:hint="eastAsia"/>
        </w:rPr>
        <w:t>以滿足未來國內市場需求</w:t>
      </w:r>
      <w:r>
        <w:rPr>
          <w:rFonts w:hAnsi="標楷體" w:hint="eastAsia"/>
        </w:rPr>
        <w:t>。</w:t>
      </w:r>
    </w:p>
    <w:p w:rsidR="009C53C7" w:rsidRDefault="009C53C7" w:rsidP="00640605">
      <w:pPr>
        <w:pStyle w:val="21"/>
        <w:overflowPunct w:val="0"/>
        <w:snapToGrid w:val="0"/>
        <w:ind w:leftChars="400" w:left="1558" w:hangingChars="150" w:hanging="425"/>
      </w:pPr>
      <w:r w:rsidRPr="002C497F">
        <w:rPr>
          <w:rFonts w:hAnsi="標楷體"/>
          <w:b/>
          <w:bCs/>
        </w:rPr>
        <w:t>(</w:t>
      </w:r>
      <w:r w:rsidRPr="002C497F">
        <w:rPr>
          <w:rFonts w:hAnsi="標楷體" w:hint="eastAsia"/>
          <w:b/>
          <w:bCs/>
        </w:rPr>
        <w:t>2)改善</w:t>
      </w:r>
      <w:r w:rsidRPr="002C497F">
        <w:rPr>
          <w:rFonts w:hint="eastAsia"/>
          <w:b/>
          <w:bCs/>
          <w:snapToGrid/>
        </w:rPr>
        <w:t>電池</w:t>
      </w:r>
      <w:r w:rsidRPr="002C497F">
        <w:rPr>
          <w:rFonts w:hAnsi="標楷體" w:hint="eastAsia"/>
          <w:b/>
          <w:bCs/>
        </w:rPr>
        <w:t>儲能效能：</w:t>
      </w:r>
      <w:r w:rsidRPr="00AD4584">
        <w:rPr>
          <w:rFonts w:hAnsi="標楷體" w:hint="eastAsia"/>
        </w:rPr>
        <w:t>經濟部透過補助資源</w:t>
      </w:r>
      <w:r>
        <w:rPr>
          <w:rFonts w:hAnsi="標楷體" w:hint="eastAsia"/>
        </w:rPr>
        <w:t>，</w:t>
      </w:r>
      <w:r w:rsidRPr="00AD4584">
        <w:rPr>
          <w:rFonts w:hAnsi="標楷體" w:hint="eastAsia"/>
        </w:rPr>
        <w:t>協助</w:t>
      </w:r>
      <w:r>
        <w:rPr>
          <w:rFonts w:hAnsi="標楷體" w:hint="eastAsia"/>
        </w:rPr>
        <w:t>電池</w:t>
      </w:r>
      <w:r w:rsidRPr="00AD4584">
        <w:rPr>
          <w:rFonts w:hAnsi="標楷體" w:hint="eastAsia"/>
        </w:rPr>
        <w:t>業者開發</w:t>
      </w:r>
      <w:r w:rsidRPr="00B30E89">
        <w:rPr>
          <w:rFonts w:hAnsi="標楷體" w:hint="eastAsia"/>
        </w:rPr>
        <w:t>高循環壽命與快速充電特性之電池</w:t>
      </w:r>
      <w:r>
        <w:rPr>
          <w:rFonts w:hAnsi="標楷體" w:hint="eastAsia"/>
        </w:rPr>
        <w:t>，以</w:t>
      </w:r>
      <w:r w:rsidRPr="00AD4584">
        <w:rPr>
          <w:rFonts w:hAnsi="標楷體" w:hint="eastAsia"/>
        </w:rPr>
        <w:t>提升電巴電池續航力</w:t>
      </w:r>
      <w:r>
        <w:rPr>
          <w:rFonts w:hAnsi="標楷體" w:hint="eastAsia"/>
        </w:rPr>
        <w:t>。</w:t>
      </w:r>
    </w:p>
    <w:p w:rsidR="009C53C7" w:rsidRDefault="009C53C7" w:rsidP="00640605">
      <w:pPr>
        <w:overflowPunct w:val="0"/>
        <w:adjustRightInd w:val="0"/>
        <w:snapToGrid w:val="0"/>
        <w:ind w:leftChars="300" w:left="1133" w:hangingChars="100" w:hanging="283"/>
        <w:rPr>
          <w:rFonts w:hAnsi="標楷體"/>
        </w:rPr>
      </w:pPr>
      <w:r w:rsidRPr="00171492">
        <w:rPr>
          <w:rFonts w:hint="eastAsia"/>
          <w:b/>
        </w:rPr>
        <w:t>2.營運面：</w:t>
      </w:r>
    </w:p>
    <w:p w:rsidR="009C53C7" w:rsidRDefault="009C53C7" w:rsidP="00640605">
      <w:pPr>
        <w:pStyle w:val="21"/>
        <w:overflowPunct w:val="0"/>
        <w:snapToGrid w:val="0"/>
        <w:ind w:leftChars="400" w:left="1558" w:hangingChars="150" w:hanging="425"/>
      </w:pPr>
      <w:r w:rsidRPr="002C497F">
        <w:rPr>
          <w:rFonts w:hint="eastAsia"/>
          <w:b/>
          <w:bCs/>
        </w:rPr>
        <w:t>(1)降低全生命週期總成本</w:t>
      </w:r>
      <w:r w:rsidRPr="002C497F">
        <w:rPr>
          <w:rFonts w:hAnsi="標楷體" w:hint="eastAsia"/>
          <w:b/>
          <w:bCs/>
        </w:rPr>
        <w:t>：</w:t>
      </w:r>
      <w:r>
        <w:rPr>
          <w:rFonts w:hAnsi="標楷體" w:hint="eastAsia"/>
        </w:rPr>
        <w:t>除經由購車補助降低客運業者購車成本外，</w:t>
      </w:r>
      <w:r w:rsidRPr="00B86A0A">
        <w:rPr>
          <w:rFonts w:hAnsi="標楷體" w:hint="eastAsia"/>
        </w:rPr>
        <w:t>建置「電動大客車營運數據監控管理平台」</w:t>
      </w:r>
      <w:r>
        <w:rPr>
          <w:rFonts w:hAnsi="標楷體" w:hint="eastAsia"/>
        </w:rPr>
        <w:t>，</w:t>
      </w:r>
      <w:r w:rsidRPr="00895190">
        <w:rPr>
          <w:rFonts w:hAnsi="標楷體" w:hint="eastAsia"/>
        </w:rPr>
        <w:t>即早發現問題</w:t>
      </w:r>
      <w:r>
        <w:rPr>
          <w:rFonts w:hAnsi="標楷體" w:hint="eastAsia"/>
        </w:rPr>
        <w:t>，</w:t>
      </w:r>
      <w:r w:rsidRPr="00895190">
        <w:rPr>
          <w:rFonts w:hAnsi="標楷體" w:hint="eastAsia"/>
        </w:rPr>
        <w:t>進行預防性保養</w:t>
      </w:r>
      <w:r w:rsidRPr="00F878FA">
        <w:rPr>
          <w:rFonts w:hAnsi="標楷體" w:hint="eastAsia"/>
        </w:rPr>
        <w:t>，</w:t>
      </w:r>
      <w:r>
        <w:rPr>
          <w:rFonts w:hint="eastAsia"/>
        </w:rPr>
        <w:t>以降低</w:t>
      </w:r>
      <w:r w:rsidRPr="00A07AD4">
        <w:rPr>
          <w:rFonts w:hint="eastAsia"/>
        </w:rPr>
        <w:t>後勤</w:t>
      </w:r>
      <w:r>
        <w:rPr>
          <w:rFonts w:hint="eastAsia"/>
        </w:rPr>
        <w:t>維運費用</w:t>
      </w:r>
      <w:r>
        <w:rPr>
          <w:rFonts w:hAnsi="標楷體" w:hint="eastAsia"/>
        </w:rPr>
        <w:t>。</w:t>
      </w:r>
    </w:p>
    <w:p w:rsidR="009C53C7" w:rsidRDefault="009C53C7" w:rsidP="00640605">
      <w:pPr>
        <w:pStyle w:val="21"/>
        <w:overflowPunct w:val="0"/>
        <w:snapToGrid w:val="0"/>
        <w:ind w:leftChars="400" w:left="1558" w:hangingChars="150" w:hanging="425"/>
        <w:rPr>
          <w:rFonts w:hAnsi="標楷體"/>
        </w:rPr>
      </w:pPr>
      <w:r w:rsidRPr="002C497F">
        <w:rPr>
          <w:rFonts w:hAnsi="標楷體"/>
          <w:b/>
          <w:bCs/>
        </w:rPr>
        <w:t>(</w:t>
      </w:r>
      <w:r w:rsidRPr="002C497F">
        <w:rPr>
          <w:rFonts w:hAnsi="標楷體" w:hint="eastAsia"/>
          <w:b/>
          <w:bCs/>
        </w:rPr>
        <w:t>2)降低業者營運成本：</w:t>
      </w:r>
      <w:r>
        <w:rPr>
          <w:rFonts w:hAnsi="標楷體" w:hint="eastAsia"/>
        </w:rPr>
        <w:t>環境部</w:t>
      </w:r>
      <w:r w:rsidRPr="009C23AD">
        <w:rPr>
          <w:rFonts w:hAnsi="標楷體" w:hint="eastAsia"/>
        </w:rPr>
        <w:t>透過公車路網優化補助方式</w:t>
      </w:r>
      <w:r>
        <w:rPr>
          <w:rFonts w:hAnsi="標楷體" w:hint="eastAsia"/>
        </w:rPr>
        <w:t>，降低</w:t>
      </w:r>
      <w:r w:rsidRPr="005F4DE2">
        <w:rPr>
          <w:rFonts w:hAnsi="標楷體" w:hint="eastAsia"/>
        </w:rPr>
        <w:t>客運</w:t>
      </w:r>
      <w:r>
        <w:rPr>
          <w:rFonts w:hAnsi="標楷體" w:hint="eastAsia"/>
        </w:rPr>
        <w:t>業者營運成本。</w:t>
      </w:r>
    </w:p>
    <w:p w:rsidR="009C53C7" w:rsidRDefault="009C53C7" w:rsidP="00640605">
      <w:pPr>
        <w:overflowPunct w:val="0"/>
        <w:adjustRightInd w:val="0"/>
        <w:snapToGrid w:val="0"/>
        <w:ind w:leftChars="300" w:left="1133" w:hangingChars="100" w:hanging="283"/>
        <w:rPr>
          <w:rFonts w:hAnsi="標楷體"/>
          <w:b/>
        </w:rPr>
      </w:pPr>
      <w:r w:rsidRPr="00171492">
        <w:rPr>
          <w:rFonts w:hAnsi="標楷體" w:hint="eastAsia"/>
          <w:b/>
        </w:rPr>
        <w:t>3.</w:t>
      </w:r>
      <w:r w:rsidRPr="00171492">
        <w:rPr>
          <w:rFonts w:hint="eastAsia"/>
          <w:b/>
        </w:rPr>
        <w:t>能源</w:t>
      </w:r>
      <w:r w:rsidRPr="00171492">
        <w:rPr>
          <w:rFonts w:hAnsi="標楷體" w:hint="eastAsia"/>
          <w:b/>
        </w:rPr>
        <w:t>面：</w:t>
      </w:r>
    </w:p>
    <w:p w:rsidR="009C53C7" w:rsidRDefault="009C53C7" w:rsidP="00640605">
      <w:pPr>
        <w:pStyle w:val="21"/>
        <w:overflowPunct w:val="0"/>
        <w:snapToGrid w:val="0"/>
        <w:ind w:leftChars="400" w:left="1555" w:hangingChars="150" w:hanging="422"/>
        <w:rPr>
          <w:rFonts w:hAnsi="標楷體" w:cs="新細明體"/>
          <w:snapToGrid/>
          <w:spacing w:val="-1"/>
          <w:kern w:val="0"/>
        </w:rPr>
      </w:pPr>
      <w:r w:rsidRPr="002C497F">
        <w:rPr>
          <w:rFonts w:hAnsi="標楷體" w:cs="新細明體" w:hint="eastAsia"/>
          <w:b/>
          <w:bCs/>
          <w:snapToGrid/>
          <w:spacing w:val="-1"/>
          <w:kern w:val="0"/>
        </w:rPr>
        <w:t>(1)充電介面調適：</w:t>
      </w:r>
      <w:r w:rsidRPr="009C7935">
        <w:rPr>
          <w:rFonts w:hAnsi="標楷體" w:cs="新細明體" w:hint="eastAsia"/>
          <w:snapToGrid/>
          <w:spacing w:val="-1"/>
          <w:kern w:val="0"/>
        </w:rPr>
        <w:t>參考國際法規標準修訂共通能源補充介面國家標準</w:t>
      </w:r>
      <w:r>
        <w:rPr>
          <w:rFonts w:hAnsi="標楷體" w:cs="新細明體" w:hint="eastAsia"/>
          <w:snapToGrid/>
          <w:spacing w:val="-1"/>
          <w:kern w:val="0"/>
        </w:rPr>
        <w:t>。</w:t>
      </w:r>
    </w:p>
    <w:p w:rsidR="009C53C7" w:rsidRDefault="009C53C7" w:rsidP="00640605">
      <w:pPr>
        <w:pStyle w:val="21"/>
        <w:overflowPunct w:val="0"/>
        <w:snapToGrid w:val="0"/>
        <w:ind w:leftChars="400" w:left="1558" w:hangingChars="150" w:hanging="425"/>
        <w:rPr>
          <w:rFonts w:hAnsi="標楷體" w:cs="新細明體"/>
          <w:snapToGrid/>
          <w:spacing w:val="-1"/>
          <w:kern w:val="0"/>
        </w:rPr>
      </w:pPr>
      <w:r w:rsidRPr="002C497F">
        <w:rPr>
          <w:rFonts w:hAnsi="標楷體"/>
          <w:b/>
          <w:bCs/>
        </w:rPr>
        <w:t>(</w:t>
      </w:r>
      <w:r w:rsidRPr="002C497F">
        <w:rPr>
          <w:rFonts w:hAnsi="標楷體" w:hint="eastAsia"/>
          <w:b/>
          <w:bCs/>
        </w:rPr>
        <w:t>2)整備電能補充基礎設施：</w:t>
      </w:r>
      <w:r>
        <w:rPr>
          <w:rFonts w:hAnsi="標楷體" w:hint="eastAsia"/>
        </w:rPr>
        <w:t>由於</w:t>
      </w:r>
      <w:r w:rsidRPr="00002004">
        <w:rPr>
          <w:rFonts w:hAnsi="標楷體" w:hint="eastAsia"/>
        </w:rPr>
        <w:t>電動大</w:t>
      </w:r>
      <w:r w:rsidRPr="001A21F2">
        <w:rPr>
          <w:rFonts w:hAnsi="標楷體" w:cs="新細明體" w:hint="eastAsia"/>
          <w:snapToGrid/>
          <w:spacing w:val="-1"/>
          <w:kern w:val="0"/>
        </w:rPr>
        <w:t>客車</w:t>
      </w:r>
      <w:r w:rsidRPr="00002004">
        <w:rPr>
          <w:rFonts w:hAnsi="標楷體" w:hint="eastAsia"/>
        </w:rPr>
        <w:t>集中於特定時間及地點進行充電時</w:t>
      </w:r>
      <w:r w:rsidRPr="0077108B">
        <w:rPr>
          <w:rFonts w:hAnsi="標楷體" w:hint="eastAsia"/>
        </w:rPr>
        <w:t>電力需求極大，</w:t>
      </w:r>
      <w:r>
        <w:rPr>
          <w:rFonts w:hAnsi="標楷體" w:hint="eastAsia"/>
        </w:rPr>
        <w:t>將</w:t>
      </w:r>
      <w:r w:rsidRPr="00B86A0A">
        <w:rPr>
          <w:rFonts w:hAnsi="標楷體" w:cs="新細明體" w:hint="eastAsia"/>
          <w:snapToGrid/>
          <w:spacing w:val="-1"/>
          <w:kern w:val="0"/>
        </w:rPr>
        <w:t>造成電網調控問題</w:t>
      </w:r>
      <w:r>
        <w:rPr>
          <w:rFonts w:hAnsi="標楷體" w:cs="新細明體" w:hint="eastAsia"/>
          <w:snapToGrid/>
          <w:spacing w:val="-1"/>
          <w:kern w:val="0"/>
        </w:rPr>
        <w:t>，</w:t>
      </w:r>
      <w:r>
        <w:rPr>
          <w:rFonts w:hAnsi="標楷體" w:hint="eastAsia"/>
        </w:rPr>
        <w:t>台電公司</w:t>
      </w:r>
      <w:r w:rsidRPr="0054550C">
        <w:rPr>
          <w:rFonts w:hAnsi="標楷體" w:cs="新細明體" w:hint="eastAsia"/>
          <w:snapToGrid/>
          <w:spacing w:val="-1"/>
          <w:kern w:val="0"/>
        </w:rPr>
        <w:t>在電力供應與配電部</w:t>
      </w:r>
      <w:r>
        <w:rPr>
          <w:rFonts w:hAnsi="標楷體" w:cs="新細明體" w:hint="eastAsia"/>
          <w:snapToGrid/>
          <w:spacing w:val="-1"/>
          <w:kern w:val="0"/>
        </w:rPr>
        <w:t>分，應</w:t>
      </w:r>
      <w:r w:rsidRPr="00002004">
        <w:rPr>
          <w:rFonts w:hAnsi="標楷體" w:hint="eastAsia"/>
        </w:rPr>
        <w:t>配合地區電網備載容量</w:t>
      </w:r>
      <w:r>
        <w:rPr>
          <w:rFonts w:hAnsi="標楷體" w:hint="eastAsia"/>
        </w:rPr>
        <w:t>，</w:t>
      </w:r>
      <w:r>
        <w:rPr>
          <w:rFonts w:hAnsi="標楷體" w:cs="新細明體" w:hint="eastAsia"/>
          <w:snapToGrid/>
          <w:spacing w:val="-1"/>
          <w:kern w:val="0"/>
        </w:rPr>
        <w:t>整備</w:t>
      </w:r>
      <w:r w:rsidRPr="00646933">
        <w:rPr>
          <w:rFonts w:hAnsi="標楷體" w:cs="新細明體" w:hint="eastAsia"/>
          <w:snapToGrid/>
          <w:spacing w:val="-1"/>
          <w:kern w:val="0"/>
        </w:rPr>
        <w:t>電能補充基礎設施</w:t>
      </w:r>
      <w:r>
        <w:rPr>
          <w:rFonts w:hAnsi="標楷體" w:cs="新細明體" w:hint="eastAsia"/>
          <w:snapToGrid/>
          <w:spacing w:val="-1"/>
          <w:kern w:val="0"/>
        </w:rPr>
        <w:t>，</w:t>
      </w:r>
      <w:r w:rsidRPr="00B86A0A">
        <w:rPr>
          <w:rFonts w:hAnsi="標楷體" w:cs="新細明體" w:hint="eastAsia"/>
          <w:snapToGrid/>
          <w:spacing w:val="-1"/>
          <w:kern w:val="0"/>
        </w:rPr>
        <w:t>強化電網韌性</w:t>
      </w:r>
      <w:r>
        <w:rPr>
          <w:rFonts w:hAnsi="標楷體" w:cs="新細明體" w:hint="eastAsia"/>
          <w:snapToGrid/>
          <w:spacing w:val="-1"/>
          <w:kern w:val="0"/>
        </w:rPr>
        <w:t>及完善</w:t>
      </w:r>
      <w:r w:rsidRPr="006C5A3B">
        <w:rPr>
          <w:rFonts w:hAnsi="標楷體" w:cs="新細明體" w:hint="eastAsia"/>
          <w:snapToGrid/>
          <w:spacing w:val="-1"/>
          <w:kern w:val="0"/>
        </w:rPr>
        <w:t>儲能設備</w:t>
      </w:r>
      <w:r>
        <w:rPr>
          <w:rFonts w:hAnsi="標楷體" w:cs="新細明體" w:hint="eastAsia"/>
          <w:snapToGrid/>
          <w:spacing w:val="-1"/>
          <w:kern w:val="0"/>
        </w:rPr>
        <w:t>。</w:t>
      </w:r>
    </w:p>
    <w:bookmarkEnd w:id="12"/>
    <w:p w:rsidR="009C53C7" w:rsidRPr="00B04F8E" w:rsidRDefault="009C53C7" w:rsidP="00640605">
      <w:pPr>
        <w:ind w:left="566" w:firstLine="566"/>
      </w:pPr>
      <w:r>
        <w:rPr>
          <w:rFonts w:hint="eastAsia"/>
          <w:snapToGrid/>
        </w:rPr>
        <w:t>綜上</w:t>
      </w:r>
      <w:r>
        <w:rPr>
          <w:rFonts w:hAnsi="標楷體" w:hint="eastAsia"/>
          <w:snapToGrid/>
        </w:rPr>
        <w:t>，我國政府自</w:t>
      </w:r>
      <w:r>
        <w:rPr>
          <w:rFonts w:hAnsi="標楷體" w:hint="eastAsia"/>
        </w:rPr>
        <w:t>99年起</w:t>
      </w:r>
      <w:r w:rsidRPr="009F4F2A">
        <w:rPr>
          <w:rFonts w:hint="eastAsia"/>
        </w:rPr>
        <w:t>推動</w:t>
      </w:r>
      <w:r>
        <w:rPr>
          <w:rFonts w:hint="eastAsia"/>
        </w:rPr>
        <w:t>電動公車</w:t>
      </w:r>
      <w:r>
        <w:rPr>
          <w:rFonts w:hAnsi="標楷體" w:hint="eastAsia"/>
        </w:rPr>
        <w:t>，</w:t>
      </w:r>
      <w:r>
        <w:rPr>
          <w:rFonts w:hint="eastAsia"/>
        </w:rPr>
        <w:t>迄11</w:t>
      </w:r>
      <w:r>
        <w:t>2</w:t>
      </w:r>
      <w:r>
        <w:rPr>
          <w:rFonts w:hint="eastAsia"/>
        </w:rPr>
        <w:t>年</w:t>
      </w:r>
      <w:r w:rsidRPr="00D77059">
        <w:rPr>
          <w:rFonts w:hint="eastAsia"/>
          <w:snapToGrid/>
        </w:rPr>
        <w:t>底止</w:t>
      </w:r>
      <w:r w:rsidRPr="009F4F2A">
        <w:rPr>
          <w:rFonts w:hint="eastAsia"/>
        </w:rPr>
        <w:t>執行成效未如預期，</w:t>
      </w:r>
      <w:r w:rsidRPr="00C469FC">
        <w:rPr>
          <w:rFonts w:hint="eastAsia"/>
        </w:rPr>
        <w:t>允宜跨部會研謀</w:t>
      </w:r>
      <w:r>
        <w:rPr>
          <w:rFonts w:hint="eastAsia"/>
        </w:rPr>
        <w:t>改善策略</w:t>
      </w:r>
      <w:r>
        <w:rPr>
          <w:rFonts w:hAnsi="標楷體" w:hint="eastAsia"/>
        </w:rPr>
        <w:t>，</w:t>
      </w:r>
      <w:r w:rsidRPr="00EE02B9">
        <w:rPr>
          <w:rFonts w:hAnsi="標楷體" w:hint="eastAsia"/>
        </w:rPr>
        <w:t>分由產業面、營運面及能源面，提出</w:t>
      </w:r>
      <w:r>
        <w:rPr>
          <w:rFonts w:hAnsi="標楷體" w:hint="eastAsia"/>
        </w:rPr>
        <w:t>策進措施，</w:t>
      </w:r>
      <w:r w:rsidRPr="00C469FC">
        <w:rPr>
          <w:rFonts w:hint="eastAsia"/>
        </w:rPr>
        <w:t>積極</w:t>
      </w:r>
      <w:r>
        <w:rPr>
          <w:rFonts w:hint="eastAsia"/>
        </w:rPr>
        <w:t>輔導</w:t>
      </w:r>
      <w:r w:rsidRPr="00C469FC">
        <w:rPr>
          <w:rFonts w:hint="eastAsia"/>
        </w:rPr>
        <w:t>各業者</w:t>
      </w:r>
      <w:r>
        <w:rPr>
          <w:rFonts w:hint="eastAsia"/>
        </w:rPr>
        <w:t>提高產(效)能</w:t>
      </w:r>
      <w:r>
        <w:rPr>
          <w:rFonts w:hAnsi="標楷體" w:hint="eastAsia"/>
        </w:rPr>
        <w:t>，</w:t>
      </w:r>
      <w:r>
        <w:rPr>
          <w:rFonts w:hint="eastAsia"/>
        </w:rPr>
        <w:t>並</w:t>
      </w:r>
      <w:r w:rsidRPr="00C469FC">
        <w:rPr>
          <w:rFonts w:hint="eastAsia"/>
        </w:rPr>
        <w:t>協助</w:t>
      </w:r>
      <w:r>
        <w:rPr>
          <w:rFonts w:hint="eastAsia"/>
        </w:rPr>
        <w:t>降低營運成本</w:t>
      </w:r>
      <w:r>
        <w:rPr>
          <w:rFonts w:hAnsi="標楷體" w:hint="eastAsia"/>
        </w:rPr>
        <w:t>，</w:t>
      </w:r>
      <w:r>
        <w:rPr>
          <w:rFonts w:hint="eastAsia"/>
        </w:rPr>
        <w:t>迅予</w:t>
      </w:r>
      <w:r w:rsidRPr="00C469FC">
        <w:rPr>
          <w:rFonts w:hint="eastAsia"/>
        </w:rPr>
        <w:t>投入電巴市場加速普及，</w:t>
      </w:r>
      <w:r>
        <w:rPr>
          <w:rFonts w:hint="eastAsia"/>
        </w:rPr>
        <w:t>降低</w:t>
      </w:r>
      <w:r w:rsidRPr="00505428">
        <w:rPr>
          <w:rFonts w:hint="eastAsia"/>
        </w:rPr>
        <w:t>汽柴油等化石燃料</w:t>
      </w:r>
      <w:r>
        <w:rPr>
          <w:rFonts w:hint="eastAsia"/>
        </w:rPr>
        <w:t>使用率</w:t>
      </w:r>
      <w:r>
        <w:rPr>
          <w:rFonts w:hAnsi="標楷體" w:hint="eastAsia"/>
        </w:rPr>
        <w:t>，</w:t>
      </w:r>
      <w:r>
        <w:rPr>
          <w:rFonts w:hint="eastAsia"/>
        </w:rPr>
        <w:t>俾利推動</w:t>
      </w:r>
      <w:r w:rsidRPr="00D77059">
        <w:rPr>
          <w:rFonts w:hint="eastAsia"/>
        </w:rPr>
        <w:t>市區公車全面電動化</w:t>
      </w:r>
      <w:r w:rsidRPr="009F4F2A">
        <w:rPr>
          <w:rFonts w:hint="eastAsia"/>
        </w:rPr>
        <w:t>，</w:t>
      </w:r>
      <w:r w:rsidRPr="00D36464">
        <w:rPr>
          <w:rFonts w:hint="eastAsia"/>
        </w:rPr>
        <w:t>以實現淨零排放之目標</w:t>
      </w:r>
      <w:r w:rsidRPr="00B04F8E">
        <w:rPr>
          <w:rFonts w:hint="eastAsia"/>
        </w:rPr>
        <w:t>。</w:t>
      </w:r>
    </w:p>
    <w:p w:rsidR="009C53C7" w:rsidRPr="00142905" w:rsidRDefault="009C53C7" w:rsidP="00640605">
      <w:pPr>
        <w:pStyle w:val="ad"/>
        <w:rPr>
          <w:bCs/>
        </w:rPr>
      </w:pPr>
      <w:r w:rsidRPr="00B04F8E">
        <w:rPr>
          <w:rFonts w:hint="eastAsia"/>
        </w:rPr>
        <w:t>(分機：1937鄧可容)</w:t>
      </w:r>
    </w:p>
    <w:sectPr w:rsidR="009C53C7" w:rsidRPr="00142905" w:rsidSect="00BD0C6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7BC" w:rsidRDefault="00DB57BC">
      <w:pPr>
        <w:spacing w:line="240" w:lineRule="auto"/>
        <w:ind w:left="560" w:firstLine="560"/>
      </w:pPr>
      <w:r>
        <w:separator/>
      </w:r>
    </w:p>
  </w:endnote>
  <w:endnote w:type="continuationSeparator" w:id="0">
    <w:p w:rsidR="00DB57BC" w:rsidRDefault="00DB57B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802C02">
      <w:rPr>
        <w:rStyle w:val="af6"/>
        <w:noProof/>
      </w:rPr>
      <w:t>5</w:t>
    </w:r>
    <w:r>
      <w:rPr>
        <w:rStyle w:val="af6"/>
      </w:rPr>
      <w:fldChar w:fldCharType="end"/>
    </w:r>
  </w:p>
  <w:p w:rsidR="00064496" w:rsidRPr="00BD0C62" w:rsidRDefault="00064496" w:rsidP="00BD0C62">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7BC" w:rsidRDefault="00DB57BC">
      <w:pPr>
        <w:spacing w:line="240" w:lineRule="auto"/>
        <w:ind w:left="560" w:firstLine="560"/>
      </w:pPr>
      <w:r>
        <w:separator/>
      </w:r>
    </w:p>
  </w:footnote>
  <w:footnote w:type="continuationSeparator" w:id="0">
    <w:p w:rsidR="00DB57BC" w:rsidRDefault="00DB57BC">
      <w:pPr>
        <w:spacing w:line="240" w:lineRule="auto"/>
        <w:ind w:left="560" w:firstLine="560"/>
      </w:pPr>
      <w:r>
        <w:continuationSeparator/>
      </w:r>
    </w:p>
  </w:footnote>
  <w:footnote w:id="1">
    <w:p w:rsidR="00064496" w:rsidRPr="00764D21" w:rsidRDefault="00064496" w:rsidP="00640605">
      <w:pPr>
        <w:pStyle w:val="af7"/>
        <w:adjustRightInd w:val="0"/>
        <w:ind w:left="152" w:hangingChars="75" w:hanging="152"/>
        <w:rPr>
          <w:rStyle w:val="143"/>
        </w:rPr>
      </w:pPr>
      <w:r>
        <w:rPr>
          <w:rStyle w:val="af5"/>
        </w:rPr>
        <w:footnoteRef/>
      </w:r>
      <w:r>
        <w:t xml:space="preserve"> </w:t>
      </w:r>
      <w:r w:rsidRPr="00764D21">
        <w:rPr>
          <w:rStyle w:val="143"/>
          <w:rFonts w:hint="eastAsia"/>
        </w:rPr>
        <w:t>據「2030年客運車輛電動化推動計畫(113年至119年)」所訂119年累計購車補助輛數之目標值為12</w:t>
      </w:r>
      <w:r w:rsidRPr="00764D21">
        <w:rPr>
          <w:rStyle w:val="143"/>
        </w:rPr>
        <w:t>,170</w:t>
      </w:r>
      <w:r w:rsidRPr="00764D21">
        <w:rPr>
          <w:rStyle w:val="143"/>
          <w:rFonts w:hint="eastAsia"/>
        </w:rPr>
        <w:t>輛。</w:t>
      </w:r>
    </w:p>
  </w:footnote>
  <w:footnote w:id="2">
    <w:p w:rsidR="00064496" w:rsidRPr="00631BFD" w:rsidRDefault="00064496" w:rsidP="00640605">
      <w:pPr>
        <w:pStyle w:val="af7"/>
        <w:ind w:left="152" w:hangingChars="75" w:hanging="152"/>
        <w:rPr>
          <w:sz w:val="24"/>
          <w:szCs w:val="24"/>
        </w:rPr>
      </w:pPr>
      <w:r>
        <w:rPr>
          <w:rStyle w:val="af5"/>
        </w:rPr>
        <w:footnoteRef/>
      </w:r>
      <w:r>
        <w:t xml:space="preserve"> </w:t>
      </w:r>
      <w:r w:rsidRPr="00792CEA">
        <w:rPr>
          <w:rStyle w:val="143"/>
          <w:rFonts w:hint="eastAsia"/>
        </w:rPr>
        <w:t>參據112年6月7日行政院公共工程委員會邀請交通部運輸研究所談「運輸部門2050淨零排放發展策略」之資料。</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6B40746"/>
    <w:multiLevelType w:val="multilevel"/>
    <w:tmpl w:val="41942B24"/>
    <w:lvl w:ilvl="0">
      <w:start w:val="1"/>
      <w:numFmt w:val="bullet"/>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2"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AEA7E64"/>
    <w:multiLevelType w:val="hybridMultilevel"/>
    <w:tmpl w:val="377295F2"/>
    <w:lvl w:ilvl="0" w:tplc="EEE68D0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1B4027"/>
    <w:multiLevelType w:val="hybridMultilevel"/>
    <w:tmpl w:val="35F8C8CE"/>
    <w:lvl w:ilvl="0" w:tplc="EDD6F310">
      <w:start w:val="8"/>
      <w:numFmt w:val="bullet"/>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5" w15:restartNumberingAfterBreak="0">
    <w:nsid w:val="2DAC4918"/>
    <w:multiLevelType w:val="hybridMultilevel"/>
    <w:tmpl w:val="88965082"/>
    <w:lvl w:ilvl="0" w:tplc="36AA6A7C">
      <w:start w:val="1"/>
      <w:numFmt w:val="decimal"/>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30D34C6A"/>
    <w:multiLevelType w:val="hybridMultilevel"/>
    <w:tmpl w:val="3822D1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8" w15:restartNumberingAfterBreak="0">
    <w:nsid w:val="421F5342"/>
    <w:multiLevelType w:val="hybridMultilevel"/>
    <w:tmpl w:val="143CA87A"/>
    <w:lvl w:ilvl="0" w:tplc="4144221C">
      <w:start w:val="1"/>
      <w:numFmt w:val="taiwaneseCountingThousand"/>
      <w:lvlText w:val="%1、"/>
      <w:lvlJc w:val="left"/>
      <w:pPr>
        <w:tabs>
          <w:tab w:val="num" w:pos="720"/>
        </w:tabs>
        <w:ind w:left="720" w:hanging="720"/>
      </w:pPr>
      <w:rPr>
        <w:rFonts w:hAnsi="標楷體"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6283F89"/>
    <w:multiLevelType w:val="hybridMultilevel"/>
    <w:tmpl w:val="3DF690B0"/>
    <w:lvl w:ilvl="0" w:tplc="C43CA9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53220C0C"/>
    <w:multiLevelType w:val="hybridMultilevel"/>
    <w:tmpl w:val="B306920C"/>
    <w:lvl w:ilvl="0" w:tplc="04090015">
      <w:start w:val="1"/>
      <w:numFmt w:val="taiwaneseCountingThousand"/>
      <w:lvlText w:val="%1、"/>
      <w:lvlJc w:val="left"/>
      <w:pPr>
        <w:ind w:left="530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CF3A32"/>
    <w:multiLevelType w:val="hybridMultilevel"/>
    <w:tmpl w:val="41942B24"/>
    <w:lvl w:ilvl="0" w:tplc="8D6AC31A">
      <w:start w:val="1"/>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12" w15:restartNumberingAfterBreak="0">
    <w:nsid w:val="639A5712"/>
    <w:multiLevelType w:val="hybridMultilevel"/>
    <w:tmpl w:val="0DA4AEAE"/>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6E104F3"/>
    <w:multiLevelType w:val="hybridMultilevel"/>
    <w:tmpl w:val="F6C22B70"/>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A7F4D20"/>
    <w:multiLevelType w:val="hybridMultilevel"/>
    <w:tmpl w:val="2A927E38"/>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E835633"/>
    <w:multiLevelType w:val="hybridMultilevel"/>
    <w:tmpl w:val="731C7C9A"/>
    <w:lvl w:ilvl="0" w:tplc="91BC597C">
      <w:start w:val="1"/>
      <w:numFmt w:val="decimal"/>
      <w:lvlText w:val="第%1項、"/>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E981ECB"/>
    <w:multiLevelType w:val="hybridMultilevel"/>
    <w:tmpl w:val="342A7CB8"/>
    <w:lvl w:ilvl="0" w:tplc="8766DBFE">
      <w:start w:val="17"/>
      <w:numFmt w:val="bullet"/>
      <w:lvlText w:val="※"/>
      <w:lvlJc w:val="left"/>
      <w:pPr>
        <w:tabs>
          <w:tab w:val="num" w:pos="346"/>
        </w:tabs>
        <w:ind w:left="346" w:hanging="360"/>
      </w:pPr>
      <w:rPr>
        <w:rFonts w:ascii="標楷體" w:eastAsia="標楷體" w:hAnsi="標楷體" w:cs="Times New Roman" w:hint="eastAsia"/>
      </w:rPr>
    </w:lvl>
    <w:lvl w:ilvl="1" w:tplc="04090003" w:tentative="1">
      <w:start w:val="1"/>
      <w:numFmt w:val="bullet"/>
      <w:lvlText w:val=""/>
      <w:lvlJc w:val="left"/>
      <w:pPr>
        <w:tabs>
          <w:tab w:val="num" w:pos="946"/>
        </w:tabs>
        <w:ind w:left="946" w:hanging="480"/>
      </w:pPr>
      <w:rPr>
        <w:rFonts w:ascii="Wingdings" w:hAnsi="Wingdings" w:hint="default"/>
      </w:rPr>
    </w:lvl>
    <w:lvl w:ilvl="2" w:tplc="04090005" w:tentative="1">
      <w:start w:val="1"/>
      <w:numFmt w:val="bullet"/>
      <w:lvlText w:val=""/>
      <w:lvlJc w:val="left"/>
      <w:pPr>
        <w:tabs>
          <w:tab w:val="num" w:pos="1426"/>
        </w:tabs>
        <w:ind w:left="1426" w:hanging="480"/>
      </w:pPr>
      <w:rPr>
        <w:rFonts w:ascii="Wingdings" w:hAnsi="Wingdings" w:hint="default"/>
      </w:rPr>
    </w:lvl>
    <w:lvl w:ilvl="3" w:tplc="04090001" w:tentative="1">
      <w:start w:val="1"/>
      <w:numFmt w:val="bullet"/>
      <w:lvlText w:val=""/>
      <w:lvlJc w:val="left"/>
      <w:pPr>
        <w:tabs>
          <w:tab w:val="num" w:pos="1906"/>
        </w:tabs>
        <w:ind w:left="1906" w:hanging="480"/>
      </w:pPr>
      <w:rPr>
        <w:rFonts w:ascii="Wingdings" w:hAnsi="Wingdings" w:hint="default"/>
      </w:rPr>
    </w:lvl>
    <w:lvl w:ilvl="4" w:tplc="04090003" w:tentative="1">
      <w:start w:val="1"/>
      <w:numFmt w:val="bullet"/>
      <w:lvlText w:val=""/>
      <w:lvlJc w:val="left"/>
      <w:pPr>
        <w:tabs>
          <w:tab w:val="num" w:pos="2386"/>
        </w:tabs>
        <w:ind w:left="2386" w:hanging="480"/>
      </w:pPr>
      <w:rPr>
        <w:rFonts w:ascii="Wingdings" w:hAnsi="Wingdings" w:hint="default"/>
      </w:rPr>
    </w:lvl>
    <w:lvl w:ilvl="5" w:tplc="04090005" w:tentative="1">
      <w:start w:val="1"/>
      <w:numFmt w:val="bullet"/>
      <w:lvlText w:val=""/>
      <w:lvlJc w:val="left"/>
      <w:pPr>
        <w:tabs>
          <w:tab w:val="num" w:pos="2866"/>
        </w:tabs>
        <w:ind w:left="2866" w:hanging="480"/>
      </w:pPr>
      <w:rPr>
        <w:rFonts w:ascii="Wingdings" w:hAnsi="Wingdings" w:hint="default"/>
      </w:rPr>
    </w:lvl>
    <w:lvl w:ilvl="6" w:tplc="04090001" w:tentative="1">
      <w:start w:val="1"/>
      <w:numFmt w:val="bullet"/>
      <w:lvlText w:val=""/>
      <w:lvlJc w:val="left"/>
      <w:pPr>
        <w:tabs>
          <w:tab w:val="num" w:pos="3346"/>
        </w:tabs>
        <w:ind w:left="3346" w:hanging="480"/>
      </w:pPr>
      <w:rPr>
        <w:rFonts w:ascii="Wingdings" w:hAnsi="Wingdings" w:hint="default"/>
      </w:rPr>
    </w:lvl>
    <w:lvl w:ilvl="7" w:tplc="04090003" w:tentative="1">
      <w:start w:val="1"/>
      <w:numFmt w:val="bullet"/>
      <w:lvlText w:val=""/>
      <w:lvlJc w:val="left"/>
      <w:pPr>
        <w:tabs>
          <w:tab w:val="num" w:pos="3826"/>
        </w:tabs>
        <w:ind w:left="3826" w:hanging="480"/>
      </w:pPr>
      <w:rPr>
        <w:rFonts w:ascii="Wingdings" w:hAnsi="Wingdings" w:hint="default"/>
      </w:rPr>
    </w:lvl>
    <w:lvl w:ilvl="8" w:tplc="04090005" w:tentative="1">
      <w:start w:val="1"/>
      <w:numFmt w:val="bullet"/>
      <w:lvlText w:val=""/>
      <w:lvlJc w:val="left"/>
      <w:pPr>
        <w:tabs>
          <w:tab w:val="num" w:pos="4306"/>
        </w:tabs>
        <w:ind w:left="4306" w:hanging="480"/>
      </w:pPr>
      <w:rPr>
        <w:rFonts w:ascii="Wingdings" w:hAnsi="Wingdings" w:hint="default"/>
      </w:rPr>
    </w:lvl>
  </w:abstractNum>
  <w:abstractNum w:abstractNumId="17" w15:restartNumberingAfterBreak="0">
    <w:nsid w:val="6FC7669A"/>
    <w:multiLevelType w:val="hybridMultilevel"/>
    <w:tmpl w:val="5588B3E4"/>
    <w:lvl w:ilvl="0" w:tplc="5A642DB2">
      <w:start w:val="39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29935AD"/>
    <w:multiLevelType w:val="hybridMultilevel"/>
    <w:tmpl w:val="67409E98"/>
    <w:lvl w:ilvl="0" w:tplc="8C4CB3CE">
      <w:start w:val="1"/>
      <w:numFmt w:val="bullet"/>
      <w:lvlText w:val="※"/>
      <w:lvlJc w:val="left"/>
      <w:pPr>
        <w:tabs>
          <w:tab w:val="num" w:pos="1157"/>
        </w:tabs>
        <w:ind w:left="1157" w:hanging="360"/>
      </w:pPr>
      <w:rPr>
        <w:rFonts w:ascii="標楷體" w:eastAsia="標楷體" w:hAnsi="標楷體" w:cs="Times New Roman" w:hint="eastAsia"/>
      </w:rPr>
    </w:lvl>
    <w:lvl w:ilvl="1" w:tplc="04090003" w:tentative="1">
      <w:start w:val="1"/>
      <w:numFmt w:val="bullet"/>
      <w:lvlText w:val=""/>
      <w:lvlJc w:val="left"/>
      <w:pPr>
        <w:tabs>
          <w:tab w:val="num" w:pos="1757"/>
        </w:tabs>
        <w:ind w:left="1757" w:hanging="480"/>
      </w:pPr>
      <w:rPr>
        <w:rFonts w:ascii="Wingdings" w:hAnsi="Wingdings" w:hint="default"/>
      </w:rPr>
    </w:lvl>
    <w:lvl w:ilvl="2" w:tplc="04090005" w:tentative="1">
      <w:start w:val="1"/>
      <w:numFmt w:val="bullet"/>
      <w:lvlText w:val=""/>
      <w:lvlJc w:val="left"/>
      <w:pPr>
        <w:tabs>
          <w:tab w:val="num" w:pos="2237"/>
        </w:tabs>
        <w:ind w:left="2237" w:hanging="480"/>
      </w:pPr>
      <w:rPr>
        <w:rFonts w:ascii="Wingdings" w:hAnsi="Wingdings" w:hint="default"/>
      </w:rPr>
    </w:lvl>
    <w:lvl w:ilvl="3" w:tplc="04090001" w:tentative="1">
      <w:start w:val="1"/>
      <w:numFmt w:val="bullet"/>
      <w:lvlText w:val=""/>
      <w:lvlJc w:val="left"/>
      <w:pPr>
        <w:tabs>
          <w:tab w:val="num" w:pos="2717"/>
        </w:tabs>
        <w:ind w:left="2717" w:hanging="480"/>
      </w:pPr>
      <w:rPr>
        <w:rFonts w:ascii="Wingdings" w:hAnsi="Wingdings" w:hint="default"/>
      </w:rPr>
    </w:lvl>
    <w:lvl w:ilvl="4" w:tplc="04090003" w:tentative="1">
      <w:start w:val="1"/>
      <w:numFmt w:val="bullet"/>
      <w:lvlText w:val=""/>
      <w:lvlJc w:val="left"/>
      <w:pPr>
        <w:tabs>
          <w:tab w:val="num" w:pos="3197"/>
        </w:tabs>
        <w:ind w:left="3197" w:hanging="480"/>
      </w:pPr>
      <w:rPr>
        <w:rFonts w:ascii="Wingdings" w:hAnsi="Wingdings" w:hint="default"/>
      </w:rPr>
    </w:lvl>
    <w:lvl w:ilvl="5" w:tplc="04090005" w:tentative="1">
      <w:start w:val="1"/>
      <w:numFmt w:val="bullet"/>
      <w:lvlText w:val=""/>
      <w:lvlJc w:val="left"/>
      <w:pPr>
        <w:tabs>
          <w:tab w:val="num" w:pos="3677"/>
        </w:tabs>
        <w:ind w:left="3677" w:hanging="480"/>
      </w:pPr>
      <w:rPr>
        <w:rFonts w:ascii="Wingdings" w:hAnsi="Wingdings" w:hint="default"/>
      </w:rPr>
    </w:lvl>
    <w:lvl w:ilvl="6" w:tplc="04090001" w:tentative="1">
      <w:start w:val="1"/>
      <w:numFmt w:val="bullet"/>
      <w:lvlText w:val=""/>
      <w:lvlJc w:val="left"/>
      <w:pPr>
        <w:tabs>
          <w:tab w:val="num" w:pos="4157"/>
        </w:tabs>
        <w:ind w:left="4157" w:hanging="480"/>
      </w:pPr>
      <w:rPr>
        <w:rFonts w:ascii="Wingdings" w:hAnsi="Wingdings" w:hint="default"/>
      </w:rPr>
    </w:lvl>
    <w:lvl w:ilvl="7" w:tplc="04090003" w:tentative="1">
      <w:start w:val="1"/>
      <w:numFmt w:val="bullet"/>
      <w:lvlText w:val=""/>
      <w:lvlJc w:val="left"/>
      <w:pPr>
        <w:tabs>
          <w:tab w:val="num" w:pos="4637"/>
        </w:tabs>
        <w:ind w:left="4637" w:hanging="480"/>
      </w:pPr>
      <w:rPr>
        <w:rFonts w:ascii="Wingdings" w:hAnsi="Wingdings" w:hint="default"/>
      </w:rPr>
    </w:lvl>
    <w:lvl w:ilvl="8" w:tplc="04090005" w:tentative="1">
      <w:start w:val="1"/>
      <w:numFmt w:val="bullet"/>
      <w:lvlText w:val=""/>
      <w:lvlJc w:val="left"/>
      <w:pPr>
        <w:tabs>
          <w:tab w:val="num" w:pos="5117"/>
        </w:tabs>
        <w:ind w:left="5117" w:hanging="480"/>
      </w:pPr>
      <w:rPr>
        <w:rFonts w:ascii="Wingdings" w:hAnsi="Wingdings" w:hint="default"/>
      </w:rPr>
    </w:lvl>
  </w:abstractNum>
  <w:abstractNum w:abstractNumId="19" w15:restartNumberingAfterBreak="0">
    <w:nsid w:val="76B3064F"/>
    <w:multiLevelType w:val="hybridMultilevel"/>
    <w:tmpl w:val="5B52DA96"/>
    <w:lvl w:ilvl="0" w:tplc="D71277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C1034E0"/>
    <w:multiLevelType w:val="hybridMultilevel"/>
    <w:tmpl w:val="B2EC7E66"/>
    <w:lvl w:ilvl="0" w:tplc="4C5262A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7E3F7DE7"/>
    <w:multiLevelType w:val="hybridMultilevel"/>
    <w:tmpl w:val="23DAA5F6"/>
    <w:lvl w:ilvl="0" w:tplc="1D3E19E8">
      <w:start w:val="2"/>
      <w:numFmt w:val="bullet"/>
      <w:lvlText w:val="※"/>
      <w:lvlJc w:val="left"/>
      <w:pPr>
        <w:tabs>
          <w:tab w:val="num" w:pos="-45"/>
        </w:tabs>
        <w:ind w:left="-45" w:hanging="360"/>
      </w:pPr>
      <w:rPr>
        <w:rFonts w:ascii="標楷體" w:eastAsia="標楷體" w:hAnsi="標楷體" w:cs="Times New Roman" w:hint="eastAsia"/>
      </w:rPr>
    </w:lvl>
    <w:lvl w:ilvl="1" w:tplc="04090003" w:tentative="1">
      <w:start w:val="1"/>
      <w:numFmt w:val="bullet"/>
      <w:lvlText w:val=""/>
      <w:lvlJc w:val="left"/>
      <w:pPr>
        <w:tabs>
          <w:tab w:val="num" w:pos="555"/>
        </w:tabs>
        <w:ind w:left="555" w:hanging="480"/>
      </w:pPr>
      <w:rPr>
        <w:rFonts w:ascii="Wingdings" w:hAnsi="Wingdings" w:hint="default"/>
      </w:rPr>
    </w:lvl>
    <w:lvl w:ilvl="2" w:tplc="04090005" w:tentative="1">
      <w:start w:val="1"/>
      <w:numFmt w:val="bullet"/>
      <w:lvlText w:val=""/>
      <w:lvlJc w:val="left"/>
      <w:pPr>
        <w:tabs>
          <w:tab w:val="num" w:pos="1035"/>
        </w:tabs>
        <w:ind w:left="1035" w:hanging="480"/>
      </w:pPr>
      <w:rPr>
        <w:rFonts w:ascii="Wingdings" w:hAnsi="Wingdings" w:hint="default"/>
      </w:rPr>
    </w:lvl>
    <w:lvl w:ilvl="3" w:tplc="04090001" w:tentative="1">
      <w:start w:val="1"/>
      <w:numFmt w:val="bullet"/>
      <w:lvlText w:val=""/>
      <w:lvlJc w:val="left"/>
      <w:pPr>
        <w:tabs>
          <w:tab w:val="num" w:pos="1515"/>
        </w:tabs>
        <w:ind w:left="1515" w:hanging="480"/>
      </w:pPr>
      <w:rPr>
        <w:rFonts w:ascii="Wingdings" w:hAnsi="Wingdings" w:hint="default"/>
      </w:rPr>
    </w:lvl>
    <w:lvl w:ilvl="4" w:tplc="04090003" w:tentative="1">
      <w:start w:val="1"/>
      <w:numFmt w:val="bullet"/>
      <w:lvlText w:val=""/>
      <w:lvlJc w:val="left"/>
      <w:pPr>
        <w:tabs>
          <w:tab w:val="num" w:pos="1995"/>
        </w:tabs>
        <w:ind w:left="1995" w:hanging="480"/>
      </w:pPr>
      <w:rPr>
        <w:rFonts w:ascii="Wingdings" w:hAnsi="Wingdings" w:hint="default"/>
      </w:rPr>
    </w:lvl>
    <w:lvl w:ilvl="5" w:tplc="04090005" w:tentative="1">
      <w:start w:val="1"/>
      <w:numFmt w:val="bullet"/>
      <w:lvlText w:val=""/>
      <w:lvlJc w:val="left"/>
      <w:pPr>
        <w:tabs>
          <w:tab w:val="num" w:pos="2475"/>
        </w:tabs>
        <w:ind w:left="2475" w:hanging="480"/>
      </w:pPr>
      <w:rPr>
        <w:rFonts w:ascii="Wingdings" w:hAnsi="Wingdings" w:hint="default"/>
      </w:rPr>
    </w:lvl>
    <w:lvl w:ilvl="6" w:tplc="04090001" w:tentative="1">
      <w:start w:val="1"/>
      <w:numFmt w:val="bullet"/>
      <w:lvlText w:val=""/>
      <w:lvlJc w:val="left"/>
      <w:pPr>
        <w:tabs>
          <w:tab w:val="num" w:pos="2955"/>
        </w:tabs>
        <w:ind w:left="2955" w:hanging="480"/>
      </w:pPr>
      <w:rPr>
        <w:rFonts w:ascii="Wingdings" w:hAnsi="Wingdings" w:hint="default"/>
      </w:rPr>
    </w:lvl>
    <w:lvl w:ilvl="7" w:tplc="04090003" w:tentative="1">
      <w:start w:val="1"/>
      <w:numFmt w:val="bullet"/>
      <w:lvlText w:val=""/>
      <w:lvlJc w:val="left"/>
      <w:pPr>
        <w:tabs>
          <w:tab w:val="num" w:pos="3435"/>
        </w:tabs>
        <w:ind w:left="3435" w:hanging="480"/>
      </w:pPr>
      <w:rPr>
        <w:rFonts w:ascii="Wingdings" w:hAnsi="Wingdings" w:hint="default"/>
      </w:rPr>
    </w:lvl>
    <w:lvl w:ilvl="8" w:tplc="04090005" w:tentative="1">
      <w:start w:val="1"/>
      <w:numFmt w:val="bullet"/>
      <w:lvlText w:val=""/>
      <w:lvlJc w:val="left"/>
      <w:pPr>
        <w:tabs>
          <w:tab w:val="num" w:pos="3915"/>
        </w:tabs>
        <w:ind w:left="3915" w:hanging="480"/>
      </w:pPr>
      <w:rPr>
        <w:rFonts w:ascii="Wingdings" w:hAnsi="Wingdings" w:hint="default"/>
      </w:rPr>
    </w:lvl>
  </w:abstractNum>
  <w:num w:numId="1">
    <w:abstractNumId w:val="10"/>
  </w:num>
  <w:num w:numId="2">
    <w:abstractNumId w:val="6"/>
  </w:num>
  <w:num w:numId="3">
    <w:abstractNumId w:val="3"/>
  </w:num>
  <w:num w:numId="4">
    <w:abstractNumId w:val="14"/>
  </w:num>
  <w:num w:numId="5">
    <w:abstractNumId w:val="12"/>
  </w:num>
  <w:num w:numId="6">
    <w:abstractNumId w:val="13"/>
  </w:num>
  <w:num w:numId="7">
    <w:abstractNumId w:val="4"/>
  </w:num>
  <w:num w:numId="8">
    <w:abstractNumId w:val="11"/>
  </w:num>
  <w:num w:numId="9">
    <w:abstractNumId w:val="1"/>
  </w:num>
  <w:num w:numId="10">
    <w:abstractNumId w:val="9"/>
  </w:num>
  <w:num w:numId="11">
    <w:abstractNumId w:val="5"/>
  </w:num>
  <w:num w:numId="12">
    <w:abstractNumId w:val="15"/>
  </w:num>
  <w:num w:numId="13">
    <w:abstractNumId w:val="0"/>
  </w:num>
  <w:num w:numId="14">
    <w:abstractNumId w:val="7"/>
  </w:num>
  <w:num w:numId="15">
    <w:abstractNumId w:val="8"/>
  </w:num>
  <w:num w:numId="16">
    <w:abstractNumId w:val="18"/>
  </w:num>
  <w:num w:numId="17">
    <w:abstractNumId w:val="20"/>
  </w:num>
  <w:num w:numId="18">
    <w:abstractNumId w:val="21"/>
  </w:num>
  <w:num w:numId="19">
    <w:abstractNumId w:val="16"/>
  </w:num>
  <w:num w:numId="20">
    <w:abstractNumId w:val="17"/>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55EFE"/>
    <w:rsid w:val="00056C2E"/>
    <w:rsid w:val="00064496"/>
    <w:rsid w:val="0006643B"/>
    <w:rsid w:val="00077E49"/>
    <w:rsid w:val="000A5DE5"/>
    <w:rsid w:val="000A78D4"/>
    <w:rsid w:val="000F0ED9"/>
    <w:rsid w:val="000F2C01"/>
    <w:rsid w:val="000F37FD"/>
    <w:rsid w:val="000F5283"/>
    <w:rsid w:val="00103618"/>
    <w:rsid w:val="00103E99"/>
    <w:rsid w:val="00134ED3"/>
    <w:rsid w:val="001435D4"/>
    <w:rsid w:val="00163CB3"/>
    <w:rsid w:val="0017126B"/>
    <w:rsid w:val="00183AD9"/>
    <w:rsid w:val="001B7074"/>
    <w:rsid w:val="001C0DD8"/>
    <w:rsid w:val="001D1032"/>
    <w:rsid w:val="002A790E"/>
    <w:rsid w:val="002C710B"/>
    <w:rsid w:val="002C7F69"/>
    <w:rsid w:val="002D3C26"/>
    <w:rsid w:val="00337B4D"/>
    <w:rsid w:val="003A0EBA"/>
    <w:rsid w:val="003A5E28"/>
    <w:rsid w:val="003B7E04"/>
    <w:rsid w:val="004017FA"/>
    <w:rsid w:val="00440ABE"/>
    <w:rsid w:val="004D0E24"/>
    <w:rsid w:val="005042BD"/>
    <w:rsid w:val="00522048"/>
    <w:rsid w:val="0057494E"/>
    <w:rsid w:val="005C739A"/>
    <w:rsid w:val="006352E4"/>
    <w:rsid w:val="00635332"/>
    <w:rsid w:val="00640605"/>
    <w:rsid w:val="00686F58"/>
    <w:rsid w:val="007B7912"/>
    <w:rsid w:val="007E4CE9"/>
    <w:rsid w:val="00802C02"/>
    <w:rsid w:val="008A3B7F"/>
    <w:rsid w:val="008F3BB8"/>
    <w:rsid w:val="009155E3"/>
    <w:rsid w:val="0093328C"/>
    <w:rsid w:val="0094743A"/>
    <w:rsid w:val="009C53C7"/>
    <w:rsid w:val="00A05192"/>
    <w:rsid w:val="00A06650"/>
    <w:rsid w:val="00A11205"/>
    <w:rsid w:val="00A15BFA"/>
    <w:rsid w:val="00A37D56"/>
    <w:rsid w:val="00A562A5"/>
    <w:rsid w:val="00A6527B"/>
    <w:rsid w:val="00AE7777"/>
    <w:rsid w:val="00B55401"/>
    <w:rsid w:val="00B650FC"/>
    <w:rsid w:val="00B67FAE"/>
    <w:rsid w:val="00B714E5"/>
    <w:rsid w:val="00B860F4"/>
    <w:rsid w:val="00B922F0"/>
    <w:rsid w:val="00B95916"/>
    <w:rsid w:val="00BA55F7"/>
    <w:rsid w:val="00BC5C71"/>
    <w:rsid w:val="00BD0C62"/>
    <w:rsid w:val="00BD4DE6"/>
    <w:rsid w:val="00C22934"/>
    <w:rsid w:val="00C41056"/>
    <w:rsid w:val="00C60665"/>
    <w:rsid w:val="00C629AF"/>
    <w:rsid w:val="00C708DE"/>
    <w:rsid w:val="00CE2AA0"/>
    <w:rsid w:val="00D64C7A"/>
    <w:rsid w:val="00DA2304"/>
    <w:rsid w:val="00DB57BC"/>
    <w:rsid w:val="00DC72FE"/>
    <w:rsid w:val="00E02B58"/>
    <w:rsid w:val="00E63CB9"/>
    <w:rsid w:val="00E75A6A"/>
    <w:rsid w:val="00EE64FD"/>
    <w:rsid w:val="00F24E82"/>
    <w:rsid w:val="00F312F0"/>
    <w:rsid w:val="00F42A94"/>
    <w:rsid w:val="00F64D1A"/>
    <w:rsid w:val="00F82E80"/>
    <w:rsid w:val="00FE2040"/>
    <w:rsid w:val="00FF54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_x0000_s1026"/>
      </o:rules>
    </o:shapelayout>
  </w:shapeDefaults>
  <w:decimalSymbol w:val="."/>
  <w:listSeparator w:val=","/>
  <w15:chartTrackingRefBased/>
  <w15:docId w15:val="{52C32229-13A1-42C3-8913-05B781281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8A3B7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8A3B7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8A3B7F"/>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1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C41056"/>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link w:val="af1"/>
    <w:uiPriority w:val="99"/>
    <w:rsid w:val="00C41056"/>
    <w:rPr>
      <w:rFonts w:ascii="標楷體" w:eastAsia="標楷體"/>
      <w:snapToGrid w:val="0"/>
      <w:kern w:val="2"/>
    </w:rPr>
  </w:style>
  <w:style w:type="paragraph" w:styleId="af3">
    <w:name w:val="footer"/>
    <w:basedOn w:val="a"/>
    <w:link w:val="af4"/>
    <w:uiPriority w:val="99"/>
    <w:unhideWhenUsed/>
    <w:rsid w:val="00C41056"/>
    <w:pPr>
      <w:tabs>
        <w:tab w:val="center" w:pos="4153"/>
        <w:tab w:val="right" w:pos="8306"/>
      </w:tabs>
      <w:snapToGrid w:val="0"/>
    </w:pPr>
    <w:rPr>
      <w:sz w:val="20"/>
      <w:szCs w:val="20"/>
    </w:rPr>
  </w:style>
  <w:style w:type="character" w:customStyle="1" w:styleId="af4">
    <w:name w:val="頁尾 字元"/>
    <w:link w:val="af3"/>
    <w:uiPriority w:val="99"/>
    <w:rsid w:val="00C41056"/>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qFormat/>
    <w:rsid w:val="00BC5C71"/>
    <w:rPr>
      <w:vertAlign w:val="superscript"/>
    </w:rPr>
  </w:style>
  <w:style w:type="character" w:customStyle="1" w:styleId="11">
    <w:name w:val="(一)(二)(三) 字元1"/>
    <w:link w:val="a5"/>
    <w:rsid w:val="00BC5C71"/>
    <w:rPr>
      <w:rFonts w:ascii="標楷體" w:eastAsia="標楷體"/>
      <w:snapToGrid w:val="0"/>
      <w:kern w:val="2"/>
      <w:sz w:val="28"/>
      <w:szCs w:val="28"/>
    </w:rPr>
  </w:style>
  <w:style w:type="character" w:customStyle="1" w:styleId="143">
    <w:name w:val="表格內文(14行高) 字元"/>
    <w:link w:val="142"/>
    <w:qFormat/>
    <w:rsid w:val="00BC5C71"/>
    <w:rPr>
      <w:rFonts w:ascii="標楷體" w:eastAsia="標楷體"/>
      <w:snapToGrid w:val="0"/>
      <w:kern w:val="2"/>
      <w:sz w:val="24"/>
      <w:szCs w:val="28"/>
    </w:rPr>
  </w:style>
  <w:style w:type="character" w:customStyle="1" w:styleId="af0">
    <w:name w:val="前言(一)(二)(三) 字元"/>
    <w:link w:val="af"/>
    <w:rsid w:val="00BC5C71"/>
    <w:rPr>
      <w:rFonts w:ascii="標楷體" w:eastAsia="標楷體"/>
      <w:snapToGrid w:val="0"/>
      <w:kern w:val="2"/>
      <w:sz w:val="28"/>
      <w:szCs w:val="28"/>
    </w:rPr>
  </w:style>
  <w:style w:type="character" w:customStyle="1" w:styleId="141">
    <w:name w:val="第二層(14號字) 字元1"/>
    <w:link w:val="14"/>
    <w:rsid w:val="00BC5C71"/>
    <w:rPr>
      <w:rFonts w:ascii="標楷體" w:eastAsia="標楷體"/>
      <w:b/>
      <w:snapToGrid w:val="0"/>
      <w:kern w:val="2"/>
      <w:sz w:val="28"/>
    </w:rPr>
  </w:style>
  <w:style w:type="character" w:customStyle="1" w:styleId="22">
    <w:name w:val="(一)下內文縮2 字元"/>
    <w:link w:val="21"/>
    <w:qFormat/>
    <w:rsid w:val="00BC5C71"/>
    <w:rPr>
      <w:rFonts w:ascii="標楷體" w:eastAsia="標楷體"/>
      <w:snapToGrid w:val="0"/>
      <w:kern w:val="2"/>
      <w:sz w:val="28"/>
      <w:szCs w:val="28"/>
    </w:rPr>
  </w:style>
  <w:style w:type="character" w:styleId="af6">
    <w:name w:val="page number"/>
    <w:basedOn w:val="a0"/>
    <w:rsid w:val="00BC5C71"/>
  </w:style>
  <w:style w:type="paragraph" w:styleId="af7">
    <w:name w:val="footnote text"/>
    <w:basedOn w:val="a"/>
    <w:link w:val="af8"/>
    <w:uiPriority w:val="99"/>
    <w:qFormat/>
    <w:rsid w:val="00BC5C71"/>
    <w:pPr>
      <w:snapToGrid w:val="0"/>
      <w:spacing w:line="240" w:lineRule="auto"/>
      <w:ind w:leftChars="0" w:left="0" w:firstLineChars="0" w:firstLine="0"/>
    </w:pPr>
    <w:rPr>
      <w:bCs/>
      <w:noProof/>
      <w:snapToGrid/>
      <w:kern w:val="0"/>
      <w:sz w:val="20"/>
    </w:rPr>
  </w:style>
  <w:style w:type="character" w:customStyle="1" w:styleId="af8">
    <w:name w:val="註腳文字 字元"/>
    <w:link w:val="af7"/>
    <w:uiPriority w:val="99"/>
    <w:rsid w:val="00BC5C71"/>
    <w:rPr>
      <w:rFonts w:ascii="標楷體" w:eastAsia="標楷體"/>
      <w:bCs/>
      <w:noProof/>
      <w:szCs w:val="28"/>
    </w:rPr>
  </w:style>
  <w:style w:type="paragraph" w:customStyle="1" w:styleId="Default">
    <w:name w:val="Default"/>
    <w:rsid w:val="00BC5C71"/>
    <w:pPr>
      <w:widowControl w:val="0"/>
      <w:autoSpaceDE w:val="0"/>
      <w:autoSpaceDN w:val="0"/>
      <w:adjustRightInd w:val="0"/>
    </w:pPr>
    <w:rPr>
      <w:rFonts w:ascii="標楷體" w:eastAsia="標楷體" w:hAnsi="Calibri" w:cs="標楷體"/>
      <w:color w:val="000000"/>
      <w:sz w:val="24"/>
      <w:szCs w:val="24"/>
    </w:rPr>
  </w:style>
  <w:style w:type="character" w:customStyle="1" w:styleId="1230">
    <w:name w:val="1.2.3. 字元"/>
    <w:link w:val="123"/>
    <w:rsid w:val="00BC5C71"/>
    <w:rPr>
      <w:rFonts w:ascii="標楷體" w:eastAsia="標楷體"/>
      <w:snapToGrid w:val="0"/>
      <w:kern w:val="2"/>
      <w:sz w:val="28"/>
      <w:szCs w:val="28"/>
    </w:rPr>
  </w:style>
  <w:style w:type="character" w:customStyle="1" w:styleId="24">
    <w:name w:val="(一)(二)(三) 字元2"/>
    <w:qFormat/>
    <w:rsid w:val="00BC5C71"/>
    <w:rPr>
      <w:rFonts w:ascii="標楷體" w:eastAsia="標楷體"/>
      <w:snapToGrid w:val="0"/>
      <w:kern w:val="2"/>
      <w:sz w:val="28"/>
      <w:szCs w:val="28"/>
    </w:rPr>
  </w:style>
  <w:style w:type="character" w:customStyle="1" w:styleId="ae">
    <w:name w:val="姓名及分機 字元"/>
    <w:link w:val="ad"/>
    <w:rsid w:val="00BC5C71"/>
    <w:rPr>
      <w:rFonts w:ascii="標楷體" w:eastAsia="標楷體"/>
      <w:snapToGrid w:val="0"/>
      <w:kern w:val="2"/>
      <w:sz w:val="24"/>
      <w:szCs w:val="28"/>
    </w:rPr>
  </w:style>
  <w:style w:type="paragraph" w:customStyle="1" w:styleId="af9">
    <w:name w:val="註腳"/>
    <w:basedOn w:val="af7"/>
    <w:qFormat/>
    <w:rsid w:val="00CE2AA0"/>
    <w:pPr>
      <w:spacing w:line="260" w:lineRule="exact"/>
      <w:ind w:left="194" w:hangingChars="87" w:hanging="194"/>
    </w:pPr>
    <w:rPr>
      <w:sz w:val="24"/>
      <w:szCs w:val="22"/>
    </w:rPr>
  </w:style>
  <w:style w:type="character" w:customStyle="1" w:styleId="145">
    <w:name w:val="第二層(14號字) 字元"/>
    <w:rsid w:val="00CE2AA0"/>
    <w:rPr>
      <w:rFonts w:ascii="標楷體" w:eastAsia="標楷體" w:hAnsi="Times New Roman" w:cs="Times New Roman"/>
      <w:b/>
      <w:snapToGrid w:val="0"/>
      <w:sz w:val="28"/>
      <w:szCs w:val="20"/>
    </w:rPr>
  </w:style>
  <w:style w:type="paragraph" w:customStyle="1" w:styleId="146">
    <w:name w:val="註腳(表格內文14行高左右齊)"/>
    <w:basedOn w:val="142"/>
    <w:qFormat/>
    <w:rsid w:val="00CE2AA0"/>
    <w:pPr>
      <w:wordWrap w:val="0"/>
      <w:ind w:leftChars="-15" w:left="153" w:hangingChars="80" w:hanging="195"/>
      <w:jc w:val="both"/>
    </w:pPr>
  </w:style>
  <w:style w:type="character" w:styleId="afa">
    <w:name w:val="Emphasis"/>
    <w:uiPriority w:val="20"/>
    <w:qFormat/>
    <w:rsid w:val="00CE2AA0"/>
    <w:rPr>
      <w:i/>
      <w:iCs/>
    </w:rPr>
  </w:style>
  <w:style w:type="paragraph" w:styleId="afb">
    <w:name w:val="Balloon Text"/>
    <w:basedOn w:val="a"/>
    <w:link w:val="afc"/>
    <w:uiPriority w:val="99"/>
    <w:semiHidden/>
    <w:unhideWhenUsed/>
    <w:rsid w:val="00CE2AA0"/>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CE2AA0"/>
    <w:rPr>
      <w:rFonts w:ascii="Calibri Light" w:hAnsi="Calibri Light"/>
      <w:snapToGrid w:val="0"/>
      <w:kern w:val="2"/>
      <w:sz w:val="18"/>
      <w:szCs w:val="18"/>
    </w:rPr>
  </w:style>
  <w:style w:type="paragraph" w:customStyle="1" w:styleId="220">
    <w:name w:val="樣式 左:  2 字元 第一行:  2 字元"/>
    <w:basedOn w:val="a"/>
    <w:rsid w:val="00CE2AA0"/>
    <w:pPr>
      <w:ind w:left="566" w:firstLine="566"/>
    </w:pPr>
    <w:rPr>
      <w:rFonts w:cs="新細明體"/>
      <w:szCs w:val="20"/>
    </w:rPr>
  </w:style>
  <w:style w:type="paragraph" w:customStyle="1" w:styleId="210">
    <w:name w:val="樣式 (一)(二)(三) + 粗體 左:  2 字元 凸出:  1 字元"/>
    <w:basedOn w:val="a5"/>
    <w:rsid w:val="00CE2AA0"/>
    <w:pPr>
      <w:ind w:left="849" w:hanging="283"/>
    </w:pPr>
    <w:rPr>
      <w:rFonts w:cs="新細明體"/>
      <w:bCs/>
      <w:szCs w:val="20"/>
    </w:rPr>
  </w:style>
  <w:style w:type="character" w:styleId="afd">
    <w:name w:val="Hyperlink"/>
    <w:uiPriority w:val="99"/>
    <w:unhideWhenUsed/>
    <w:rsid w:val="00CE2AA0"/>
    <w:rPr>
      <w:color w:val="0000FF"/>
      <w:u w:val="single"/>
    </w:rPr>
  </w:style>
  <w:style w:type="character" w:customStyle="1" w:styleId="afe">
    <w:name w:val="(一)(二)(三) 字元"/>
    <w:rsid w:val="00CE2AA0"/>
    <w:rPr>
      <w:rFonts w:ascii="標楷體" w:eastAsia="標楷體"/>
      <w:snapToGrid w:val="0"/>
      <w:kern w:val="2"/>
      <w:sz w:val="28"/>
      <w:szCs w:val="28"/>
    </w:rPr>
  </w:style>
  <w:style w:type="character" w:customStyle="1" w:styleId="1410">
    <w:name w:val="表格內文(14行高) 字元1"/>
    <w:rsid w:val="008A3B7F"/>
    <w:rPr>
      <w:rFonts w:ascii="標楷體" w:eastAsia="標楷體"/>
      <w:snapToGrid w:val="0"/>
      <w:kern w:val="2"/>
      <w:sz w:val="24"/>
      <w:szCs w:val="28"/>
      <w:lang w:val="en-US" w:eastAsia="zh-TW" w:bidi="ar-SA"/>
    </w:rPr>
  </w:style>
  <w:style w:type="character" w:customStyle="1" w:styleId="10">
    <w:name w:val="標題 1 字元"/>
    <w:link w:val="1"/>
    <w:rsid w:val="008A3B7F"/>
    <w:rPr>
      <w:rFonts w:ascii="Arial" w:hAnsi="Arial"/>
      <w:b/>
      <w:bCs/>
      <w:snapToGrid w:val="0"/>
      <w:kern w:val="52"/>
      <w:sz w:val="52"/>
      <w:szCs w:val="52"/>
    </w:rPr>
  </w:style>
  <w:style w:type="character" w:customStyle="1" w:styleId="20">
    <w:name w:val="標題 2 字元"/>
    <w:link w:val="2"/>
    <w:rsid w:val="008A3B7F"/>
    <w:rPr>
      <w:rFonts w:ascii="Arial" w:hAnsi="Arial"/>
      <w:b/>
      <w:bCs/>
      <w:snapToGrid w:val="0"/>
      <w:kern w:val="2"/>
      <w:sz w:val="48"/>
      <w:szCs w:val="48"/>
    </w:rPr>
  </w:style>
  <w:style w:type="character" w:customStyle="1" w:styleId="30">
    <w:name w:val="標題 3 字元"/>
    <w:link w:val="3"/>
    <w:rsid w:val="008A3B7F"/>
    <w:rPr>
      <w:rFonts w:ascii="Arial" w:hAnsi="Arial"/>
      <w:b/>
      <w:bCs/>
      <w:snapToGrid w:val="0"/>
      <w:kern w:val="2"/>
      <w:sz w:val="36"/>
      <w:szCs w:val="36"/>
    </w:rPr>
  </w:style>
  <w:style w:type="paragraph" w:customStyle="1" w:styleId="160">
    <w:name w:val="表格內文(16行高)"/>
    <w:basedOn w:val="ab"/>
    <w:link w:val="161"/>
    <w:qFormat/>
    <w:rsid w:val="008A3B7F"/>
    <w:pPr>
      <w:spacing w:line="320" w:lineRule="exact"/>
      <w:ind w:leftChars="0" w:left="0" w:firstLineChars="0" w:firstLine="0"/>
      <w:jc w:val="left"/>
    </w:pPr>
  </w:style>
  <w:style w:type="character" w:customStyle="1" w:styleId="161">
    <w:name w:val="表格內文(16行高) 字元"/>
    <w:link w:val="160"/>
    <w:rsid w:val="008A3B7F"/>
    <w:rPr>
      <w:rFonts w:ascii="標楷體" w:eastAsia="標楷體"/>
      <w:snapToGrid w:val="0"/>
      <w:kern w:val="2"/>
      <w:sz w:val="28"/>
      <w:szCs w:val="28"/>
    </w:rPr>
  </w:style>
  <w:style w:type="table" w:styleId="aff">
    <w:name w:val="Table Grid"/>
    <w:basedOn w:val="a1"/>
    <w:uiPriority w:val="59"/>
    <w:rsid w:val="008A3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8A3B7F"/>
    <w:rPr>
      <w:rFonts w:ascii="標楷體" w:eastAsia="標楷體"/>
      <w:snapToGrid w:val="0"/>
      <w:kern w:val="2"/>
      <w:sz w:val="24"/>
      <w:szCs w:val="28"/>
    </w:rPr>
  </w:style>
  <w:style w:type="paragraph" w:customStyle="1" w:styleId="aff0">
    <w:name w:val="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2">
    <w:name w:val="字元 字元 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idx1">
    <w:name w:val="idx1"/>
    <w:basedOn w:val="a0"/>
    <w:rsid w:val="008A3B7F"/>
  </w:style>
  <w:style w:type="character" w:customStyle="1" w:styleId="green">
    <w:name w:val="green"/>
    <w:basedOn w:val="a0"/>
    <w:rsid w:val="008A3B7F"/>
  </w:style>
  <w:style w:type="character" w:customStyle="1" w:styleId="aff3">
    <w:name w:val="字元"/>
    <w:semiHidden/>
    <w:rsid w:val="008A3B7F"/>
    <w:rPr>
      <w:rFonts w:ascii="標楷體" w:eastAsia="標楷體"/>
      <w:snapToGrid w:val="0"/>
      <w:kern w:val="2"/>
    </w:rPr>
  </w:style>
  <w:style w:type="paragraph" w:customStyle="1" w:styleId="25">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7">
    <w:name w:val="(一)下內文 字元"/>
    <w:link w:val="a6"/>
    <w:rsid w:val="008A3B7F"/>
    <w:rPr>
      <w:rFonts w:ascii="標楷體" w:eastAsia="標楷體"/>
      <w:snapToGrid w:val="0"/>
      <w:kern w:val="2"/>
      <w:sz w:val="28"/>
      <w:szCs w:val="28"/>
    </w:rPr>
  </w:style>
  <w:style w:type="paragraph" w:styleId="26">
    <w:name w:val="Body Text Indent 2"/>
    <w:basedOn w:val="a"/>
    <w:link w:val="27"/>
    <w:rsid w:val="008A3B7F"/>
    <w:pPr>
      <w:ind w:left="567" w:firstLine="567"/>
    </w:pPr>
  </w:style>
  <w:style w:type="character" w:customStyle="1" w:styleId="27">
    <w:name w:val="本文縮排 2 字元"/>
    <w:link w:val="26"/>
    <w:rsid w:val="008A3B7F"/>
    <w:rPr>
      <w:rFonts w:ascii="標楷體" w:eastAsia="標楷體"/>
      <w:snapToGrid w:val="0"/>
      <w:kern w:val="2"/>
      <w:sz w:val="28"/>
      <w:szCs w:val="28"/>
    </w:rPr>
  </w:style>
  <w:style w:type="paragraph" w:customStyle="1" w:styleId="15">
    <w:name w:val="字元 字元1 字元 字元 字元"/>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4">
    <w:name w:val="Body Text Indent"/>
    <w:basedOn w:val="a"/>
    <w:link w:val="aff5"/>
    <w:rsid w:val="008A3B7F"/>
    <w:pPr>
      <w:spacing w:after="120"/>
      <w:ind w:left="480"/>
    </w:pPr>
  </w:style>
  <w:style w:type="character" w:customStyle="1" w:styleId="aff5">
    <w:name w:val="本文縮排 字元"/>
    <w:link w:val="aff4"/>
    <w:rsid w:val="008A3B7F"/>
    <w:rPr>
      <w:rFonts w:ascii="標楷體" w:eastAsia="標楷體"/>
      <w:snapToGrid w:val="0"/>
      <w:kern w:val="2"/>
      <w:sz w:val="28"/>
      <w:szCs w:val="28"/>
    </w:rPr>
  </w:style>
  <w:style w:type="paragraph" w:customStyle="1" w:styleId="aff6">
    <w:name w:val="字元 字元 字元 字元 字元 字元 字元 字元 字元 字元 字元 字元 字元 字元 字元 字元 字元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8A3B7F"/>
    <w:rPr>
      <w:rFonts w:ascii="標楷體" w:eastAsia="標楷體"/>
      <w:snapToGrid w:val="0"/>
      <w:kern w:val="2"/>
      <w:sz w:val="24"/>
      <w:szCs w:val="28"/>
      <w:lang w:val="en-US" w:eastAsia="zh-TW" w:bidi="ar-SA"/>
    </w:rPr>
  </w:style>
  <w:style w:type="character" w:styleId="aff7">
    <w:name w:val="annotation reference"/>
    <w:semiHidden/>
    <w:rsid w:val="008A3B7F"/>
    <w:rPr>
      <w:sz w:val="18"/>
      <w:szCs w:val="18"/>
    </w:rPr>
  </w:style>
  <w:style w:type="paragraph" w:styleId="aff8">
    <w:name w:val="annotation text"/>
    <w:basedOn w:val="a"/>
    <w:link w:val="aff9"/>
    <w:semiHidden/>
    <w:rsid w:val="008A3B7F"/>
    <w:pPr>
      <w:jc w:val="left"/>
    </w:pPr>
  </w:style>
  <w:style w:type="character" w:customStyle="1" w:styleId="aff9">
    <w:name w:val="註解文字 字元"/>
    <w:link w:val="aff8"/>
    <w:semiHidden/>
    <w:rsid w:val="008A3B7F"/>
    <w:rPr>
      <w:rFonts w:ascii="標楷體" w:eastAsia="標楷體"/>
      <w:snapToGrid w:val="0"/>
      <w:kern w:val="2"/>
      <w:sz w:val="28"/>
      <w:szCs w:val="28"/>
    </w:rPr>
  </w:style>
  <w:style w:type="paragraph" w:styleId="affa">
    <w:name w:val="annotation subject"/>
    <w:basedOn w:val="aff8"/>
    <w:next w:val="aff8"/>
    <w:link w:val="affb"/>
    <w:semiHidden/>
    <w:rsid w:val="008A3B7F"/>
    <w:rPr>
      <w:b/>
      <w:bCs/>
    </w:rPr>
  </w:style>
  <w:style w:type="character" w:customStyle="1" w:styleId="affb">
    <w:name w:val="註解主旨 字元"/>
    <w:link w:val="affa"/>
    <w:semiHidden/>
    <w:rsid w:val="008A3B7F"/>
    <w:rPr>
      <w:rFonts w:ascii="標楷體" w:eastAsia="標楷體"/>
      <w:b/>
      <w:bCs/>
      <w:snapToGrid w:val="0"/>
      <w:kern w:val="2"/>
      <w:sz w:val="28"/>
      <w:szCs w:val="28"/>
    </w:rPr>
  </w:style>
  <w:style w:type="character" w:customStyle="1" w:styleId="a9">
    <w:name w:val="結論 字元"/>
    <w:link w:val="a8"/>
    <w:rsid w:val="008A3B7F"/>
    <w:rPr>
      <w:rFonts w:ascii="標楷體" w:eastAsia="標楷體"/>
      <w:snapToGrid w:val="0"/>
      <w:kern w:val="2"/>
      <w:sz w:val="28"/>
      <w:szCs w:val="28"/>
    </w:rPr>
  </w:style>
  <w:style w:type="character" w:customStyle="1" w:styleId="affc">
    <w:name w:val="姓名及分機 字元 字元"/>
    <w:rsid w:val="008A3B7F"/>
    <w:rPr>
      <w:rFonts w:ascii="標楷體" w:eastAsia="標楷體" w:hAnsi="Verdana" w:cs="新細明體"/>
      <w:snapToGrid w:val="0"/>
      <w:color w:val="414141"/>
      <w:kern w:val="2"/>
      <w:sz w:val="24"/>
      <w:szCs w:val="28"/>
      <w:lang w:val="en-US" w:eastAsia="zh-TW" w:bidi="ar-SA"/>
    </w:rPr>
  </w:style>
  <w:style w:type="paragraph" w:styleId="HTML">
    <w:name w:val="HTML Preformatted"/>
    <w:basedOn w:val="a"/>
    <w:link w:val="HTML0"/>
    <w:uiPriority w:val="99"/>
    <w:rsid w:val="008A3B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8A3B7F"/>
    <w:rPr>
      <w:rFonts w:ascii="Arial Unicode MS" w:eastAsia="Arial Unicode MS" w:hAnsi="Arial Unicode MS" w:cs="Arial Unicode MS"/>
      <w:color w:val="000000"/>
    </w:rPr>
  </w:style>
  <w:style w:type="character" w:customStyle="1" w:styleId="categoryright1">
    <w:name w:val="categoryright1"/>
    <w:rsid w:val="008A3B7F"/>
    <w:rPr>
      <w:b w:val="0"/>
      <w:bCs w:val="0"/>
    </w:rPr>
  </w:style>
  <w:style w:type="character" w:customStyle="1" w:styleId="h11">
    <w:name w:val="h11"/>
    <w:rsid w:val="008A3B7F"/>
    <w:rPr>
      <w:b/>
      <w:bCs/>
      <w:color w:val="FF6600"/>
      <w:sz w:val="24"/>
      <w:szCs w:val="24"/>
    </w:rPr>
  </w:style>
  <w:style w:type="paragraph" w:styleId="31">
    <w:name w:val="toc 3"/>
    <w:basedOn w:val="a"/>
    <w:next w:val="a"/>
    <w:autoRedefine/>
    <w:semiHidden/>
    <w:rsid w:val="008A3B7F"/>
    <w:pPr>
      <w:ind w:leftChars="400" w:left="960"/>
    </w:pPr>
  </w:style>
  <w:style w:type="paragraph" w:styleId="4">
    <w:name w:val="toc 4"/>
    <w:basedOn w:val="a"/>
    <w:next w:val="a"/>
    <w:autoRedefine/>
    <w:semiHidden/>
    <w:rsid w:val="008A3B7F"/>
    <w:pPr>
      <w:ind w:leftChars="600" w:left="1440"/>
    </w:pPr>
  </w:style>
  <w:style w:type="paragraph" w:styleId="5">
    <w:name w:val="toc 5"/>
    <w:basedOn w:val="a"/>
    <w:next w:val="a"/>
    <w:autoRedefine/>
    <w:semiHidden/>
    <w:rsid w:val="008A3B7F"/>
    <w:pPr>
      <w:ind w:leftChars="800" w:left="1920"/>
    </w:pPr>
  </w:style>
  <w:style w:type="paragraph" w:styleId="6">
    <w:name w:val="toc 6"/>
    <w:basedOn w:val="a"/>
    <w:next w:val="a"/>
    <w:autoRedefine/>
    <w:semiHidden/>
    <w:rsid w:val="008A3B7F"/>
    <w:pPr>
      <w:ind w:leftChars="1000" w:left="2400"/>
    </w:pPr>
  </w:style>
  <w:style w:type="paragraph" w:styleId="7">
    <w:name w:val="toc 7"/>
    <w:basedOn w:val="a"/>
    <w:next w:val="a"/>
    <w:autoRedefine/>
    <w:semiHidden/>
    <w:rsid w:val="008A3B7F"/>
    <w:pPr>
      <w:ind w:leftChars="1200" w:left="2880"/>
    </w:pPr>
  </w:style>
  <w:style w:type="paragraph" w:styleId="8">
    <w:name w:val="toc 8"/>
    <w:basedOn w:val="a"/>
    <w:next w:val="a"/>
    <w:autoRedefine/>
    <w:semiHidden/>
    <w:rsid w:val="008A3B7F"/>
    <w:pPr>
      <w:ind w:leftChars="1400" w:left="3360"/>
    </w:pPr>
  </w:style>
  <w:style w:type="paragraph" w:styleId="9">
    <w:name w:val="toc 9"/>
    <w:basedOn w:val="a"/>
    <w:next w:val="a"/>
    <w:autoRedefine/>
    <w:semiHidden/>
    <w:rsid w:val="008A3B7F"/>
    <w:pPr>
      <w:ind w:leftChars="1600" w:left="3840"/>
    </w:pPr>
  </w:style>
  <w:style w:type="paragraph" w:customStyle="1" w:styleId="28">
    <w:name w:val="內文2(預備金及追加用)"/>
    <w:link w:val="29"/>
    <w:rsid w:val="008A3B7F"/>
    <w:pPr>
      <w:spacing w:line="480" w:lineRule="exact"/>
      <w:ind w:left="200" w:hangingChars="200" w:hanging="200"/>
    </w:pPr>
    <w:rPr>
      <w:rFonts w:eastAsia="標楷體"/>
      <w:kern w:val="2"/>
      <w:sz w:val="28"/>
      <w:szCs w:val="24"/>
    </w:rPr>
  </w:style>
  <w:style w:type="character" w:customStyle="1" w:styleId="29">
    <w:name w:val="內文2(預備金及追加用) 字元"/>
    <w:link w:val="28"/>
    <w:rsid w:val="008A3B7F"/>
    <w:rPr>
      <w:rFonts w:eastAsia="標楷體"/>
      <w:kern w:val="2"/>
      <w:sz w:val="28"/>
      <w:szCs w:val="24"/>
    </w:rPr>
  </w:style>
  <w:style w:type="character" w:customStyle="1" w:styleId="a4">
    <w:name w:val="預備金及追加預算標題 字元"/>
    <w:link w:val="a3"/>
    <w:rsid w:val="008A3B7F"/>
    <w:rPr>
      <w:rFonts w:ascii="標楷體" w:eastAsia="標楷體"/>
      <w:b/>
      <w:snapToGrid w:val="0"/>
      <w:kern w:val="2"/>
      <w:sz w:val="28"/>
    </w:rPr>
  </w:style>
  <w:style w:type="character" w:customStyle="1" w:styleId="affd">
    <w:name w:val="(一)(二)(三) 字元 字元"/>
    <w:rsid w:val="008A3B7F"/>
    <w:rPr>
      <w:rFonts w:ascii="標楷體" w:eastAsia="標楷體"/>
      <w:snapToGrid w:val="0"/>
      <w:kern w:val="2"/>
      <w:sz w:val="28"/>
      <w:szCs w:val="28"/>
      <w:lang w:val="en-US" w:eastAsia="zh-TW" w:bidi="ar-SA"/>
    </w:rPr>
  </w:style>
  <w:style w:type="character" w:customStyle="1" w:styleId="affe">
    <w:name w:val="(一)(二)(三) 字元 字元 字元"/>
    <w:rsid w:val="008A3B7F"/>
    <w:rPr>
      <w:rFonts w:eastAsia="標楷體"/>
      <w:snapToGrid w:val="0"/>
      <w:kern w:val="2"/>
      <w:sz w:val="28"/>
      <w:szCs w:val="28"/>
      <w:lang w:val="en-US" w:eastAsia="zh-TW" w:bidi="ar-SA"/>
    </w:rPr>
  </w:style>
  <w:style w:type="paragraph" w:customStyle="1" w:styleId="50">
    <w:name w:val="字元 字元5"/>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Default"/>
    <w:next w:val="Default"/>
    <w:uiPriority w:val="99"/>
    <w:rsid w:val="008A3B7F"/>
    <w:pPr>
      <w:spacing w:before="100" w:after="100"/>
    </w:pPr>
    <w:rPr>
      <w:rFonts w:ascii="新細明體" w:eastAsia="新細明體" w:hAnsi="Times New Roman" w:cs="Times New Roman"/>
      <w:color w:val="auto"/>
    </w:rPr>
  </w:style>
  <w:style w:type="paragraph" w:customStyle="1" w:styleId="17">
    <w:name w:val="本文1"/>
    <w:basedOn w:val="a"/>
    <w:rsid w:val="008A3B7F"/>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a">
    <w:name w:val="字元 字元2"/>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
    <w:name w:val="壹"/>
    <w:basedOn w:val="a"/>
    <w:rsid w:val="008A3B7F"/>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
    <w:link w:val="33"/>
    <w:rsid w:val="008A3B7F"/>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8A3B7F"/>
    <w:rPr>
      <w:kern w:val="2"/>
      <w:sz w:val="16"/>
      <w:szCs w:val="16"/>
    </w:rPr>
  </w:style>
  <w:style w:type="paragraph" w:styleId="afff0">
    <w:name w:val="caption"/>
    <w:basedOn w:val="a"/>
    <w:next w:val="a"/>
    <w:qFormat/>
    <w:rsid w:val="008A3B7F"/>
    <w:pPr>
      <w:spacing w:line="240" w:lineRule="auto"/>
      <w:ind w:leftChars="0" w:left="0" w:firstLineChars="0" w:firstLine="0"/>
      <w:jc w:val="left"/>
    </w:pPr>
    <w:rPr>
      <w:rFonts w:ascii="Times New Roman" w:eastAsia="新細明體"/>
      <w:snapToGrid/>
      <w:sz w:val="20"/>
      <w:szCs w:val="20"/>
    </w:rPr>
  </w:style>
  <w:style w:type="paragraph" w:customStyle="1" w:styleId="2b">
    <w:name w:val="字元 字元2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字元"/>
    <w:basedOn w:val="a"/>
    <w:semiHidden/>
    <w:rsid w:val="008A3B7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2">
    <w:name w:val="註腳文字(標準) 字元"/>
    <w:link w:val="afff3"/>
    <w:locked/>
    <w:rsid w:val="008A3B7F"/>
    <w:rPr>
      <w:rFonts w:ascii="標楷體" w:eastAsia="標楷體" w:hAnsi="標楷體"/>
      <w:kern w:val="2"/>
      <w:sz w:val="24"/>
      <w:szCs w:val="24"/>
      <w:lang w:val="x-none"/>
    </w:rPr>
  </w:style>
  <w:style w:type="paragraph" w:customStyle="1" w:styleId="afff3">
    <w:name w:val="註腳文字(標準)"/>
    <w:basedOn w:val="af7"/>
    <w:link w:val="afff2"/>
    <w:qFormat/>
    <w:rsid w:val="008A3B7F"/>
    <w:pPr>
      <w:spacing w:line="280" w:lineRule="exact"/>
      <w:ind w:left="142" w:hanging="142"/>
    </w:pPr>
    <w:rPr>
      <w:rFonts w:hAnsi="標楷體"/>
      <w:bCs w:val="0"/>
      <w:noProof w:val="0"/>
      <w:kern w:val="2"/>
      <w:sz w:val="24"/>
      <w:szCs w:val="24"/>
      <w:lang w:val="x-none"/>
    </w:rPr>
  </w:style>
  <w:style w:type="paragraph" w:customStyle="1" w:styleId="afff4">
    <w:name w:val="附註"/>
    <w:basedOn w:val="142"/>
    <w:link w:val="afff5"/>
    <w:qFormat/>
    <w:rsid w:val="008A3B7F"/>
    <w:pPr>
      <w:ind w:left="61" w:hangingChars="25" w:hanging="61"/>
    </w:pPr>
    <w:rPr>
      <w:snapToGrid/>
      <w:lang w:val="x-none" w:eastAsia="x-none"/>
    </w:rPr>
  </w:style>
  <w:style w:type="character" w:customStyle="1" w:styleId="afff5">
    <w:name w:val="附註 字元"/>
    <w:link w:val="afff4"/>
    <w:rsid w:val="008A3B7F"/>
    <w:rPr>
      <w:rFonts w:ascii="標楷體" w:eastAsia="標楷體"/>
      <w:kern w:val="2"/>
      <w:sz w:val="24"/>
      <w:szCs w:val="28"/>
      <w:lang w:val="x-none" w:eastAsia="x-none"/>
    </w:rPr>
  </w:style>
  <w:style w:type="character" w:customStyle="1" w:styleId="221">
    <w:name w:val="(一)下內文縮2 字元2"/>
    <w:rsid w:val="008A3B7F"/>
    <w:rPr>
      <w:rFonts w:ascii="標楷體" w:eastAsia="標楷體"/>
      <w:snapToGrid w:val="0"/>
      <w:kern w:val="2"/>
      <w:sz w:val="28"/>
      <w:szCs w:val="28"/>
    </w:rPr>
  </w:style>
  <w:style w:type="character" w:customStyle="1" w:styleId="12310">
    <w:name w:val="1.2.3. 字元1"/>
    <w:rsid w:val="008A3B7F"/>
    <w:rPr>
      <w:rFonts w:ascii="標楷體" w:eastAsia="標楷體"/>
      <w:snapToGrid w:val="0"/>
      <w:kern w:val="2"/>
      <w:sz w:val="28"/>
      <w:szCs w:val="28"/>
    </w:rPr>
  </w:style>
  <w:style w:type="paragraph" w:customStyle="1" w:styleId="1211">
    <w:name w:val="表格內文(12行及11號)"/>
    <w:basedOn w:val="142"/>
    <w:qFormat/>
    <w:rsid w:val="008A3B7F"/>
    <w:pPr>
      <w:spacing w:line="220" w:lineRule="exact"/>
      <w:jc w:val="both"/>
    </w:pPr>
    <w:rPr>
      <w:rFonts w:hAnsi="標楷體" w:cs="新細明體"/>
      <w:snapToGrid/>
      <w:spacing w:val="-20"/>
      <w:sz w:val="22"/>
      <w:szCs w:val="22"/>
      <w:lang w:eastAsia="zh-HK"/>
    </w:rPr>
  </w:style>
  <w:style w:type="paragraph" w:customStyle="1" w:styleId="12110">
    <w:name w:val="表格內文（12高11字及排)"/>
    <w:basedOn w:val="142"/>
    <w:qFormat/>
    <w:rsid w:val="008A3B7F"/>
    <w:pPr>
      <w:spacing w:line="220" w:lineRule="exact"/>
      <w:ind w:leftChars="1" w:left="192" w:hangingChars="105" w:hanging="189"/>
    </w:pPr>
    <w:rPr>
      <w:rFonts w:hAnsi="標楷體"/>
      <w:snapToGrid/>
      <w:spacing w:val="-20"/>
      <w:sz w:val="22"/>
      <w:szCs w:val="22"/>
    </w:rPr>
  </w:style>
  <w:style w:type="paragraph" w:customStyle="1" w:styleId="0">
    <w:name w:val="0註腳文字"/>
    <w:basedOn w:val="142"/>
    <w:qFormat/>
    <w:rsid w:val="008A3B7F"/>
    <w:pPr>
      <w:ind w:leftChars="5" w:left="99" w:hangingChars="35" w:hanging="85"/>
      <w:jc w:val="both"/>
    </w:pPr>
    <w:rPr>
      <w:snapToGrid/>
      <w:lang w:eastAsia="zh-HK"/>
    </w:rPr>
  </w:style>
  <w:style w:type="paragraph" w:customStyle="1" w:styleId="2c">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表格內文之標頭"/>
    <w:basedOn w:val="142"/>
    <w:rsid w:val="009C53C7"/>
    <w:pPr>
      <w:spacing w:before="250"/>
    </w:pPr>
    <w:rPr>
      <w:rFonts w:cs="新細明體"/>
      <w:b/>
      <w:bCs/>
      <w:sz w:val="28"/>
      <w:szCs w:val="20"/>
    </w:rPr>
  </w:style>
  <w:style w:type="paragraph" w:customStyle="1" w:styleId="18">
    <w:name w:val="字元 字元1 字元 字元 字元"/>
    <w:basedOn w:val="a"/>
    <w:semiHidden/>
    <w:rsid w:val="00B650F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字元"/>
    <w:basedOn w:val="a"/>
    <w:semiHidden/>
    <w:rsid w:val="00B650F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8">
    <w:name w:val="Subtitle"/>
    <w:basedOn w:val="a"/>
    <w:next w:val="a"/>
    <w:link w:val="afff9"/>
    <w:uiPriority w:val="11"/>
    <w:qFormat/>
    <w:rsid w:val="00B650FC"/>
    <w:pPr>
      <w:spacing w:after="60"/>
      <w:jc w:val="center"/>
      <w:outlineLvl w:val="1"/>
    </w:pPr>
    <w:rPr>
      <w:rFonts w:ascii="Cambria" w:eastAsia="新細明體" w:hAnsi="Cambria"/>
      <w:i/>
      <w:iCs/>
      <w:sz w:val="24"/>
      <w:szCs w:val="24"/>
    </w:rPr>
  </w:style>
  <w:style w:type="character" w:customStyle="1" w:styleId="afff9">
    <w:name w:val="副標題 字元"/>
    <w:link w:val="afff8"/>
    <w:uiPriority w:val="11"/>
    <w:rsid w:val="00B650FC"/>
    <w:rPr>
      <w:rFonts w:ascii="Cambria" w:hAnsi="Cambria"/>
      <w:i/>
      <w:iCs/>
      <w:snapToGrid w:val="0"/>
      <w:kern w:val="2"/>
      <w:sz w:val="24"/>
      <w:szCs w:val="24"/>
    </w:rPr>
  </w:style>
  <w:style w:type="character" w:customStyle="1" w:styleId="148">
    <w:name w:val="表格內文(14行高) 字元 字元 字元"/>
    <w:rsid w:val="00183AD9"/>
    <w:rPr>
      <w:rFonts w:ascii="標楷體" w:eastAsia="標楷體"/>
      <w:snapToGrid w:val="0"/>
      <w:kern w:val="2"/>
      <w:sz w:val="24"/>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B53EB9-74C8-4FA7-8808-2D724CFAB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578</Words>
  <Characters>3301</Characters>
  <Application>Microsoft Office Word</Application>
  <DocSecurity>0</DocSecurity>
  <Lines>27</Lines>
  <Paragraphs>7</Paragraphs>
  <ScaleCrop>false</ScaleCrop>
  <Company>HOME</Company>
  <LinksUpToDate>false</LinksUpToDate>
  <CharactersWithSpaces>3872</CharactersWithSpaces>
  <SharedDoc>false</SharedDoc>
  <HLinks>
    <vt:vector size="222" baseType="variant">
      <vt:variant>
        <vt:i4>1441852</vt:i4>
      </vt:variant>
      <vt:variant>
        <vt:i4>218</vt:i4>
      </vt:variant>
      <vt:variant>
        <vt:i4>0</vt:i4>
      </vt:variant>
      <vt:variant>
        <vt:i4>5</vt:i4>
      </vt:variant>
      <vt:variant>
        <vt:lpwstr/>
      </vt:variant>
      <vt:variant>
        <vt:lpwstr>_Toc177394314</vt:lpwstr>
      </vt:variant>
      <vt:variant>
        <vt:i4>1441852</vt:i4>
      </vt:variant>
      <vt:variant>
        <vt:i4>212</vt:i4>
      </vt:variant>
      <vt:variant>
        <vt:i4>0</vt:i4>
      </vt:variant>
      <vt:variant>
        <vt:i4>5</vt:i4>
      </vt:variant>
      <vt:variant>
        <vt:lpwstr/>
      </vt:variant>
      <vt:variant>
        <vt:lpwstr>_Toc177394313</vt:lpwstr>
      </vt:variant>
      <vt:variant>
        <vt:i4>1441852</vt:i4>
      </vt:variant>
      <vt:variant>
        <vt:i4>206</vt:i4>
      </vt:variant>
      <vt:variant>
        <vt:i4>0</vt:i4>
      </vt:variant>
      <vt:variant>
        <vt:i4>5</vt:i4>
      </vt:variant>
      <vt:variant>
        <vt:lpwstr/>
      </vt:variant>
      <vt:variant>
        <vt:lpwstr>_Toc177394312</vt:lpwstr>
      </vt:variant>
      <vt:variant>
        <vt:i4>1441852</vt:i4>
      </vt:variant>
      <vt:variant>
        <vt:i4>200</vt:i4>
      </vt:variant>
      <vt:variant>
        <vt:i4>0</vt:i4>
      </vt:variant>
      <vt:variant>
        <vt:i4>5</vt:i4>
      </vt:variant>
      <vt:variant>
        <vt:lpwstr/>
      </vt:variant>
      <vt:variant>
        <vt:lpwstr>_Toc177394311</vt:lpwstr>
      </vt:variant>
      <vt:variant>
        <vt:i4>1441852</vt:i4>
      </vt:variant>
      <vt:variant>
        <vt:i4>194</vt:i4>
      </vt:variant>
      <vt:variant>
        <vt:i4>0</vt:i4>
      </vt:variant>
      <vt:variant>
        <vt:i4>5</vt:i4>
      </vt:variant>
      <vt:variant>
        <vt:lpwstr/>
      </vt:variant>
      <vt:variant>
        <vt:lpwstr>_Toc177394310</vt:lpwstr>
      </vt:variant>
      <vt:variant>
        <vt:i4>1507388</vt:i4>
      </vt:variant>
      <vt:variant>
        <vt:i4>188</vt:i4>
      </vt:variant>
      <vt:variant>
        <vt:i4>0</vt:i4>
      </vt:variant>
      <vt:variant>
        <vt:i4>5</vt:i4>
      </vt:variant>
      <vt:variant>
        <vt:lpwstr/>
      </vt:variant>
      <vt:variant>
        <vt:lpwstr>_Toc177394309</vt:lpwstr>
      </vt:variant>
      <vt:variant>
        <vt:i4>1507388</vt:i4>
      </vt:variant>
      <vt:variant>
        <vt:i4>182</vt:i4>
      </vt:variant>
      <vt:variant>
        <vt:i4>0</vt:i4>
      </vt:variant>
      <vt:variant>
        <vt:i4>5</vt:i4>
      </vt:variant>
      <vt:variant>
        <vt:lpwstr/>
      </vt:variant>
      <vt:variant>
        <vt:lpwstr>_Toc177394308</vt:lpwstr>
      </vt:variant>
      <vt:variant>
        <vt:i4>1507388</vt:i4>
      </vt:variant>
      <vt:variant>
        <vt:i4>176</vt:i4>
      </vt:variant>
      <vt:variant>
        <vt:i4>0</vt:i4>
      </vt:variant>
      <vt:variant>
        <vt:i4>5</vt:i4>
      </vt:variant>
      <vt:variant>
        <vt:lpwstr/>
      </vt:variant>
      <vt:variant>
        <vt:lpwstr>_Toc177394307</vt:lpwstr>
      </vt:variant>
      <vt:variant>
        <vt:i4>1507388</vt:i4>
      </vt:variant>
      <vt:variant>
        <vt:i4>170</vt:i4>
      </vt:variant>
      <vt:variant>
        <vt:i4>0</vt:i4>
      </vt:variant>
      <vt:variant>
        <vt:i4>5</vt:i4>
      </vt:variant>
      <vt:variant>
        <vt:lpwstr/>
      </vt:variant>
      <vt:variant>
        <vt:lpwstr>_Toc177394306</vt:lpwstr>
      </vt:variant>
      <vt:variant>
        <vt:i4>1507388</vt:i4>
      </vt:variant>
      <vt:variant>
        <vt:i4>164</vt:i4>
      </vt:variant>
      <vt:variant>
        <vt:i4>0</vt:i4>
      </vt:variant>
      <vt:variant>
        <vt:i4>5</vt:i4>
      </vt:variant>
      <vt:variant>
        <vt:lpwstr/>
      </vt:variant>
      <vt:variant>
        <vt:lpwstr>_Toc177394305</vt:lpwstr>
      </vt:variant>
      <vt:variant>
        <vt:i4>1507388</vt:i4>
      </vt:variant>
      <vt:variant>
        <vt:i4>158</vt:i4>
      </vt:variant>
      <vt:variant>
        <vt:i4>0</vt:i4>
      </vt:variant>
      <vt:variant>
        <vt:i4>5</vt:i4>
      </vt:variant>
      <vt:variant>
        <vt:lpwstr/>
      </vt:variant>
      <vt:variant>
        <vt:lpwstr>_Toc177394304</vt:lpwstr>
      </vt:variant>
      <vt:variant>
        <vt:i4>1507388</vt:i4>
      </vt:variant>
      <vt:variant>
        <vt:i4>152</vt:i4>
      </vt:variant>
      <vt:variant>
        <vt:i4>0</vt:i4>
      </vt:variant>
      <vt:variant>
        <vt:i4>5</vt:i4>
      </vt:variant>
      <vt:variant>
        <vt:lpwstr/>
      </vt:variant>
      <vt:variant>
        <vt:lpwstr>_Toc177394303</vt:lpwstr>
      </vt:variant>
      <vt:variant>
        <vt:i4>1507388</vt:i4>
      </vt:variant>
      <vt:variant>
        <vt:i4>146</vt:i4>
      </vt:variant>
      <vt:variant>
        <vt:i4>0</vt:i4>
      </vt:variant>
      <vt:variant>
        <vt:i4>5</vt:i4>
      </vt:variant>
      <vt:variant>
        <vt:lpwstr/>
      </vt:variant>
      <vt:variant>
        <vt:lpwstr>_Toc177394302</vt:lpwstr>
      </vt:variant>
      <vt:variant>
        <vt:i4>1507388</vt:i4>
      </vt:variant>
      <vt:variant>
        <vt:i4>140</vt:i4>
      </vt:variant>
      <vt:variant>
        <vt:i4>0</vt:i4>
      </vt:variant>
      <vt:variant>
        <vt:i4>5</vt:i4>
      </vt:variant>
      <vt:variant>
        <vt:lpwstr/>
      </vt:variant>
      <vt:variant>
        <vt:lpwstr>_Toc177394301</vt:lpwstr>
      </vt:variant>
      <vt:variant>
        <vt:i4>1507388</vt:i4>
      </vt:variant>
      <vt:variant>
        <vt:i4>134</vt:i4>
      </vt:variant>
      <vt:variant>
        <vt:i4>0</vt:i4>
      </vt:variant>
      <vt:variant>
        <vt:i4>5</vt:i4>
      </vt:variant>
      <vt:variant>
        <vt:lpwstr/>
      </vt:variant>
      <vt:variant>
        <vt:lpwstr>_Toc177394300</vt:lpwstr>
      </vt:variant>
      <vt:variant>
        <vt:i4>1966141</vt:i4>
      </vt:variant>
      <vt:variant>
        <vt:i4>128</vt:i4>
      </vt:variant>
      <vt:variant>
        <vt:i4>0</vt:i4>
      </vt:variant>
      <vt:variant>
        <vt:i4>5</vt:i4>
      </vt:variant>
      <vt:variant>
        <vt:lpwstr/>
      </vt:variant>
      <vt:variant>
        <vt:lpwstr>_Toc177394299</vt:lpwstr>
      </vt:variant>
      <vt:variant>
        <vt:i4>1966141</vt:i4>
      </vt:variant>
      <vt:variant>
        <vt:i4>122</vt:i4>
      </vt:variant>
      <vt:variant>
        <vt:i4>0</vt:i4>
      </vt:variant>
      <vt:variant>
        <vt:i4>5</vt:i4>
      </vt:variant>
      <vt:variant>
        <vt:lpwstr/>
      </vt:variant>
      <vt:variant>
        <vt:lpwstr>_Toc177394298</vt:lpwstr>
      </vt:variant>
      <vt:variant>
        <vt:i4>1966141</vt:i4>
      </vt:variant>
      <vt:variant>
        <vt:i4>116</vt:i4>
      </vt:variant>
      <vt:variant>
        <vt:i4>0</vt:i4>
      </vt:variant>
      <vt:variant>
        <vt:i4>5</vt:i4>
      </vt:variant>
      <vt:variant>
        <vt:lpwstr/>
      </vt:variant>
      <vt:variant>
        <vt:lpwstr>_Toc177394297</vt:lpwstr>
      </vt:variant>
      <vt:variant>
        <vt:i4>1966141</vt:i4>
      </vt:variant>
      <vt:variant>
        <vt:i4>110</vt:i4>
      </vt:variant>
      <vt:variant>
        <vt:i4>0</vt:i4>
      </vt:variant>
      <vt:variant>
        <vt:i4>5</vt:i4>
      </vt:variant>
      <vt:variant>
        <vt:lpwstr/>
      </vt:variant>
      <vt:variant>
        <vt:lpwstr>_Toc177394296</vt:lpwstr>
      </vt:variant>
      <vt:variant>
        <vt:i4>1966141</vt:i4>
      </vt:variant>
      <vt:variant>
        <vt:i4>104</vt:i4>
      </vt:variant>
      <vt:variant>
        <vt:i4>0</vt:i4>
      </vt:variant>
      <vt:variant>
        <vt:i4>5</vt:i4>
      </vt:variant>
      <vt:variant>
        <vt:lpwstr/>
      </vt:variant>
      <vt:variant>
        <vt:lpwstr>_Toc177394295</vt:lpwstr>
      </vt:variant>
      <vt:variant>
        <vt:i4>1966141</vt:i4>
      </vt:variant>
      <vt:variant>
        <vt:i4>98</vt:i4>
      </vt:variant>
      <vt:variant>
        <vt:i4>0</vt:i4>
      </vt:variant>
      <vt:variant>
        <vt:i4>5</vt:i4>
      </vt:variant>
      <vt:variant>
        <vt:lpwstr/>
      </vt:variant>
      <vt:variant>
        <vt:lpwstr>_Toc177394294</vt:lpwstr>
      </vt:variant>
      <vt:variant>
        <vt:i4>1966141</vt:i4>
      </vt:variant>
      <vt:variant>
        <vt:i4>92</vt:i4>
      </vt:variant>
      <vt:variant>
        <vt:i4>0</vt:i4>
      </vt:variant>
      <vt:variant>
        <vt:i4>5</vt:i4>
      </vt:variant>
      <vt:variant>
        <vt:lpwstr/>
      </vt:variant>
      <vt:variant>
        <vt:lpwstr>_Toc177394293</vt:lpwstr>
      </vt:variant>
      <vt:variant>
        <vt:i4>1966141</vt:i4>
      </vt:variant>
      <vt:variant>
        <vt:i4>86</vt:i4>
      </vt:variant>
      <vt:variant>
        <vt:i4>0</vt:i4>
      </vt:variant>
      <vt:variant>
        <vt:i4>5</vt:i4>
      </vt:variant>
      <vt:variant>
        <vt:lpwstr/>
      </vt:variant>
      <vt:variant>
        <vt:lpwstr>_Toc177394292</vt:lpwstr>
      </vt:variant>
      <vt:variant>
        <vt:i4>1966141</vt:i4>
      </vt:variant>
      <vt:variant>
        <vt:i4>80</vt:i4>
      </vt:variant>
      <vt:variant>
        <vt:i4>0</vt:i4>
      </vt:variant>
      <vt:variant>
        <vt:i4>5</vt:i4>
      </vt:variant>
      <vt:variant>
        <vt:lpwstr/>
      </vt:variant>
      <vt:variant>
        <vt:lpwstr>_Toc177394291</vt:lpwstr>
      </vt:variant>
      <vt:variant>
        <vt:i4>1966141</vt:i4>
      </vt:variant>
      <vt:variant>
        <vt:i4>74</vt:i4>
      </vt:variant>
      <vt:variant>
        <vt:i4>0</vt:i4>
      </vt:variant>
      <vt:variant>
        <vt:i4>5</vt:i4>
      </vt:variant>
      <vt:variant>
        <vt:lpwstr/>
      </vt:variant>
      <vt:variant>
        <vt:lpwstr>_Toc177394290</vt:lpwstr>
      </vt:variant>
      <vt:variant>
        <vt:i4>2031677</vt:i4>
      </vt:variant>
      <vt:variant>
        <vt:i4>68</vt:i4>
      </vt:variant>
      <vt:variant>
        <vt:i4>0</vt:i4>
      </vt:variant>
      <vt:variant>
        <vt:i4>5</vt:i4>
      </vt:variant>
      <vt:variant>
        <vt:lpwstr/>
      </vt:variant>
      <vt:variant>
        <vt:lpwstr>_Toc177394289</vt:lpwstr>
      </vt:variant>
      <vt:variant>
        <vt:i4>2031677</vt:i4>
      </vt:variant>
      <vt:variant>
        <vt:i4>62</vt:i4>
      </vt:variant>
      <vt:variant>
        <vt:i4>0</vt:i4>
      </vt:variant>
      <vt:variant>
        <vt:i4>5</vt:i4>
      </vt:variant>
      <vt:variant>
        <vt:lpwstr/>
      </vt:variant>
      <vt:variant>
        <vt:lpwstr>_Toc177394288</vt:lpwstr>
      </vt:variant>
      <vt:variant>
        <vt:i4>2031677</vt:i4>
      </vt:variant>
      <vt:variant>
        <vt:i4>56</vt:i4>
      </vt:variant>
      <vt:variant>
        <vt:i4>0</vt:i4>
      </vt:variant>
      <vt:variant>
        <vt:i4>5</vt:i4>
      </vt:variant>
      <vt:variant>
        <vt:lpwstr/>
      </vt:variant>
      <vt:variant>
        <vt:lpwstr>_Toc177394287</vt:lpwstr>
      </vt:variant>
      <vt:variant>
        <vt:i4>2031677</vt:i4>
      </vt:variant>
      <vt:variant>
        <vt:i4>50</vt:i4>
      </vt:variant>
      <vt:variant>
        <vt:i4>0</vt:i4>
      </vt:variant>
      <vt:variant>
        <vt:i4>5</vt:i4>
      </vt:variant>
      <vt:variant>
        <vt:lpwstr/>
      </vt:variant>
      <vt:variant>
        <vt:lpwstr>_Toc177394286</vt:lpwstr>
      </vt:variant>
      <vt:variant>
        <vt:i4>2031677</vt:i4>
      </vt:variant>
      <vt:variant>
        <vt:i4>44</vt:i4>
      </vt:variant>
      <vt:variant>
        <vt:i4>0</vt:i4>
      </vt:variant>
      <vt:variant>
        <vt:i4>5</vt:i4>
      </vt:variant>
      <vt:variant>
        <vt:lpwstr/>
      </vt:variant>
      <vt:variant>
        <vt:lpwstr>_Toc177394285</vt:lpwstr>
      </vt:variant>
      <vt:variant>
        <vt:i4>2031677</vt:i4>
      </vt:variant>
      <vt:variant>
        <vt:i4>38</vt:i4>
      </vt:variant>
      <vt:variant>
        <vt:i4>0</vt:i4>
      </vt:variant>
      <vt:variant>
        <vt:i4>5</vt:i4>
      </vt:variant>
      <vt:variant>
        <vt:lpwstr/>
      </vt:variant>
      <vt:variant>
        <vt:lpwstr>_Toc177394284</vt:lpwstr>
      </vt:variant>
      <vt:variant>
        <vt:i4>2031677</vt:i4>
      </vt:variant>
      <vt:variant>
        <vt:i4>32</vt:i4>
      </vt:variant>
      <vt:variant>
        <vt:i4>0</vt:i4>
      </vt:variant>
      <vt:variant>
        <vt:i4>5</vt:i4>
      </vt:variant>
      <vt:variant>
        <vt:lpwstr/>
      </vt:variant>
      <vt:variant>
        <vt:lpwstr>_Toc177394283</vt:lpwstr>
      </vt:variant>
      <vt:variant>
        <vt:i4>2031677</vt:i4>
      </vt:variant>
      <vt:variant>
        <vt:i4>26</vt:i4>
      </vt:variant>
      <vt:variant>
        <vt:i4>0</vt:i4>
      </vt:variant>
      <vt:variant>
        <vt:i4>5</vt:i4>
      </vt:variant>
      <vt:variant>
        <vt:lpwstr/>
      </vt:variant>
      <vt:variant>
        <vt:lpwstr>_Toc177394282</vt:lpwstr>
      </vt:variant>
      <vt:variant>
        <vt:i4>2031677</vt:i4>
      </vt:variant>
      <vt:variant>
        <vt:i4>20</vt:i4>
      </vt:variant>
      <vt:variant>
        <vt:i4>0</vt:i4>
      </vt:variant>
      <vt:variant>
        <vt:i4>5</vt:i4>
      </vt:variant>
      <vt:variant>
        <vt:lpwstr/>
      </vt:variant>
      <vt:variant>
        <vt:lpwstr>_Toc177394281</vt:lpwstr>
      </vt:variant>
      <vt:variant>
        <vt:i4>2031677</vt:i4>
      </vt:variant>
      <vt:variant>
        <vt:i4>14</vt:i4>
      </vt:variant>
      <vt:variant>
        <vt:i4>0</vt:i4>
      </vt:variant>
      <vt:variant>
        <vt:i4>5</vt:i4>
      </vt:variant>
      <vt:variant>
        <vt:lpwstr/>
      </vt:variant>
      <vt:variant>
        <vt:lpwstr>_Toc177394280</vt:lpwstr>
      </vt:variant>
      <vt:variant>
        <vt:i4>1048637</vt:i4>
      </vt:variant>
      <vt:variant>
        <vt:i4>8</vt:i4>
      </vt:variant>
      <vt:variant>
        <vt:i4>0</vt:i4>
      </vt:variant>
      <vt:variant>
        <vt:i4>5</vt:i4>
      </vt:variant>
      <vt:variant>
        <vt:lpwstr/>
      </vt:variant>
      <vt:variant>
        <vt:lpwstr>_Toc177394279</vt:lpwstr>
      </vt:variant>
      <vt:variant>
        <vt:i4>1048637</vt:i4>
      </vt:variant>
      <vt:variant>
        <vt:i4>2</vt:i4>
      </vt:variant>
      <vt:variant>
        <vt:i4>0</vt:i4>
      </vt:variant>
      <vt:variant>
        <vt:i4>5</vt:i4>
      </vt:variant>
      <vt:variant>
        <vt:lpwstr/>
      </vt:variant>
      <vt:variant>
        <vt:lpwstr>_Toc177394278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2024-09-24T07:48:00Z</dcterms:created>
  <dcterms:modified xsi:type="dcterms:W3CDTF">2024-09-24T07:48:00Z</dcterms:modified>
</cp:coreProperties>
</file>