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134ED3" w:rsidRPr="00A826DE" w:rsidRDefault="00134ED3" w:rsidP="00640605">
      <w:pPr>
        <w:pStyle w:val="14"/>
        <w:ind w:left="567" w:hanging="567"/>
        <w:rPr>
          <w:color w:val="000000"/>
        </w:rPr>
      </w:pPr>
      <w:bookmarkStart w:id="2" w:name="_Toc146113079"/>
      <w:bookmarkStart w:id="3" w:name="_Toc177394306"/>
      <w:bookmarkEnd w:id="0"/>
      <w:r>
        <w:rPr>
          <w:rFonts w:hint="eastAsia"/>
          <w:color w:val="000000"/>
        </w:rPr>
        <w:t>二七</w:t>
      </w:r>
      <w:r w:rsidRPr="00A826DE">
        <w:rPr>
          <w:rFonts w:hint="eastAsia"/>
          <w:color w:val="000000"/>
        </w:rPr>
        <w:t>、</w:t>
      </w:r>
      <w:bookmarkEnd w:id="2"/>
      <w:r w:rsidRPr="00422096">
        <w:rPr>
          <w:rFonts w:hint="eastAsia"/>
          <w:color w:val="000000"/>
        </w:rPr>
        <w:t>經濟部所屬部分國營事業近5年營業損益多未達成預算目標，中油、台電及台水112年度均呈虧損，允宜審酌氣候變遷、國際燃料發展及淨零轉型政策等，通盤檢討強化成本控管及售價費率之調整機制，以維營運健全</w:t>
      </w:r>
      <w:bookmarkEnd w:id="3"/>
    </w:p>
    <w:p w:rsidR="00134ED3" w:rsidRPr="00A826DE" w:rsidRDefault="00134ED3" w:rsidP="00640605">
      <w:pPr>
        <w:ind w:left="566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經濟部所屬</w:t>
      </w:r>
      <w:r w:rsidRPr="00FB08A2">
        <w:rPr>
          <w:rFonts w:hAnsi="標楷體" w:hint="eastAsia"/>
          <w:color w:val="000000"/>
        </w:rPr>
        <w:t>國營事業</w:t>
      </w:r>
      <w:r>
        <w:rPr>
          <w:rFonts w:hAnsi="標楷體" w:hint="eastAsia"/>
          <w:color w:val="000000"/>
        </w:rPr>
        <w:t>包含</w:t>
      </w:r>
      <w:r w:rsidRPr="00523660">
        <w:rPr>
          <w:rFonts w:hAnsi="標楷體" w:hint="eastAsia"/>
          <w:color w:val="000000"/>
        </w:rPr>
        <w:t>台灣糖業股份有限公司、台灣中油股份有限公司、台灣電力股份有限公司及台灣自來水股份有限公司(以下分別簡稱台糖、中油、台電及台水)</w:t>
      </w:r>
      <w:r w:rsidRPr="00FB08A2">
        <w:rPr>
          <w:rFonts w:hAnsi="標楷體" w:hint="eastAsia"/>
          <w:color w:val="000000"/>
        </w:rPr>
        <w:t>112年度</w:t>
      </w:r>
      <w:r>
        <w:rPr>
          <w:rFonts w:hAnsi="標楷體" w:hint="eastAsia"/>
          <w:color w:val="000000"/>
        </w:rPr>
        <w:t>決算</w:t>
      </w:r>
      <w:r w:rsidRPr="00FB08A2">
        <w:rPr>
          <w:rFonts w:hAnsi="標楷體" w:hint="eastAsia"/>
          <w:color w:val="000000"/>
        </w:rPr>
        <w:t>合計總收入1兆9,8</w:t>
      </w:r>
      <w:r>
        <w:rPr>
          <w:rFonts w:hAnsi="標楷體"/>
          <w:color w:val="000000"/>
        </w:rPr>
        <w:t>12</w:t>
      </w:r>
      <w:r w:rsidRPr="00FB08A2">
        <w:rPr>
          <w:rFonts w:hAnsi="標楷體" w:hint="eastAsia"/>
          <w:color w:val="000000"/>
        </w:rPr>
        <w:t>.3</w:t>
      </w:r>
      <w:r>
        <w:rPr>
          <w:rFonts w:hAnsi="標楷體"/>
          <w:color w:val="000000"/>
        </w:rPr>
        <w:t>4</w:t>
      </w:r>
      <w:r w:rsidRPr="00FB08A2">
        <w:rPr>
          <w:rFonts w:hAnsi="標楷體" w:hint="eastAsia"/>
          <w:color w:val="000000"/>
        </w:rPr>
        <w:t>億元</w:t>
      </w:r>
      <w:r>
        <w:rPr>
          <w:rFonts w:hAnsi="標楷體" w:hint="eastAsia"/>
          <w:color w:val="000000"/>
        </w:rPr>
        <w:t>、</w:t>
      </w:r>
      <w:r w:rsidRPr="00FB08A2">
        <w:rPr>
          <w:rFonts w:hAnsi="標楷體" w:hint="eastAsia"/>
          <w:color w:val="000000"/>
        </w:rPr>
        <w:t>總成本2兆2,</w:t>
      </w:r>
      <w:r>
        <w:rPr>
          <w:rFonts w:hAnsi="標楷體"/>
          <w:color w:val="000000"/>
        </w:rPr>
        <w:t>015</w:t>
      </w:r>
      <w:r w:rsidRPr="00FB08A2">
        <w:rPr>
          <w:rFonts w:hAnsi="標楷體" w:hint="eastAsia"/>
          <w:color w:val="000000"/>
        </w:rPr>
        <w:t>.</w:t>
      </w:r>
      <w:r>
        <w:rPr>
          <w:rFonts w:hAnsi="標楷體"/>
          <w:color w:val="000000"/>
        </w:rPr>
        <w:t>76</w:t>
      </w:r>
      <w:r>
        <w:rPr>
          <w:rFonts w:hAnsi="標楷體" w:hint="eastAsia"/>
          <w:color w:val="000000"/>
        </w:rPr>
        <w:t>億元</w:t>
      </w:r>
      <w:r w:rsidRPr="00FB08A2">
        <w:rPr>
          <w:rFonts w:hAnsi="標楷體" w:hint="eastAsia"/>
          <w:color w:val="000000"/>
        </w:rPr>
        <w:t>，致四大國營事業112年度</w:t>
      </w:r>
      <w:r>
        <w:rPr>
          <w:rFonts w:hAnsi="標楷體" w:hint="eastAsia"/>
          <w:color w:val="000000"/>
        </w:rPr>
        <w:t>決算</w:t>
      </w:r>
      <w:r w:rsidRPr="00FB08A2">
        <w:rPr>
          <w:rFonts w:hAnsi="標楷體" w:hint="eastAsia"/>
          <w:color w:val="000000"/>
        </w:rPr>
        <w:t>合共虧損2,</w:t>
      </w:r>
      <w:r>
        <w:rPr>
          <w:rFonts w:hAnsi="標楷體"/>
          <w:color w:val="000000"/>
        </w:rPr>
        <w:t>203.42</w:t>
      </w:r>
      <w:r w:rsidRPr="00FB08A2">
        <w:rPr>
          <w:rFonts w:hAnsi="標楷體" w:hint="eastAsia"/>
          <w:color w:val="000000"/>
        </w:rPr>
        <w:t>億元，且已連續3年虧損</w:t>
      </w:r>
      <w:r>
        <w:rPr>
          <w:rStyle w:val="af5"/>
          <w:rFonts w:hAnsi="標楷體"/>
          <w:color w:val="000000"/>
        </w:rPr>
        <w:footnoteReference w:id="1"/>
      </w:r>
      <w:r w:rsidRPr="00FB08A2">
        <w:rPr>
          <w:rFonts w:hAnsi="標楷體" w:hint="eastAsia"/>
          <w:color w:val="000000"/>
        </w:rPr>
        <w:t>，</w:t>
      </w:r>
      <w:r w:rsidRPr="00422096">
        <w:rPr>
          <w:rFonts w:hAnsi="標楷體" w:hint="eastAsia"/>
          <w:color w:val="000000"/>
        </w:rPr>
        <w:t>亟待審酌經營環境變遷通盤檢討。經查：</w:t>
      </w:r>
    </w:p>
    <w:p w:rsidR="00134ED3" w:rsidRPr="0000209F" w:rsidRDefault="00134ED3" w:rsidP="00640605">
      <w:pPr>
        <w:pStyle w:val="a5"/>
        <w:ind w:left="849" w:hanging="283"/>
        <w:rPr>
          <w:b/>
          <w:bCs/>
        </w:rPr>
      </w:pPr>
      <w:r w:rsidRPr="0000209F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一</w:t>
      </w:r>
      <w:r w:rsidRPr="0000209F">
        <w:rPr>
          <w:rFonts w:hint="eastAsia"/>
          <w:b/>
          <w:bCs/>
        </w:rPr>
        <w:t>)</w:t>
      </w:r>
      <w:r>
        <w:rPr>
          <w:rFonts w:hint="eastAsia"/>
          <w:b/>
          <w:bCs/>
        </w:rPr>
        <w:t>近5年度</w:t>
      </w:r>
      <w:r w:rsidRPr="0000209F">
        <w:rPr>
          <w:rFonts w:hint="eastAsia"/>
          <w:b/>
          <w:bCs/>
        </w:rPr>
        <w:t>收支</w:t>
      </w:r>
      <w:r w:rsidRPr="0059201F">
        <w:rPr>
          <w:rFonts w:hint="eastAsia"/>
          <w:b/>
          <w:bCs/>
        </w:rPr>
        <w:t>損益</w:t>
      </w:r>
      <w:r w:rsidRPr="0000209F">
        <w:rPr>
          <w:rFonts w:hint="eastAsia"/>
          <w:b/>
          <w:bCs/>
        </w:rPr>
        <w:t>與預算目標差異頗大</w:t>
      </w:r>
      <w:r>
        <w:rPr>
          <w:rFonts w:hAnsi="標楷體" w:hint="eastAsia"/>
          <w:b/>
          <w:bCs/>
        </w:rPr>
        <w:t>，</w:t>
      </w:r>
      <w:r>
        <w:rPr>
          <w:rFonts w:hint="eastAsia"/>
          <w:b/>
          <w:bCs/>
        </w:rPr>
        <w:t>中油連續4年未達預算目標並呈虧損</w:t>
      </w:r>
      <w:r w:rsidRPr="00196F1E">
        <w:rPr>
          <w:rFonts w:hint="eastAsia"/>
          <w:b/>
          <w:bCs/>
        </w:rPr>
        <w:t>，台水有3年入不敷出，台電近2年由盈轉虧且年平均虧損數逾2千億元</w:t>
      </w:r>
    </w:p>
    <w:p w:rsidR="00134ED3" w:rsidRDefault="00134ED3" w:rsidP="00640605">
      <w:pPr>
        <w:pStyle w:val="21"/>
        <w:ind w:left="850" w:firstLine="566"/>
        <w:rPr>
          <w:rFonts w:ascii="新細明體" w:eastAsia="新細明體" w:hAnsi="新細明體"/>
        </w:rPr>
      </w:pPr>
      <w:r>
        <w:rPr>
          <w:rFonts w:hint="eastAsia"/>
        </w:rPr>
        <w:t>彙整</w:t>
      </w:r>
      <w:r w:rsidRPr="00DA6E41">
        <w:rPr>
          <w:rFonts w:hint="eastAsia"/>
        </w:rPr>
        <w:t>經濟部所屬各事業近5年度</w:t>
      </w:r>
      <w:r>
        <w:rPr>
          <w:rFonts w:hint="eastAsia"/>
        </w:rPr>
        <w:t>(</w:t>
      </w:r>
      <w:r w:rsidRPr="0020371D">
        <w:rPr>
          <w:rFonts w:hint="eastAsia"/>
        </w:rPr>
        <w:t>108至112年度</w:t>
      </w:r>
      <w:r>
        <w:rPr>
          <w:rFonts w:hint="eastAsia"/>
        </w:rPr>
        <w:t>)</w:t>
      </w:r>
      <w:r w:rsidRPr="00DA6E41">
        <w:rPr>
          <w:rFonts w:hint="eastAsia"/>
        </w:rPr>
        <w:t>預算盈虧目標達成情形</w:t>
      </w:r>
      <w:r>
        <w:rPr>
          <w:rFonts w:hint="eastAsia"/>
        </w:rPr>
        <w:t>(</w:t>
      </w:r>
      <w:r w:rsidRPr="00DA6E41">
        <w:rPr>
          <w:rFonts w:hint="eastAsia"/>
        </w:rPr>
        <w:t>詳表1）</w:t>
      </w:r>
      <w:r>
        <w:rPr>
          <w:rFonts w:hAnsi="標楷體" w:hint="eastAsia"/>
        </w:rPr>
        <w:t>，</w:t>
      </w:r>
      <w:r>
        <w:rPr>
          <w:rFonts w:hint="eastAsia"/>
        </w:rPr>
        <w:t>並分述如下</w:t>
      </w:r>
      <w:r>
        <w:rPr>
          <w:rFonts w:ascii="新細明體" w:eastAsia="新細明體" w:hAnsi="新細明體" w:hint="eastAsia"/>
        </w:rPr>
        <w:t>：</w:t>
      </w:r>
    </w:p>
    <w:p w:rsidR="00134ED3" w:rsidRDefault="00134ED3" w:rsidP="00134ED3">
      <w:pPr>
        <w:pStyle w:val="123"/>
        <w:numPr>
          <w:ilvl w:val="0"/>
          <w:numId w:val="22"/>
        </w:numPr>
        <w:ind w:leftChars="0" w:firstLineChars="0"/>
      </w:pPr>
      <w:r w:rsidRPr="00DA6E41">
        <w:rPr>
          <w:rFonts w:hint="eastAsia"/>
        </w:rPr>
        <w:t>台電</w:t>
      </w:r>
      <w:r>
        <w:rPr>
          <w:rFonts w:hint="eastAsia"/>
        </w:rPr>
        <w:t>雖</w:t>
      </w:r>
      <w:r w:rsidRPr="00DA6E41">
        <w:rPr>
          <w:rFonts w:hint="eastAsia"/>
        </w:rPr>
        <w:t>4個年度達成預算目標</w:t>
      </w:r>
      <w:r>
        <w:rPr>
          <w:rFonts w:hint="eastAsia"/>
        </w:rPr>
        <w:t>(包含</w:t>
      </w:r>
      <w:r w:rsidRPr="00DA6E41">
        <w:rPr>
          <w:rFonts w:hint="eastAsia"/>
        </w:rPr>
        <w:t>108至110年度決算盈餘優於預期、</w:t>
      </w:r>
      <w:r w:rsidRPr="00DA6E41">
        <w:t>112</w:t>
      </w:r>
      <w:r w:rsidRPr="00DA6E41">
        <w:rPr>
          <w:rFonts w:hint="eastAsia"/>
        </w:rPr>
        <w:t>年度決算虧損較預期減少</w:t>
      </w:r>
      <w:r>
        <w:rPr>
          <w:rFonts w:hint="eastAsia"/>
        </w:rPr>
        <w:t>)</w:t>
      </w:r>
      <w:r>
        <w:rPr>
          <w:rFonts w:hAnsi="標楷體" w:hint="eastAsia"/>
        </w:rPr>
        <w:t>，</w:t>
      </w:r>
      <w:r>
        <w:rPr>
          <w:rFonts w:hint="eastAsia"/>
        </w:rPr>
        <w:t>惟自111年度起由盈轉虧；其中111年度因受俄烏戰爭影響</w:t>
      </w:r>
      <w:r>
        <w:rPr>
          <w:rFonts w:hAnsi="標楷體" w:hint="eastAsia"/>
        </w:rPr>
        <w:t>，國際燃料上升等影響，本期淨損與預算相較，預計盈餘轉呈虧損，且相距逾2千億元</w:t>
      </w:r>
      <w:r w:rsidRPr="00F232A7">
        <w:rPr>
          <w:rFonts w:hAnsi="標楷體" w:hint="eastAsia"/>
        </w:rPr>
        <w:t>；</w:t>
      </w:r>
      <w:r>
        <w:rPr>
          <w:rFonts w:hAnsi="標楷體" w:hint="eastAsia"/>
        </w:rPr>
        <w:t>另</w:t>
      </w:r>
      <w:r w:rsidRPr="00F232A7">
        <w:rPr>
          <w:rFonts w:hAnsi="標楷體" w:hint="eastAsia"/>
        </w:rPr>
        <w:t>112年度決算則主要係政府挹注疫後特別預算捐助收入，及配合用電需求，減少火力發電支出等因素，</w:t>
      </w:r>
      <w:r>
        <w:rPr>
          <w:rFonts w:hAnsi="標楷體" w:hint="eastAsia"/>
        </w:rPr>
        <w:t>致</w:t>
      </w:r>
      <w:r w:rsidRPr="00F232A7">
        <w:rPr>
          <w:rFonts w:hAnsi="標楷體" w:hint="eastAsia"/>
        </w:rPr>
        <w:t>本期淨損較預算減少。</w:t>
      </w:r>
    </w:p>
    <w:p w:rsidR="00134ED3" w:rsidRDefault="00134ED3" w:rsidP="00134ED3">
      <w:pPr>
        <w:pStyle w:val="123"/>
        <w:numPr>
          <w:ilvl w:val="0"/>
          <w:numId w:val="22"/>
        </w:numPr>
        <w:ind w:leftChars="0" w:firstLineChars="0"/>
      </w:pPr>
      <w:r w:rsidRPr="00DA6E41">
        <w:rPr>
          <w:rFonts w:hint="eastAsia"/>
        </w:rPr>
        <w:t>台糖</w:t>
      </w:r>
      <w:r>
        <w:rPr>
          <w:rFonts w:hint="eastAsia"/>
        </w:rPr>
        <w:t>及</w:t>
      </w:r>
      <w:r w:rsidRPr="00DA6E41">
        <w:rPr>
          <w:rFonts w:hint="eastAsia"/>
        </w:rPr>
        <w:t>台水</w:t>
      </w:r>
      <w:r>
        <w:rPr>
          <w:rFonts w:hint="eastAsia"/>
        </w:rPr>
        <w:t>僅</w:t>
      </w:r>
      <w:r w:rsidRPr="00DA6E41">
        <w:rPr>
          <w:rFonts w:hint="eastAsia"/>
        </w:rPr>
        <w:t>2年度達成預算目標</w:t>
      </w:r>
      <w:r>
        <w:rPr>
          <w:rFonts w:hint="eastAsia"/>
        </w:rPr>
        <w:t>(</w:t>
      </w:r>
      <w:r w:rsidRPr="00DA6E41">
        <w:rPr>
          <w:rFonts w:hint="eastAsia"/>
        </w:rPr>
        <w:t>台糖</w:t>
      </w:r>
      <w:r w:rsidRPr="00DA6E41">
        <w:t>108</w:t>
      </w:r>
      <w:r w:rsidRPr="00DA6E41">
        <w:rPr>
          <w:rFonts w:hint="eastAsia"/>
        </w:rPr>
        <w:t>及</w:t>
      </w:r>
      <w:r w:rsidRPr="00DA6E41">
        <w:t>109</w:t>
      </w:r>
      <w:r w:rsidRPr="00DA6E41">
        <w:rPr>
          <w:rFonts w:hint="eastAsia"/>
        </w:rPr>
        <w:t>年度決算盈餘優於預期、台水108及111年度決算轉虧為盈</w:t>
      </w:r>
      <w:r>
        <w:rPr>
          <w:rFonts w:hint="eastAsia"/>
        </w:rPr>
        <w:t>)，</w:t>
      </w:r>
      <w:r w:rsidRPr="00437D39">
        <w:rPr>
          <w:rFonts w:hint="eastAsia"/>
        </w:rPr>
        <w:t>惟台水</w:t>
      </w:r>
      <w:r w:rsidRPr="00437D39">
        <w:rPr>
          <w:rFonts w:hint="eastAsia"/>
        </w:rPr>
        <w:lastRenderedPageBreak/>
        <w:t>109、11</w:t>
      </w:r>
      <w:r>
        <w:rPr>
          <w:rFonts w:hint="eastAsia"/>
        </w:rPr>
        <w:t>0</w:t>
      </w:r>
      <w:r w:rsidRPr="00437D39">
        <w:rPr>
          <w:rFonts w:hint="eastAsia"/>
        </w:rPr>
        <w:t>及112</w:t>
      </w:r>
      <w:r>
        <w:rPr>
          <w:rFonts w:hint="eastAsia"/>
        </w:rPr>
        <w:t>年度分別因乾旱售水收入減少、廠商擴大使</w:t>
      </w:r>
      <w:r>
        <w:rPr>
          <w:rFonts w:hint="eastAsia"/>
        </w:rPr>
        <w:lastRenderedPageBreak/>
        <w:t>用再生水</w:t>
      </w:r>
      <w:r>
        <w:rPr>
          <w:rFonts w:hAnsi="標楷體" w:hint="eastAsia"/>
        </w:rPr>
        <w:t>、</w:t>
      </w:r>
      <w:r>
        <w:rPr>
          <w:rFonts w:hint="eastAsia"/>
        </w:rPr>
        <w:t>分攤稻作停灌及電費調漲等未達預算目標</w:t>
      </w:r>
      <w:r>
        <w:rPr>
          <w:rFonts w:hAnsi="標楷體" w:hint="eastAsia"/>
        </w:rPr>
        <w:t>，且</w:t>
      </w:r>
      <w:r>
        <w:rPr>
          <w:rFonts w:hint="eastAsia"/>
        </w:rPr>
        <w:t>決算虧損</w:t>
      </w:r>
      <w:r w:rsidRPr="00437D39">
        <w:rPr>
          <w:rFonts w:hint="eastAsia"/>
        </w:rPr>
        <w:t>較各該年度預計虧損</w:t>
      </w:r>
      <w:r>
        <w:rPr>
          <w:rFonts w:hint="eastAsia"/>
        </w:rPr>
        <w:t>數</w:t>
      </w:r>
      <w:r w:rsidRPr="00437D39">
        <w:rPr>
          <w:rFonts w:hint="eastAsia"/>
        </w:rPr>
        <w:t>分別增加3.46億元、8.11億元及35.</w:t>
      </w:r>
      <w:r>
        <w:t>63</w:t>
      </w:r>
      <w:r w:rsidRPr="00437D39">
        <w:rPr>
          <w:rFonts w:hint="eastAsia"/>
        </w:rPr>
        <w:t>億元</w:t>
      </w:r>
      <w:r>
        <w:rPr>
          <w:rFonts w:hAnsi="標楷體" w:hint="eastAsia"/>
        </w:rPr>
        <w:t>。</w:t>
      </w:r>
    </w:p>
    <w:p w:rsidR="00134ED3" w:rsidRDefault="00134ED3" w:rsidP="00134ED3">
      <w:pPr>
        <w:pStyle w:val="123"/>
        <w:numPr>
          <w:ilvl w:val="0"/>
          <w:numId w:val="22"/>
        </w:numPr>
        <w:ind w:leftChars="0" w:firstLineChars="0"/>
      </w:pPr>
      <w:r w:rsidRPr="00DA6E41">
        <w:rPr>
          <w:rFonts w:hint="eastAsia"/>
        </w:rPr>
        <w:t>中油</w:t>
      </w:r>
      <w:r>
        <w:rPr>
          <w:rFonts w:hint="eastAsia"/>
        </w:rPr>
        <w:t>僅</w:t>
      </w:r>
      <w:r w:rsidRPr="00DA6E41">
        <w:t>108</w:t>
      </w:r>
      <w:r w:rsidRPr="00DA6E41">
        <w:rPr>
          <w:rFonts w:hint="eastAsia"/>
        </w:rPr>
        <w:t>年度決算盈餘達標外，109至112年度</w:t>
      </w:r>
      <w:r>
        <w:rPr>
          <w:rFonts w:hint="eastAsia"/>
        </w:rPr>
        <w:t>連續4年未達預算目標</w:t>
      </w:r>
      <w:r>
        <w:rPr>
          <w:rFonts w:hAnsi="標楷體" w:hint="eastAsia"/>
        </w:rPr>
        <w:t>，</w:t>
      </w:r>
      <w:r w:rsidRPr="00DA6E41">
        <w:rPr>
          <w:rFonts w:hint="eastAsia"/>
        </w:rPr>
        <w:t>預算均編列盈餘，惟實際執行後卻</w:t>
      </w:r>
      <w:r>
        <w:rPr>
          <w:rFonts w:hint="eastAsia"/>
        </w:rPr>
        <w:t>均</w:t>
      </w:r>
      <w:r w:rsidRPr="00DA6E41">
        <w:rPr>
          <w:rFonts w:hint="eastAsia"/>
        </w:rPr>
        <w:t>呈虧損</w:t>
      </w:r>
      <w:r>
        <w:rPr>
          <w:rFonts w:hint="eastAsia"/>
        </w:rPr>
        <w:t>。</w:t>
      </w:r>
    </w:p>
    <w:p w:rsidR="00134ED3" w:rsidRDefault="00134ED3" w:rsidP="00134ED3">
      <w:pPr>
        <w:pStyle w:val="123"/>
        <w:numPr>
          <w:ilvl w:val="0"/>
          <w:numId w:val="22"/>
        </w:numPr>
        <w:ind w:leftChars="0" w:firstLineChars="0"/>
      </w:pPr>
      <w:r w:rsidRPr="00AD6C7E">
        <w:rPr>
          <w:rFonts w:hint="eastAsia"/>
          <w:bCs/>
          <w:color w:val="000000"/>
        </w:rPr>
        <w:t>另中油及台電112年度決算虧損</w:t>
      </w:r>
      <w:r>
        <w:rPr>
          <w:rFonts w:hint="eastAsia"/>
          <w:bCs/>
          <w:color w:val="000000"/>
        </w:rPr>
        <w:t>數均</w:t>
      </w:r>
      <w:r w:rsidRPr="00AD6C7E">
        <w:rPr>
          <w:rFonts w:hint="eastAsia"/>
          <w:bCs/>
          <w:color w:val="000000"/>
        </w:rPr>
        <w:t>逾百億元以上</w:t>
      </w:r>
      <w:r w:rsidRPr="00AD6C7E">
        <w:rPr>
          <w:rFonts w:hAnsi="標楷體" w:hint="eastAsia"/>
          <w:bCs/>
          <w:color w:val="000000"/>
        </w:rPr>
        <w:t>，</w:t>
      </w:r>
      <w:r w:rsidRPr="00AD6C7E">
        <w:rPr>
          <w:rFonts w:hint="eastAsia"/>
          <w:bCs/>
          <w:color w:val="000000"/>
        </w:rPr>
        <w:t>營運績效欠佳</w:t>
      </w:r>
      <w:r w:rsidRPr="00AD6C7E">
        <w:rPr>
          <w:rFonts w:hAnsi="標楷體" w:hint="eastAsia"/>
          <w:bCs/>
          <w:color w:val="000000"/>
        </w:rPr>
        <w:t>，</w:t>
      </w:r>
      <w:r w:rsidRPr="00AD6C7E">
        <w:rPr>
          <w:rFonts w:hint="eastAsia"/>
          <w:bCs/>
          <w:color w:val="000000"/>
        </w:rPr>
        <w:t>亟待通盤檢討改善：</w:t>
      </w:r>
      <w:r w:rsidRPr="000C73A7">
        <w:t>(1)</w:t>
      </w:r>
      <w:r>
        <w:rPr>
          <w:rFonts w:hint="eastAsia"/>
        </w:rPr>
        <w:t>台電</w:t>
      </w:r>
      <w:r w:rsidRPr="00171D6E">
        <w:rPr>
          <w:rFonts w:hint="eastAsia"/>
        </w:rPr>
        <w:t>111及112年度決算各虧損2,265億元及1,99</w:t>
      </w:r>
      <w:r>
        <w:t>1</w:t>
      </w:r>
      <w:r w:rsidRPr="00171D6E">
        <w:rPr>
          <w:rFonts w:hint="eastAsia"/>
        </w:rPr>
        <w:t>億元</w:t>
      </w:r>
      <w:r>
        <w:rPr>
          <w:rFonts w:hint="eastAsia"/>
        </w:rPr>
        <w:t>，主要係1</w:t>
      </w:r>
      <w:r>
        <w:t>11</w:t>
      </w:r>
      <w:r>
        <w:rPr>
          <w:rFonts w:hint="eastAsia"/>
        </w:rPr>
        <w:t>年度受國際燃料價格影響，購煤均價由</w:t>
      </w:r>
      <w:r>
        <w:t>109</w:t>
      </w:r>
      <w:r>
        <w:rPr>
          <w:rFonts w:hint="eastAsia"/>
        </w:rPr>
        <w:t>年每噸64美元漲至</w:t>
      </w:r>
      <w:r>
        <w:t>111</w:t>
      </w:r>
      <w:r>
        <w:rPr>
          <w:rFonts w:hint="eastAsia"/>
        </w:rPr>
        <w:t>年276美元，漲幅約3倍，至112年度國際燃料價格雖有回穩，但仍處於高檔，</w:t>
      </w:r>
      <w:r w:rsidRPr="008463AE">
        <w:rPr>
          <w:rFonts w:hint="eastAsia"/>
        </w:rPr>
        <w:t>發(購)電燃料成本</w:t>
      </w:r>
      <w:r>
        <w:rPr>
          <w:rFonts w:hint="eastAsia"/>
        </w:rPr>
        <w:t>增加係該公司近年虧損主因</w:t>
      </w:r>
      <w:r>
        <w:rPr>
          <w:rStyle w:val="af5"/>
        </w:rPr>
        <w:footnoteReference w:id="2"/>
      </w:r>
      <w:r>
        <w:rPr>
          <w:rFonts w:hint="eastAsia"/>
        </w:rPr>
        <w:t>，近2年合共</w:t>
      </w:r>
      <w:r w:rsidRPr="00171D6E">
        <w:rPr>
          <w:rFonts w:hint="eastAsia"/>
        </w:rPr>
        <w:t>虧損</w:t>
      </w:r>
      <w:r>
        <w:rPr>
          <w:rFonts w:hint="eastAsia"/>
        </w:rPr>
        <w:t>達</w:t>
      </w:r>
      <w:r>
        <w:t>4</w:t>
      </w:r>
      <w:r>
        <w:rPr>
          <w:rFonts w:hint="eastAsia"/>
        </w:rPr>
        <w:t>,2</w:t>
      </w:r>
      <w:r>
        <w:t>56</w:t>
      </w:r>
      <w:r w:rsidRPr="00171D6E">
        <w:rPr>
          <w:rFonts w:hint="eastAsia"/>
        </w:rPr>
        <w:t>億元</w:t>
      </w:r>
      <w:r>
        <w:rPr>
          <w:rFonts w:hint="eastAsia"/>
        </w:rPr>
        <w:t>。</w:t>
      </w:r>
      <w:r>
        <w:t>(2)</w:t>
      </w:r>
      <w:r>
        <w:rPr>
          <w:rFonts w:hint="eastAsia"/>
        </w:rPr>
        <w:t>中油則由109年度虧損73億元，逐年擴大至111年度虧損</w:t>
      </w:r>
      <w:r w:rsidRPr="00F1534F">
        <w:rPr>
          <w:rFonts w:hint="eastAsia"/>
        </w:rPr>
        <w:t>1,861億元</w:t>
      </w:r>
      <w:r>
        <w:rPr>
          <w:rFonts w:hint="eastAsia"/>
        </w:rPr>
        <w:t>，主要係</w:t>
      </w:r>
      <w:r>
        <w:t>109</w:t>
      </w:r>
      <w:r>
        <w:rPr>
          <w:rFonts w:hint="eastAsia"/>
        </w:rPr>
        <w:t>年度</w:t>
      </w:r>
      <w:r w:rsidRPr="00BF266A">
        <w:rPr>
          <w:rFonts w:hint="eastAsia"/>
        </w:rPr>
        <w:t>海外油氣礦區資產受國際油價</w:t>
      </w:r>
      <w:r>
        <w:rPr>
          <w:rFonts w:hint="eastAsia"/>
        </w:rPr>
        <w:t>下跌</w:t>
      </w:r>
      <w:r w:rsidRPr="00BF266A">
        <w:rPr>
          <w:rFonts w:hint="eastAsia"/>
        </w:rPr>
        <w:t>影響</w:t>
      </w:r>
      <w:r>
        <w:rPr>
          <w:rFonts w:hint="eastAsia"/>
        </w:rPr>
        <w:t>認列資產減損，110及111年度則</w:t>
      </w:r>
      <w:r w:rsidRPr="00F1534F">
        <w:rPr>
          <w:rFonts w:hint="eastAsia"/>
        </w:rPr>
        <w:t>受國際天然氣市場價格上漲，致進口成本攀升</w:t>
      </w:r>
      <w:r w:rsidRPr="00A445A6">
        <w:rPr>
          <w:rFonts w:hint="eastAsia"/>
        </w:rPr>
        <w:t>，</w:t>
      </w:r>
      <w:r>
        <w:rPr>
          <w:rFonts w:hint="eastAsia"/>
        </w:rPr>
        <w:t>及</w:t>
      </w:r>
      <w:r w:rsidRPr="00A445A6">
        <w:rPr>
          <w:rFonts w:hint="eastAsia"/>
        </w:rPr>
        <w:t>配合政府穩定物價政策，國內產品售價未隨公式足額調整</w:t>
      </w:r>
      <w:r>
        <w:rPr>
          <w:rFonts w:hint="eastAsia"/>
        </w:rPr>
        <w:t>等因素影響</w:t>
      </w:r>
      <w:r>
        <w:rPr>
          <w:rStyle w:val="af5"/>
        </w:rPr>
        <w:footnoteReference w:id="3"/>
      </w:r>
      <w:r>
        <w:rPr>
          <w:rFonts w:hint="eastAsia"/>
        </w:rPr>
        <w:t>；至112年度決算配合平穩物價政策，油氣未能適足反應成本變動等因素</w:t>
      </w:r>
      <w:r>
        <w:rPr>
          <w:rStyle w:val="af5"/>
        </w:rPr>
        <w:footnoteReference w:id="4"/>
      </w:r>
      <w:r>
        <w:rPr>
          <w:rFonts w:hint="eastAsia"/>
        </w:rPr>
        <w:t>，年度虧損規模雖縮減至</w:t>
      </w:r>
      <w:r>
        <w:t>213</w:t>
      </w:r>
      <w:r>
        <w:rPr>
          <w:rFonts w:hint="eastAsia"/>
        </w:rPr>
        <w:t>億元，惟自109年度起已連續4年虧損。</w:t>
      </w:r>
    </w:p>
    <w:p w:rsidR="00134ED3" w:rsidRDefault="00134ED3" w:rsidP="00640605">
      <w:pPr>
        <w:pStyle w:val="123"/>
        <w:ind w:leftChars="0" w:firstLineChars="0"/>
      </w:pPr>
    </w:p>
    <w:p w:rsidR="00134ED3" w:rsidRDefault="00134ED3" w:rsidP="00640605">
      <w:pPr>
        <w:pStyle w:val="123"/>
        <w:ind w:leftChars="0" w:firstLineChars="0"/>
      </w:pPr>
    </w:p>
    <w:p w:rsidR="00134ED3" w:rsidRDefault="00134ED3" w:rsidP="00640605">
      <w:pPr>
        <w:pStyle w:val="123"/>
        <w:ind w:leftChars="0" w:firstLineChars="0"/>
      </w:pPr>
    </w:p>
    <w:p w:rsidR="00134ED3" w:rsidRDefault="00134ED3" w:rsidP="00640605">
      <w:pPr>
        <w:ind w:leftChars="-123" w:left="1044" w:hangingChars="491" w:hanging="1392"/>
        <w:jc w:val="left"/>
        <w:rPr>
          <w:rFonts w:hAnsi="標楷體"/>
          <w:b/>
          <w:color w:val="000000"/>
          <w:spacing w:val="-4"/>
        </w:rPr>
      </w:pPr>
      <w:r w:rsidRPr="008A1368">
        <w:rPr>
          <w:rFonts w:hAnsi="標楷體" w:hint="eastAsia"/>
          <w:b/>
          <w:color w:val="000000"/>
        </w:rPr>
        <w:lastRenderedPageBreak/>
        <w:t>表1</w:t>
      </w:r>
      <w:r>
        <w:rPr>
          <w:rFonts w:hAnsi="標楷體" w:hint="eastAsia"/>
          <w:b/>
          <w:color w:val="000000"/>
        </w:rPr>
        <w:t xml:space="preserve">  </w:t>
      </w:r>
      <w:r>
        <w:rPr>
          <w:rFonts w:hAnsi="標楷體" w:hint="eastAsia"/>
          <w:b/>
          <w:color w:val="000000"/>
          <w:spacing w:val="-4"/>
        </w:rPr>
        <w:t>1</w:t>
      </w:r>
      <w:r>
        <w:rPr>
          <w:rFonts w:hAnsi="標楷體"/>
          <w:b/>
          <w:color w:val="000000"/>
          <w:spacing w:val="-4"/>
        </w:rPr>
        <w:t>08</w:t>
      </w:r>
      <w:r>
        <w:rPr>
          <w:rFonts w:hAnsi="標楷體" w:hint="eastAsia"/>
          <w:b/>
          <w:color w:val="000000"/>
          <w:spacing w:val="-4"/>
        </w:rPr>
        <w:t>至11</w:t>
      </w:r>
      <w:r>
        <w:rPr>
          <w:rFonts w:hAnsi="標楷體"/>
          <w:b/>
          <w:color w:val="000000"/>
          <w:spacing w:val="-4"/>
        </w:rPr>
        <w:t>2</w:t>
      </w:r>
      <w:r>
        <w:rPr>
          <w:rFonts w:hAnsi="標楷體" w:hint="eastAsia"/>
          <w:b/>
          <w:color w:val="000000"/>
          <w:spacing w:val="-4"/>
        </w:rPr>
        <w:t>年度經濟部所屬四大國營事業重要損益科目</w:t>
      </w:r>
      <w:r w:rsidRPr="00CC5FD3">
        <w:rPr>
          <w:rFonts w:hAnsi="標楷體" w:hint="eastAsia"/>
          <w:b/>
          <w:color w:val="000000"/>
          <w:spacing w:val="-4"/>
        </w:rPr>
        <w:t>情形</w:t>
      </w:r>
      <w:r w:rsidRPr="008A1368">
        <w:rPr>
          <w:rFonts w:hAnsi="標楷體" w:hint="eastAsia"/>
          <w:b/>
          <w:color w:val="000000"/>
          <w:spacing w:val="-4"/>
        </w:rPr>
        <w:t>表</w:t>
      </w:r>
    </w:p>
    <w:p w:rsidR="00134ED3" w:rsidRDefault="00134ED3" w:rsidP="00640605">
      <w:pPr>
        <w:spacing w:line="320" w:lineRule="exact"/>
        <w:ind w:leftChars="0" w:left="1017" w:rightChars="-150" w:right="-425" w:hangingChars="369" w:hanging="1017"/>
        <w:jc w:val="right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b/>
          <w:color w:val="000000"/>
          <w:spacing w:val="-4"/>
        </w:rPr>
        <w:t xml:space="preserve">                                      </w:t>
      </w:r>
      <w:r w:rsidRPr="008A1368">
        <w:rPr>
          <w:rFonts w:hAnsi="標楷體" w:hint="eastAsia"/>
          <w:color w:val="000000"/>
          <w:sz w:val="24"/>
          <w:szCs w:val="24"/>
        </w:rPr>
        <w:t>單位：新臺幣億元</w:t>
      </w:r>
    </w:p>
    <w:tbl>
      <w:tblPr>
        <w:tblW w:w="9232" w:type="dxa"/>
        <w:tblInd w:w="-3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492"/>
        <w:gridCol w:w="567"/>
        <w:gridCol w:w="817"/>
        <w:gridCol w:w="817"/>
        <w:gridCol w:w="817"/>
        <w:gridCol w:w="818"/>
        <w:gridCol w:w="817"/>
        <w:gridCol w:w="817"/>
        <w:gridCol w:w="818"/>
        <w:gridCol w:w="817"/>
        <w:gridCol w:w="817"/>
        <w:gridCol w:w="818"/>
      </w:tblGrid>
      <w:tr w:rsidR="00134ED3" w:rsidRPr="00F33DEB" w:rsidTr="00640605">
        <w:trPr>
          <w:trHeight w:val="307"/>
          <w:tblHeader/>
        </w:trPr>
        <w:tc>
          <w:tcPr>
            <w:tcW w:w="492" w:type="dxa"/>
            <w:vMerge w:val="restart"/>
            <w:tcBorders>
              <w:top w:val="single" w:sz="12" w:space="0" w:color="auto"/>
            </w:tcBorders>
          </w:tcPr>
          <w:p w:rsidR="00134ED3" w:rsidRPr="00EE3368" w:rsidRDefault="00134ED3" w:rsidP="00640605">
            <w:pPr>
              <w:pStyle w:val="142"/>
              <w:rPr>
                <w:spacing w:val="-20"/>
              </w:rPr>
            </w:pPr>
            <w:r w:rsidRPr="00EE3368">
              <w:rPr>
                <w:rFonts w:hint="eastAsia"/>
                <w:spacing w:val="-20"/>
              </w:rPr>
              <w:t>公司</w:t>
            </w:r>
          </w:p>
          <w:p w:rsidR="00134ED3" w:rsidRPr="00EE3368" w:rsidRDefault="00134ED3" w:rsidP="00640605">
            <w:pPr>
              <w:pStyle w:val="142"/>
              <w:rPr>
                <w:spacing w:val="-20"/>
              </w:rPr>
            </w:pPr>
            <w:r w:rsidRPr="00EE3368">
              <w:rPr>
                <w:rFonts w:hint="eastAsia"/>
                <w:spacing w:val="-20"/>
              </w:rPr>
              <w:t>名稱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34ED3" w:rsidRPr="00F33DEB" w:rsidRDefault="00134ED3" w:rsidP="00640605">
            <w:pPr>
              <w:pStyle w:val="142"/>
            </w:pPr>
            <w:r>
              <w:rPr>
                <w:rFonts w:hint="eastAsia"/>
              </w:rPr>
              <w:t>年度及</w:t>
            </w:r>
            <w:r w:rsidRPr="00F33DEB">
              <w:rPr>
                <w:rFonts w:hint="eastAsia"/>
              </w:rPr>
              <w:t>項目</w:t>
            </w:r>
          </w:p>
        </w:tc>
        <w:tc>
          <w:tcPr>
            <w:tcW w:w="1634" w:type="dxa"/>
            <w:gridSpan w:val="2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108</w:t>
            </w:r>
          </w:p>
        </w:tc>
        <w:tc>
          <w:tcPr>
            <w:tcW w:w="1635" w:type="dxa"/>
            <w:gridSpan w:val="2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109</w:t>
            </w:r>
          </w:p>
        </w:tc>
        <w:tc>
          <w:tcPr>
            <w:tcW w:w="1634" w:type="dxa"/>
            <w:gridSpan w:val="2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110</w:t>
            </w:r>
          </w:p>
        </w:tc>
        <w:tc>
          <w:tcPr>
            <w:tcW w:w="1635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111</w:t>
            </w:r>
          </w:p>
        </w:tc>
        <w:tc>
          <w:tcPr>
            <w:tcW w:w="1635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112</w:t>
            </w:r>
          </w:p>
        </w:tc>
      </w:tr>
      <w:tr w:rsidR="00134ED3" w:rsidRPr="00F33DEB" w:rsidTr="00640605">
        <w:trPr>
          <w:trHeight w:val="207"/>
          <w:tblHeader/>
        </w:trPr>
        <w:tc>
          <w:tcPr>
            <w:tcW w:w="492" w:type="dxa"/>
            <w:vMerge/>
          </w:tcPr>
          <w:p w:rsidR="00134ED3" w:rsidRPr="00F33DEB" w:rsidRDefault="00134ED3" w:rsidP="00640605">
            <w:pPr>
              <w:pStyle w:val="142"/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134ED3" w:rsidRPr="00F33DEB" w:rsidRDefault="00134ED3" w:rsidP="00640605">
            <w:pPr>
              <w:pStyle w:val="142"/>
            </w:pPr>
          </w:p>
        </w:tc>
        <w:tc>
          <w:tcPr>
            <w:tcW w:w="817" w:type="dxa"/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預算數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決算數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預算數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決算數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預算數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決算數</w:t>
            </w:r>
          </w:p>
        </w:tc>
        <w:tc>
          <w:tcPr>
            <w:tcW w:w="81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預算數</w:t>
            </w:r>
          </w:p>
        </w:tc>
        <w:tc>
          <w:tcPr>
            <w:tcW w:w="817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決算數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預算數</w:t>
            </w:r>
          </w:p>
        </w:tc>
        <w:tc>
          <w:tcPr>
            <w:tcW w:w="818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4ED3" w:rsidRPr="00F33DEB" w:rsidRDefault="00134ED3" w:rsidP="00640605">
            <w:pPr>
              <w:pStyle w:val="142"/>
              <w:jc w:val="center"/>
              <w:rPr>
                <w:spacing w:val="-8"/>
              </w:rPr>
            </w:pPr>
            <w:r w:rsidRPr="00F33DEB">
              <w:rPr>
                <w:rFonts w:hint="eastAsia"/>
                <w:spacing w:val="-8"/>
              </w:rPr>
              <w:t>決算數</w:t>
            </w:r>
          </w:p>
        </w:tc>
      </w:tr>
      <w:tr w:rsidR="00134ED3" w:rsidRPr="00FA094E" w:rsidTr="007E4CE9">
        <w:trPr>
          <w:trHeight w:val="20"/>
        </w:trPr>
        <w:tc>
          <w:tcPr>
            <w:tcW w:w="492" w:type="dxa"/>
            <w:vMerge w:val="restart"/>
            <w:vAlign w:val="center"/>
          </w:tcPr>
          <w:p w:rsidR="00134ED3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中油</w:t>
            </w:r>
          </w:p>
        </w:tc>
        <w:tc>
          <w:tcPr>
            <w:tcW w:w="567" w:type="dxa"/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營業損</w:t>
            </w:r>
            <w:r w:rsidRPr="00F825FF">
              <w:rPr>
                <w:rFonts w:hint="eastAsia"/>
                <w:spacing w:val="-20"/>
              </w:rPr>
              <w:t>益</w:t>
            </w:r>
          </w:p>
        </w:tc>
        <w:tc>
          <w:tcPr>
            <w:tcW w:w="817" w:type="dxa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224.39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362.25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198.73 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-107.19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168.96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-293.71 </w:t>
            </w:r>
          </w:p>
        </w:tc>
        <w:tc>
          <w:tcPr>
            <w:tcW w:w="818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153.60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EE3368" w:rsidRDefault="00134ED3" w:rsidP="00640605">
            <w:pPr>
              <w:pStyle w:val="142"/>
              <w:jc w:val="right"/>
              <w:rPr>
                <w:color w:val="FF0000"/>
                <w:spacing w:val="-34"/>
              </w:rPr>
            </w:pPr>
            <w:r w:rsidRPr="00EE3368">
              <w:rPr>
                <w:color w:val="FF0000"/>
                <w:spacing w:val="-34"/>
              </w:rPr>
              <w:t xml:space="preserve">-2,039.39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70.25 </w:t>
            </w:r>
          </w:p>
        </w:tc>
        <w:tc>
          <w:tcPr>
            <w:tcW w:w="818" w:type="dxa"/>
            <w:tcBorders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-137.74 </w:t>
            </w:r>
          </w:p>
        </w:tc>
      </w:tr>
      <w:tr w:rsidR="00134ED3" w:rsidRPr="00FA094E" w:rsidTr="007E4CE9">
        <w:trPr>
          <w:trHeight w:val="20"/>
        </w:trPr>
        <w:tc>
          <w:tcPr>
            <w:tcW w:w="492" w:type="dxa"/>
            <w:vMerge/>
            <w:vAlign w:val="center"/>
          </w:tcPr>
          <w:p w:rsidR="00134ED3" w:rsidRPr="008F1997" w:rsidRDefault="00134ED3" w:rsidP="00640605">
            <w:pPr>
              <w:pStyle w:val="142"/>
              <w:rPr>
                <w:spacing w:val="-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8F1997">
              <w:rPr>
                <w:rFonts w:hint="eastAsia"/>
                <w:spacing w:val="-40"/>
              </w:rPr>
              <w:t>營業外損益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-62.68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-28.88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-57.40 </w:t>
            </w:r>
          </w:p>
        </w:tc>
        <w:tc>
          <w:tcPr>
            <w:tcW w:w="81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30.15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-53.16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-177.61 </w:t>
            </w:r>
          </w:p>
        </w:tc>
        <w:tc>
          <w:tcPr>
            <w:tcW w:w="818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-51.36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-104.92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-68.75 </w:t>
            </w:r>
          </w:p>
        </w:tc>
        <w:tc>
          <w:tcPr>
            <w:tcW w:w="81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-86.37 </w:t>
            </w:r>
          </w:p>
        </w:tc>
      </w:tr>
      <w:tr w:rsidR="00134ED3" w:rsidRPr="00FA094E" w:rsidTr="007E4CE9">
        <w:trPr>
          <w:trHeight w:val="20"/>
        </w:trPr>
        <w:tc>
          <w:tcPr>
            <w:tcW w:w="492" w:type="dxa"/>
            <w:vMerge/>
            <w:tcBorders>
              <w:bottom w:val="double" w:sz="4" w:space="0" w:color="auto"/>
            </w:tcBorders>
            <w:vAlign w:val="center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F825FF">
              <w:rPr>
                <w:rFonts w:hint="eastAsia"/>
                <w:spacing w:val="-20"/>
              </w:rPr>
              <w:t>本期損益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161.72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324.43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113.54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-73.42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93.15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-392.84 </w:t>
            </w:r>
          </w:p>
        </w:tc>
        <w:tc>
          <w:tcPr>
            <w:tcW w:w="81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82.13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30"/>
              </w:rPr>
            </w:pPr>
            <w:r w:rsidRPr="00EE3368">
              <w:rPr>
                <w:color w:val="FF0000"/>
                <w:spacing w:val="-34"/>
              </w:rPr>
              <w:t>-1,861.59</w:t>
            </w:r>
            <w:r w:rsidRPr="00F71B29">
              <w:rPr>
                <w:color w:val="FF0000"/>
                <w:spacing w:val="-30"/>
              </w:rPr>
              <w:t xml:space="preserve">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1.79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134ED3" w:rsidRPr="00BE274A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BE274A">
              <w:rPr>
                <w:color w:val="FF0000"/>
                <w:spacing w:val="-10"/>
              </w:rPr>
              <w:t xml:space="preserve">-213.63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 w:val="restart"/>
            <w:vAlign w:val="center"/>
          </w:tcPr>
          <w:p w:rsidR="00134ED3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台電</w:t>
            </w:r>
          </w:p>
        </w:tc>
        <w:tc>
          <w:tcPr>
            <w:tcW w:w="567" w:type="dxa"/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營業損</w:t>
            </w:r>
            <w:r w:rsidRPr="00F825FF">
              <w:rPr>
                <w:rFonts w:hint="eastAsia"/>
                <w:spacing w:val="-20"/>
              </w:rPr>
              <w:t>益</w:t>
            </w:r>
          </w:p>
        </w:tc>
        <w:tc>
          <w:tcPr>
            <w:tcW w:w="817" w:type="dxa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198.67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1.27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170.53 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498.34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192.75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483.66 </w:t>
            </w:r>
          </w:p>
        </w:tc>
        <w:tc>
          <w:tcPr>
            <w:tcW w:w="818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214.67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30"/>
              </w:rPr>
            </w:pPr>
            <w:r w:rsidRPr="00EE3368">
              <w:rPr>
                <w:color w:val="FF0000"/>
                <w:spacing w:val="-34"/>
              </w:rPr>
              <w:t>-2,584.93</w:t>
            </w:r>
            <w:r w:rsidRPr="00F71B29">
              <w:rPr>
                <w:color w:val="FF0000"/>
                <w:spacing w:val="-30"/>
              </w:rPr>
              <w:t xml:space="preserve">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34ED3" w:rsidRPr="00EE3368" w:rsidRDefault="00134ED3" w:rsidP="00640605">
            <w:pPr>
              <w:pStyle w:val="142"/>
              <w:jc w:val="right"/>
              <w:rPr>
                <w:color w:val="FF0000"/>
                <w:spacing w:val="-34"/>
              </w:rPr>
            </w:pPr>
            <w:r w:rsidRPr="00EE3368">
              <w:rPr>
                <w:color w:val="FF0000"/>
                <w:spacing w:val="-34"/>
              </w:rPr>
              <w:t xml:space="preserve">-2,591.31 </w:t>
            </w:r>
          </w:p>
        </w:tc>
        <w:tc>
          <w:tcPr>
            <w:tcW w:w="81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34ED3" w:rsidRPr="00EE3368" w:rsidRDefault="00134ED3" w:rsidP="00640605">
            <w:pPr>
              <w:pStyle w:val="142"/>
              <w:jc w:val="right"/>
              <w:rPr>
                <w:color w:val="FF0000"/>
                <w:spacing w:val="-34"/>
              </w:rPr>
            </w:pPr>
            <w:r w:rsidRPr="00EE3368">
              <w:rPr>
                <w:color w:val="FF0000"/>
                <w:spacing w:val="-34"/>
              </w:rPr>
              <w:t xml:space="preserve">-1,755.61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  <w:vAlign w:val="center"/>
          </w:tcPr>
          <w:p w:rsidR="00134ED3" w:rsidRPr="008F1997" w:rsidRDefault="00134ED3" w:rsidP="00640605">
            <w:pPr>
              <w:pStyle w:val="142"/>
              <w:rPr>
                <w:spacing w:val="-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34ED3" w:rsidRPr="008F1997" w:rsidRDefault="00134ED3" w:rsidP="00640605">
            <w:pPr>
              <w:pStyle w:val="142"/>
              <w:rPr>
                <w:spacing w:val="-40"/>
              </w:rPr>
            </w:pPr>
            <w:r w:rsidRPr="008F1997">
              <w:rPr>
                <w:rFonts w:hint="eastAsia"/>
                <w:spacing w:val="-40"/>
              </w:rPr>
              <w:t>營業外損益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-168.33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171.98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-149.90 </w:t>
            </w:r>
          </w:p>
        </w:tc>
        <w:tc>
          <w:tcPr>
            <w:tcW w:w="818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-259.78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-148.60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-260.17 </w:t>
            </w:r>
          </w:p>
        </w:tc>
        <w:tc>
          <w:tcPr>
            <w:tcW w:w="818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-146.22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312.76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-193.19 </w:t>
            </w:r>
          </w:p>
        </w:tc>
        <w:tc>
          <w:tcPr>
            <w:tcW w:w="81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-221.04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  <w:tcBorders>
              <w:bottom w:val="double" w:sz="4" w:space="0" w:color="auto"/>
            </w:tcBorders>
            <w:vAlign w:val="center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F825FF">
              <w:rPr>
                <w:rFonts w:hint="eastAsia"/>
                <w:spacing w:val="-20"/>
              </w:rPr>
              <w:t>本期損益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30.35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160.95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20.63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240.96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44.15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225.04 </w:t>
            </w:r>
          </w:p>
        </w:tc>
        <w:tc>
          <w:tcPr>
            <w:tcW w:w="81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68.45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EE3368" w:rsidRDefault="00134ED3" w:rsidP="00640605">
            <w:pPr>
              <w:pStyle w:val="142"/>
              <w:jc w:val="right"/>
              <w:rPr>
                <w:color w:val="FF0000"/>
                <w:spacing w:val="-34"/>
              </w:rPr>
            </w:pPr>
            <w:r w:rsidRPr="00EE3368">
              <w:rPr>
                <w:color w:val="FF0000"/>
                <w:spacing w:val="-34"/>
              </w:rPr>
              <w:t xml:space="preserve">-2,265.28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EE3368" w:rsidRDefault="00134ED3" w:rsidP="00640605">
            <w:pPr>
              <w:pStyle w:val="142"/>
              <w:jc w:val="right"/>
              <w:rPr>
                <w:color w:val="FF0000"/>
                <w:spacing w:val="-34"/>
              </w:rPr>
            </w:pPr>
            <w:r w:rsidRPr="00EE3368">
              <w:rPr>
                <w:color w:val="FF0000"/>
                <w:spacing w:val="-34"/>
              </w:rPr>
              <w:t xml:space="preserve">-2,784.50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4ED3" w:rsidRPr="00BB103D" w:rsidRDefault="00134ED3" w:rsidP="00640605">
            <w:pPr>
              <w:pStyle w:val="142"/>
              <w:jc w:val="right"/>
              <w:rPr>
                <w:b/>
                <w:color w:val="FF0000"/>
                <w:spacing w:val="-34"/>
              </w:rPr>
            </w:pPr>
            <w:r w:rsidRPr="00BE274A">
              <w:rPr>
                <w:color w:val="FF0000"/>
                <w:spacing w:val="-34"/>
              </w:rPr>
              <w:t>-1,990.91</w:t>
            </w:r>
            <w:r w:rsidRPr="00BB103D">
              <w:rPr>
                <w:b/>
                <w:color w:val="FF0000"/>
                <w:spacing w:val="-34"/>
              </w:rPr>
              <w:t xml:space="preserve">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 w:val="restart"/>
            <w:vAlign w:val="center"/>
          </w:tcPr>
          <w:p w:rsidR="00134ED3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台糖</w:t>
            </w:r>
          </w:p>
        </w:tc>
        <w:tc>
          <w:tcPr>
            <w:tcW w:w="567" w:type="dxa"/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營業損</w:t>
            </w:r>
            <w:r w:rsidRPr="00F825FF">
              <w:rPr>
                <w:rFonts w:hint="eastAsia"/>
                <w:spacing w:val="-20"/>
              </w:rPr>
              <w:t>益</w:t>
            </w:r>
          </w:p>
        </w:tc>
        <w:tc>
          <w:tcPr>
            <w:tcW w:w="817" w:type="dxa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8.97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12.45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3.40 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13.70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7.07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13.55 </w:t>
            </w:r>
          </w:p>
        </w:tc>
        <w:tc>
          <w:tcPr>
            <w:tcW w:w="818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10.35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17.51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12.51 </w:t>
            </w:r>
          </w:p>
        </w:tc>
        <w:tc>
          <w:tcPr>
            <w:tcW w:w="818" w:type="dxa"/>
            <w:tcBorders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22.33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  <w:vAlign w:val="center"/>
          </w:tcPr>
          <w:p w:rsidR="00134ED3" w:rsidRPr="008F1997" w:rsidRDefault="00134ED3" w:rsidP="00640605">
            <w:pPr>
              <w:pStyle w:val="142"/>
              <w:rPr>
                <w:spacing w:val="-4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8F1997">
              <w:rPr>
                <w:rFonts w:hint="eastAsia"/>
                <w:spacing w:val="-40"/>
              </w:rPr>
              <w:t>營業外損益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15.85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20.30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16.23 </w:t>
            </w:r>
          </w:p>
        </w:tc>
        <w:tc>
          <w:tcPr>
            <w:tcW w:w="818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22.53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32.82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24.36 </w:t>
            </w:r>
          </w:p>
        </w:tc>
        <w:tc>
          <w:tcPr>
            <w:tcW w:w="818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33.69 </w:t>
            </w:r>
          </w:p>
        </w:tc>
        <w:tc>
          <w:tcPr>
            <w:tcW w:w="81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7.05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37.44 </w:t>
            </w:r>
          </w:p>
        </w:tc>
        <w:tc>
          <w:tcPr>
            <w:tcW w:w="81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20.98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  <w:tcBorders>
              <w:bottom w:val="double" w:sz="4" w:space="0" w:color="auto"/>
            </w:tcBorders>
            <w:vAlign w:val="center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F825FF">
              <w:rPr>
                <w:rFonts w:hint="eastAsia"/>
                <w:spacing w:val="-20"/>
              </w:rPr>
              <w:t>本期損益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27.40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27.43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28.39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45.67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44.48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39.08 </w:t>
            </w:r>
          </w:p>
        </w:tc>
        <w:tc>
          <w:tcPr>
            <w:tcW w:w="81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46.45 </w:t>
            </w:r>
          </w:p>
        </w:tc>
        <w:tc>
          <w:tcPr>
            <w:tcW w:w="81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24.28 </w:t>
            </w:r>
          </w:p>
        </w:tc>
        <w:tc>
          <w:tcPr>
            <w:tcW w:w="81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51.90 </w:t>
            </w:r>
          </w:p>
        </w:tc>
        <w:tc>
          <w:tcPr>
            <w:tcW w:w="818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43.99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 w:val="restart"/>
            <w:vAlign w:val="center"/>
          </w:tcPr>
          <w:p w:rsidR="00134ED3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台水</w:t>
            </w:r>
          </w:p>
        </w:tc>
        <w:tc>
          <w:tcPr>
            <w:tcW w:w="567" w:type="dxa"/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營業損</w:t>
            </w:r>
            <w:r w:rsidRPr="00F825FF">
              <w:rPr>
                <w:rFonts w:hint="eastAsia"/>
                <w:spacing w:val="-20"/>
              </w:rPr>
              <w:t>益</w:t>
            </w:r>
          </w:p>
        </w:tc>
        <w:tc>
          <w:tcPr>
            <w:tcW w:w="817" w:type="dxa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11.48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13.36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8.58 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10.49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7.02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6.65 </w:t>
            </w:r>
          </w:p>
        </w:tc>
        <w:tc>
          <w:tcPr>
            <w:tcW w:w="818" w:type="dxa"/>
            <w:tcBorders>
              <w:lef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9.78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9.42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4.62 </w:t>
            </w:r>
          </w:p>
        </w:tc>
        <w:tc>
          <w:tcPr>
            <w:tcW w:w="818" w:type="dxa"/>
            <w:tcBorders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-17.66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</w:tcPr>
          <w:p w:rsidR="00134ED3" w:rsidRPr="008F1997" w:rsidRDefault="00134ED3" w:rsidP="00640605">
            <w:pPr>
              <w:pStyle w:val="142"/>
              <w:rPr>
                <w:spacing w:val="-40"/>
              </w:rPr>
            </w:pPr>
          </w:p>
        </w:tc>
        <w:tc>
          <w:tcPr>
            <w:tcW w:w="567" w:type="dxa"/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8F1997">
              <w:rPr>
                <w:rFonts w:hint="eastAsia"/>
                <w:spacing w:val="-40"/>
              </w:rPr>
              <w:t>營業外損益</w:t>
            </w:r>
          </w:p>
        </w:tc>
        <w:tc>
          <w:tcPr>
            <w:tcW w:w="817" w:type="dxa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-12.23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-11.51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-11.26 </w:t>
            </w:r>
          </w:p>
        </w:tc>
        <w:tc>
          <w:tcPr>
            <w:tcW w:w="818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-17.79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-11.30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-21.04 </w:t>
            </w:r>
          </w:p>
        </w:tc>
        <w:tc>
          <w:tcPr>
            <w:tcW w:w="818" w:type="dxa"/>
            <w:tcBorders>
              <w:lef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-11.40 </w:t>
            </w:r>
          </w:p>
        </w:tc>
        <w:tc>
          <w:tcPr>
            <w:tcW w:w="817" w:type="dxa"/>
            <w:tcBorders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-7.90 </w:t>
            </w:r>
          </w:p>
        </w:tc>
        <w:tc>
          <w:tcPr>
            <w:tcW w:w="817" w:type="dxa"/>
            <w:tcBorders>
              <w:lef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-11.87 </w:t>
            </w:r>
          </w:p>
        </w:tc>
        <w:tc>
          <w:tcPr>
            <w:tcW w:w="818" w:type="dxa"/>
            <w:tcBorders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-24.98 </w:t>
            </w:r>
          </w:p>
        </w:tc>
      </w:tr>
      <w:tr w:rsidR="00134ED3" w:rsidRPr="00DC16C1" w:rsidTr="007E4CE9">
        <w:trPr>
          <w:trHeight w:val="20"/>
        </w:trPr>
        <w:tc>
          <w:tcPr>
            <w:tcW w:w="492" w:type="dxa"/>
            <w:vMerge/>
            <w:tcBorders>
              <w:bottom w:val="single" w:sz="12" w:space="0" w:color="auto"/>
            </w:tcBorders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</w:tcPr>
          <w:p w:rsidR="00134ED3" w:rsidRPr="00F825FF" w:rsidRDefault="00134ED3" w:rsidP="00640605">
            <w:pPr>
              <w:pStyle w:val="142"/>
              <w:rPr>
                <w:spacing w:val="-20"/>
              </w:rPr>
            </w:pPr>
            <w:r w:rsidRPr="00F825FF">
              <w:rPr>
                <w:rFonts w:hint="eastAsia"/>
                <w:spacing w:val="-20"/>
              </w:rPr>
              <w:t>本期損益</w:t>
            </w:r>
          </w:p>
        </w:tc>
        <w:tc>
          <w:tcPr>
            <w:tcW w:w="817" w:type="dxa"/>
            <w:tcBorders>
              <w:bottom w:val="single" w:sz="12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-0.75 </w:t>
            </w:r>
          </w:p>
        </w:tc>
        <w:tc>
          <w:tcPr>
            <w:tcW w:w="81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1.91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-2.68 </w:t>
            </w:r>
          </w:p>
        </w:tc>
        <w:tc>
          <w:tcPr>
            <w:tcW w:w="81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-6.14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-4.28 </w:t>
            </w:r>
          </w:p>
        </w:tc>
        <w:tc>
          <w:tcPr>
            <w:tcW w:w="817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-12.39 </w:t>
            </w:r>
          </w:p>
        </w:tc>
        <w:tc>
          <w:tcPr>
            <w:tcW w:w="818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-1.63 </w:t>
            </w:r>
          </w:p>
        </w:tc>
        <w:tc>
          <w:tcPr>
            <w:tcW w:w="817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spacing w:val="-10"/>
              </w:rPr>
            </w:pPr>
            <w:r w:rsidRPr="00F71B29">
              <w:rPr>
                <w:spacing w:val="-10"/>
              </w:rPr>
              <w:t xml:space="preserve">0.71 </w:t>
            </w:r>
          </w:p>
        </w:tc>
        <w:tc>
          <w:tcPr>
            <w:tcW w:w="817" w:type="dxa"/>
            <w:tcBorders>
              <w:left w:val="double" w:sz="4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-7.25 </w:t>
            </w:r>
          </w:p>
        </w:tc>
        <w:tc>
          <w:tcPr>
            <w:tcW w:w="81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134ED3" w:rsidRPr="00F71B29" w:rsidRDefault="00134ED3" w:rsidP="00640605">
            <w:pPr>
              <w:pStyle w:val="142"/>
              <w:jc w:val="right"/>
              <w:rPr>
                <w:color w:val="FF0000"/>
                <w:spacing w:val="-10"/>
              </w:rPr>
            </w:pPr>
            <w:r w:rsidRPr="00F71B29">
              <w:rPr>
                <w:color w:val="FF0000"/>
                <w:spacing w:val="-10"/>
              </w:rPr>
              <w:t xml:space="preserve">-42.88 </w:t>
            </w:r>
          </w:p>
        </w:tc>
      </w:tr>
    </w:tbl>
    <w:p w:rsidR="00134ED3" w:rsidRDefault="00134ED3" w:rsidP="00640605">
      <w:pPr>
        <w:pStyle w:val="142"/>
        <w:ind w:leftChars="-129" w:left="851" w:rightChars="-150" w:right="-425" w:hangingChars="500" w:hanging="1216"/>
        <w:rPr>
          <w:color w:val="000000"/>
          <w:szCs w:val="24"/>
        </w:rPr>
      </w:pPr>
      <w:r>
        <w:rPr>
          <w:rFonts w:hint="eastAsia"/>
          <w:color w:val="000000"/>
          <w:szCs w:val="24"/>
        </w:rPr>
        <w:t xml:space="preserve">說    </w:t>
      </w:r>
      <w:r w:rsidR="002D3C26">
        <w:rPr>
          <w:rFonts w:hint="eastAsia"/>
          <w:color w:val="000000"/>
          <w:szCs w:val="24"/>
        </w:rPr>
        <w:t>明：藍</w:t>
      </w:r>
      <w:r>
        <w:rPr>
          <w:rFonts w:hint="eastAsia"/>
          <w:color w:val="000000"/>
          <w:szCs w:val="24"/>
        </w:rPr>
        <w:t>底表示該年度本期損益未達成預算目標，包含決算盈餘未如預期、較預算數轉盈為虧及虧損較預算數擴增之3類。</w:t>
      </w:r>
    </w:p>
    <w:p w:rsidR="00134ED3" w:rsidRDefault="00134ED3" w:rsidP="00640605">
      <w:pPr>
        <w:pStyle w:val="142"/>
        <w:ind w:leftChars="-124" w:left="-1" w:hangingChars="144" w:hanging="350"/>
        <w:rPr>
          <w:rFonts w:hAnsi="標楷體"/>
          <w:color w:val="000000"/>
          <w:szCs w:val="24"/>
        </w:rPr>
      </w:pPr>
      <w:r w:rsidRPr="008A1368">
        <w:rPr>
          <w:rFonts w:hint="eastAsia"/>
          <w:color w:val="000000"/>
          <w:szCs w:val="24"/>
        </w:rPr>
        <w:t>資料來源：</w:t>
      </w:r>
      <w:r>
        <w:rPr>
          <w:rFonts w:hint="eastAsia"/>
          <w:color w:val="000000"/>
          <w:szCs w:val="24"/>
        </w:rPr>
        <w:t>表列國營事業各年度預決算書</w:t>
      </w:r>
      <w:r w:rsidRPr="008A1368">
        <w:rPr>
          <w:rFonts w:hAnsi="標楷體" w:hint="eastAsia"/>
          <w:color w:val="000000"/>
          <w:szCs w:val="24"/>
        </w:rPr>
        <w:t>。</w:t>
      </w:r>
    </w:p>
    <w:p w:rsidR="00134ED3" w:rsidRPr="0000209F" w:rsidRDefault="00134ED3" w:rsidP="00640605">
      <w:pPr>
        <w:pStyle w:val="a5"/>
        <w:ind w:left="849" w:hanging="283"/>
        <w:rPr>
          <w:b/>
          <w:bCs/>
        </w:rPr>
      </w:pPr>
      <w:r w:rsidRPr="0000209F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00209F">
        <w:rPr>
          <w:rFonts w:hint="eastAsia"/>
          <w:b/>
          <w:bCs/>
        </w:rPr>
        <w:t>)</w:t>
      </w:r>
      <w:r w:rsidRPr="00553B01">
        <w:rPr>
          <w:rFonts w:hint="eastAsia"/>
          <w:b/>
          <w:bCs/>
        </w:rPr>
        <w:t>中油、台電、台水等3家事業112</w:t>
      </w:r>
      <w:r>
        <w:rPr>
          <w:rFonts w:hint="eastAsia"/>
          <w:b/>
          <w:bCs/>
        </w:rPr>
        <w:t>年度因虧損致淨利率</w:t>
      </w:r>
      <w:r w:rsidRPr="00553B01">
        <w:rPr>
          <w:rFonts w:hint="eastAsia"/>
          <w:b/>
          <w:bCs/>
        </w:rPr>
        <w:t>均呈負值</w:t>
      </w:r>
      <w:r>
        <w:rPr>
          <w:rFonts w:hint="eastAsia"/>
          <w:b/>
          <w:bCs/>
        </w:rPr>
        <w:t>，允宜審慎評估</w:t>
      </w:r>
      <w:r w:rsidRPr="0000209F">
        <w:rPr>
          <w:rFonts w:hint="eastAsia"/>
          <w:b/>
          <w:bCs/>
        </w:rPr>
        <w:t>經濟部所屬國營事業</w:t>
      </w:r>
      <w:r>
        <w:rPr>
          <w:rFonts w:hint="eastAsia"/>
          <w:b/>
          <w:bCs/>
        </w:rPr>
        <w:t>經營比率變化趨勢</w:t>
      </w:r>
      <w:r>
        <w:rPr>
          <w:rFonts w:hAnsi="標楷體" w:hint="eastAsia"/>
          <w:b/>
          <w:bCs/>
        </w:rPr>
        <w:t>，盤整檢討各事業所面對之經營挑戰</w:t>
      </w:r>
    </w:p>
    <w:p w:rsidR="00134ED3" w:rsidRDefault="00134ED3" w:rsidP="00640605">
      <w:pPr>
        <w:pStyle w:val="21"/>
        <w:ind w:left="850" w:firstLine="566"/>
      </w:pPr>
      <w:r>
        <w:rPr>
          <w:rFonts w:hint="eastAsia"/>
        </w:rPr>
        <w:t>彙整</w:t>
      </w:r>
      <w:r w:rsidRPr="00F31FE4">
        <w:rPr>
          <w:rFonts w:hint="eastAsia"/>
        </w:rPr>
        <w:t>經濟部所屬</w:t>
      </w:r>
      <w:r>
        <w:rPr>
          <w:rFonts w:hint="eastAsia"/>
        </w:rPr>
        <w:t>各事業近5</w:t>
      </w:r>
      <w:r w:rsidRPr="00F479A4">
        <w:rPr>
          <w:rFonts w:hint="eastAsia"/>
        </w:rPr>
        <w:t>年度</w:t>
      </w:r>
      <w:r>
        <w:rPr>
          <w:rFonts w:hint="eastAsia"/>
        </w:rPr>
        <w:t>經營績效指標觀之</w:t>
      </w:r>
      <w:r w:rsidRPr="00C017F4">
        <w:rPr>
          <w:rFonts w:hint="eastAsia"/>
        </w:rPr>
        <w:t>(詳表</w:t>
      </w:r>
      <w:r>
        <w:t>2</w:t>
      </w:r>
      <w:r w:rsidRPr="00C017F4">
        <w:rPr>
          <w:rFonts w:hint="eastAsia"/>
        </w:rPr>
        <w:t>）</w:t>
      </w:r>
      <w:r>
        <w:rPr>
          <w:rFonts w:hint="eastAsia"/>
        </w:rPr>
        <w:t>，各事業所遇經營問題分述如下</w:t>
      </w:r>
      <w:r>
        <w:rPr>
          <w:rFonts w:ascii="新細明體" w:eastAsia="新細明體" w:hAnsi="新細明體" w:hint="eastAsia"/>
        </w:rPr>
        <w:t>：</w:t>
      </w:r>
    </w:p>
    <w:p w:rsidR="00134ED3" w:rsidRDefault="00134ED3" w:rsidP="00640605">
      <w:pPr>
        <w:pStyle w:val="123"/>
        <w:ind w:left="1133" w:hanging="283"/>
      </w:pPr>
      <w:r>
        <w:rPr>
          <w:rFonts w:hint="eastAsia"/>
        </w:rPr>
        <w:t>1.中油</w:t>
      </w:r>
      <w:r>
        <w:t>109</w:t>
      </w:r>
      <w:r w:rsidRPr="00F479A4">
        <w:rPr>
          <w:rFonts w:hint="eastAsia"/>
        </w:rPr>
        <w:t>至11</w:t>
      </w:r>
      <w:r>
        <w:t>2</w:t>
      </w:r>
      <w:r w:rsidRPr="00F479A4">
        <w:rPr>
          <w:rFonts w:hint="eastAsia"/>
        </w:rPr>
        <w:t>年度</w:t>
      </w:r>
      <w:r w:rsidRPr="00287AA7">
        <w:rPr>
          <w:rFonts w:hint="eastAsia"/>
        </w:rPr>
        <w:t>營業收入不敷支應所需營業成本與費</w:t>
      </w:r>
      <w:r w:rsidRPr="00287AA7">
        <w:rPr>
          <w:rFonts w:hint="eastAsia"/>
        </w:rPr>
        <w:lastRenderedPageBreak/>
        <w:t>用</w:t>
      </w:r>
      <w:r>
        <w:rPr>
          <w:rFonts w:hint="eastAsia"/>
        </w:rPr>
        <w:t>，營業損失率由109年度決算之1.49%增加至111年度決算</w:t>
      </w:r>
      <w:r>
        <w:rPr>
          <w:rFonts w:hint="eastAsia"/>
        </w:rPr>
        <w:lastRenderedPageBreak/>
        <w:t>之16.69</w:t>
      </w:r>
      <w:r>
        <w:t>%</w:t>
      </w:r>
      <w:r>
        <w:rPr>
          <w:rFonts w:hint="eastAsia"/>
        </w:rPr>
        <w:t>，迄112年度決算則已降至1.</w:t>
      </w:r>
      <w:r>
        <w:t>25</w:t>
      </w:r>
      <w:r>
        <w:rPr>
          <w:rFonts w:hint="eastAsia"/>
        </w:rPr>
        <w:t>%</w:t>
      </w:r>
      <w:r>
        <w:rPr>
          <w:rFonts w:hAnsi="標楷體" w:hint="eastAsia"/>
        </w:rPr>
        <w:t>；惟以中油已連續4年度呈營業損失，妥善成本之控管及國際燃料採購價格合約之規劃等，以降低營業成本費用率，仍待強化。</w:t>
      </w:r>
    </w:p>
    <w:p w:rsidR="00134ED3" w:rsidRDefault="00134ED3" w:rsidP="00640605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2.台糖</w:t>
      </w:r>
      <w:r w:rsidRPr="00CA4351">
        <w:rPr>
          <w:rFonts w:hint="eastAsia"/>
        </w:rPr>
        <w:t>近</w:t>
      </w:r>
      <w:r>
        <w:rPr>
          <w:rFonts w:hint="eastAsia"/>
        </w:rPr>
        <w:t>5</w:t>
      </w:r>
      <w:r w:rsidRPr="00CA4351">
        <w:rPr>
          <w:rFonts w:hint="eastAsia"/>
        </w:rPr>
        <w:t>年</w:t>
      </w:r>
      <w:r>
        <w:rPr>
          <w:rFonts w:hint="eastAsia"/>
        </w:rPr>
        <w:t>營業利益率約4.71%至7.39%之間，尚無重大變化</w:t>
      </w:r>
      <w:r>
        <w:rPr>
          <w:rFonts w:hAnsi="標楷體" w:hint="eastAsia"/>
        </w:rPr>
        <w:t>，採多元化經營以提升收入來源，仍係未來營運精進方向。</w:t>
      </w:r>
    </w:p>
    <w:p w:rsidR="00134ED3" w:rsidRDefault="00134ED3" w:rsidP="00640605">
      <w:pPr>
        <w:pStyle w:val="123"/>
        <w:ind w:left="1133" w:hanging="283"/>
      </w:pPr>
      <w:r>
        <w:rPr>
          <w:rFonts w:hAnsi="標楷體" w:hint="eastAsia"/>
        </w:rPr>
        <w:t>3.</w:t>
      </w:r>
      <w:r>
        <w:rPr>
          <w:rFonts w:hint="eastAsia"/>
        </w:rPr>
        <w:t>台電111至11</w:t>
      </w:r>
      <w:r>
        <w:t>2</w:t>
      </w:r>
      <w:r>
        <w:rPr>
          <w:rFonts w:hint="eastAsia"/>
        </w:rPr>
        <w:t>年度呈營業損失，營業損失率分別為39.05%及2</w:t>
      </w:r>
      <w:r>
        <w:t>2.48</w:t>
      </w:r>
      <w:r>
        <w:rPr>
          <w:rFonts w:hint="eastAsia"/>
        </w:rPr>
        <w:t>%，係四大事業最高者</w:t>
      </w:r>
      <w:r>
        <w:rPr>
          <w:rFonts w:hAnsi="標楷體" w:hint="eastAsia"/>
        </w:rPr>
        <w:t>，</w:t>
      </w:r>
      <w:r>
        <w:rPr>
          <w:rFonts w:hint="eastAsia"/>
        </w:rPr>
        <w:t>惟以該事業營業收入呈逐年上升趨勢</w:t>
      </w:r>
      <w:r>
        <w:rPr>
          <w:rFonts w:hAnsi="標楷體" w:hint="eastAsia"/>
        </w:rPr>
        <w:t>，</w:t>
      </w:r>
      <w:r>
        <w:rPr>
          <w:rFonts w:hint="eastAsia"/>
        </w:rPr>
        <w:t>發電成本之控管顯為該事業未來營運最大挑戰</w:t>
      </w:r>
      <w:r>
        <w:rPr>
          <w:rFonts w:hAnsi="標楷體" w:hint="eastAsia"/>
        </w:rPr>
        <w:t>。</w:t>
      </w:r>
    </w:p>
    <w:p w:rsidR="00134ED3" w:rsidRDefault="00134ED3" w:rsidP="00640605">
      <w:pPr>
        <w:pStyle w:val="123"/>
        <w:ind w:left="1133" w:hanging="283"/>
      </w:pPr>
      <w:r>
        <w:rPr>
          <w:rFonts w:hint="eastAsia"/>
        </w:rPr>
        <w:t>4.台水10</w:t>
      </w:r>
      <w:r>
        <w:t>8</w:t>
      </w:r>
      <w:r>
        <w:rPr>
          <w:rFonts w:hint="eastAsia"/>
        </w:rPr>
        <w:t>至111年度營業利益率</w:t>
      </w:r>
      <w:r w:rsidRPr="00553B01">
        <w:rPr>
          <w:rFonts w:hint="eastAsia"/>
        </w:rPr>
        <w:t>約</w:t>
      </w:r>
      <w:r>
        <w:t>2.14</w:t>
      </w:r>
      <w:r w:rsidRPr="00553B01">
        <w:rPr>
          <w:rFonts w:hint="eastAsia"/>
        </w:rPr>
        <w:t>%至</w:t>
      </w:r>
      <w:r>
        <w:t>4.37</w:t>
      </w:r>
      <w:r w:rsidRPr="00553B01">
        <w:rPr>
          <w:rFonts w:hint="eastAsia"/>
        </w:rPr>
        <w:t>%間</w:t>
      </w:r>
      <w:r>
        <w:rPr>
          <w:rFonts w:hint="eastAsia"/>
        </w:rPr>
        <w:t>，</w:t>
      </w:r>
      <w:r w:rsidRPr="00753496">
        <w:rPr>
          <w:rFonts w:hint="eastAsia"/>
        </w:rPr>
        <w:t>營業收入</w:t>
      </w:r>
      <w:r>
        <w:rPr>
          <w:rFonts w:hint="eastAsia"/>
        </w:rPr>
        <w:t>尚可</w:t>
      </w:r>
      <w:r w:rsidRPr="00753496">
        <w:rPr>
          <w:rFonts w:hint="eastAsia"/>
        </w:rPr>
        <w:t>支應所需營業成本與費用</w:t>
      </w:r>
      <w:r>
        <w:rPr>
          <w:rFonts w:hint="eastAsia"/>
        </w:rPr>
        <w:t>，迄112年度則轉為營業損失率5.54%，與111年度差距8.48個百分點，又近</w:t>
      </w:r>
      <w:r>
        <w:t>5</w:t>
      </w:r>
      <w:r>
        <w:rPr>
          <w:rFonts w:hint="eastAsia"/>
        </w:rPr>
        <w:t>年度(</w:t>
      </w:r>
      <w:r>
        <w:t>108</w:t>
      </w:r>
      <w:r>
        <w:rPr>
          <w:rFonts w:hint="eastAsia"/>
        </w:rPr>
        <w:t>至112年度)因抗旱分攤</w:t>
      </w:r>
      <w:r w:rsidRPr="00FB322D">
        <w:rPr>
          <w:rFonts w:hint="eastAsia"/>
        </w:rPr>
        <w:t>稻作停灌補償</w:t>
      </w:r>
      <w:r>
        <w:rPr>
          <w:rFonts w:hint="eastAsia"/>
        </w:rPr>
        <w:t>費等，營業外均為淨損失，致1</w:t>
      </w:r>
      <w:r>
        <w:t>09</w:t>
      </w:r>
      <w:r>
        <w:rPr>
          <w:rFonts w:hint="eastAsia"/>
        </w:rPr>
        <w:t>、110及112年</w:t>
      </w:r>
      <w:r w:rsidRPr="00C922BD">
        <w:rPr>
          <w:rFonts w:hint="eastAsia"/>
        </w:rPr>
        <w:t>淨利(損)率</w:t>
      </w:r>
      <w:r>
        <w:rPr>
          <w:rFonts w:hint="eastAsia"/>
        </w:rPr>
        <w:t>均呈負值，112年度</w:t>
      </w:r>
      <w:r w:rsidRPr="00C922BD">
        <w:rPr>
          <w:rFonts w:hint="eastAsia"/>
        </w:rPr>
        <w:t>淨利(損)率</w:t>
      </w:r>
      <w:r>
        <w:rPr>
          <w:rFonts w:hint="eastAsia"/>
        </w:rPr>
        <w:t>-13.45%係近5年最低者，面對氣候變遷</w:t>
      </w:r>
      <w:r w:rsidRPr="00345427">
        <w:rPr>
          <w:rFonts w:hint="eastAsia"/>
        </w:rPr>
        <w:t>，水資源之開發調度</w:t>
      </w:r>
      <w:r>
        <w:rPr>
          <w:rFonts w:hint="eastAsia"/>
        </w:rPr>
        <w:t>仍待策進強化。</w:t>
      </w:r>
    </w:p>
    <w:p w:rsidR="00134ED3" w:rsidRPr="004112FE" w:rsidRDefault="00134ED3" w:rsidP="00640605">
      <w:pPr>
        <w:ind w:leftChars="0" w:left="0" w:rightChars="-155" w:right="-439" w:firstLineChars="0" w:firstLine="0"/>
        <w:rPr>
          <w:rFonts w:hAnsi="標楷體"/>
          <w:color w:val="000000"/>
          <w:spacing w:val="-4"/>
          <w:sz w:val="24"/>
          <w:szCs w:val="24"/>
        </w:rPr>
      </w:pPr>
      <w:r w:rsidRPr="004112FE">
        <w:rPr>
          <w:rFonts w:hAnsi="標楷體" w:hint="eastAsia"/>
          <w:b/>
          <w:color w:val="000000"/>
          <w:spacing w:val="-4"/>
        </w:rPr>
        <w:t>表</w:t>
      </w:r>
      <w:r w:rsidRPr="004112FE">
        <w:rPr>
          <w:rFonts w:hAnsi="標楷體"/>
          <w:b/>
          <w:color w:val="000000"/>
          <w:spacing w:val="-4"/>
        </w:rPr>
        <w:t>2</w:t>
      </w:r>
      <w:r w:rsidRPr="004112FE">
        <w:rPr>
          <w:rFonts w:hAnsi="標楷體" w:hint="eastAsia"/>
          <w:b/>
          <w:color w:val="000000"/>
          <w:spacing w:val="-4"/>
        </w:rPr>
        <w:t xml:space="preserve">  1</w:t>
      </w:r>
      <w:r w:rsidRPr="004112FE">
        <w:rPr>
          <w:rFonts w:hAnsi="標楷體"/>
          <w:b/>
          <w:color w:val="000000"/>
          <w:spacing w:val="-4"/>
        </w:rPr>
        <w:t>08</w:t>
      </w:r>
      <w:r w:rsidRPr="004112FE">
        <w:rPr>
          <w:rFonts w:hAnsi="標楷體" w:hint="eastAsia"/>
          <w:b/>
          <w:color w:val="000000"/>
          <w:spacing w:val="-4"/>
        </w:rPr>
        <w:t>至11</w:t>
      </w:r>
      <w:r w:rsidRPr="004112FE">
        <w:rPr>
          <w:rFonts w:hAnsi="標楷體"/>
          <w:b/>
          <w:color w:val="000000"/>
          <w:spacing w:val="-4"/>
        </w:rPr>
        <w:t>2</w:t>
      </w:r>
      <w:r w:rsidRPr="004112FE">
        <w:rPr>
          <w:rFonts w:hAnsi="標楷體" w:hint="eastAsia"/>
          <w:b/>
          <w:color w:val="000000"/>
          <w:spacing w:val="-4"/>
        </w:rPr>
        <w:t xml:space="preserve">年度經濟部所屬四大國營事業經營比率比較表 </w:t>
      </w:r>
      <w:r w:rsidRPr="004112FE">
        <w:rPr>
          <w:rFonts w:hAnsi="標楷體" w:hint="eastAsia"/>
          <w:color w:val="000000"/>
          <w:spacing w:val="-4"/>
          <w:sz w:val="24"/>
          <w:szCs w:val="24"/>
        </w:rPr>
        <w:t>單位：%</w:t>
      </w:r>
    </w:p>
    <w:tbl>
      <w:tblPr>
        <w:tblW w:w="846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1"/>
        <w:gridCol w:w="2084"/>
        <w:gridCol w:w="1147"/>
        <w:gridCol w:w="1149"/>
        <w:gridCol w:w="1149"/>
        <w:gridCol w:w="1149"/>
        <w:gridCol w:w="1149"/>
      </w:tblGrid>
      <w:tr w:rsidR="00134ED3" w:rsidRPr="00FF35A6" w:rsidTr="00640605">
        <w:trPr>
          <w:trHeight w:val="283"/>
          <w:tblHeader/>
        </w:trPr>
        <w:tc>
          <w:tcPr>
            <w:tcW w:w="2725" w:type="dxa"/>
            <w:gridSpan w:val="2"/>
            <w:shd w:val="clear" w:color="auto" w:fill="auto"/>
            <w:vAlign w:val="center"/>
          </w:tcPr>
          <w:p w:rsidR="00134ED3" w:rsidRPr="00177116" w:rsidRDefault="00134ED3" w:rsidP="00640605">
            <w:pPr>
              <w:pStyle w:val="142"/>
              <w:spacing w:line="270" w:lineRule="exact"/>
            </w:pPr>
            <w:r w:rsidRPr="00177116">
              <w:rPr>
                <w:rFonts w:hint="eastAsia"/>
              </w:rPr>
              <w:t>公司名稱及項目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108</w:t>
            </w:r>
            <w:r>
              <w:rPr>
                <w:rFonts w:hint="eastAsia"/>
              </w:rPr>
              <w:t>年度</w:t>
            </w:r>
          </w:p>
          <w:p w:rsidR="00134ED3" w:rsidRPr="00177116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決算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109</w:t>
            </w:r>
            <w:r>
              <w:rPr>
                <w:rFonts w:hint="eastAsia"/>
              </w:rPr>
              <w:t>年度</w:t>
            </w:r>
          </w:p>
          <w:p w:rsidR="00134ED3" w:rsidRPr="00177116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決算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110</w:t>
            </w:r>
            <w:r>
              <w:rPr>
                <w:rFonts w:hint="eastAsia"/>
              </w:rPr>
              <w:t>年度</w:t>
            </w:r>
          </w:p>
          <w:p w:rsidR="00134ED3" w:rsidRPr="00177116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決算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111</w:t>
            </w:r>
            <w:r>
              <w:rPr>
                <w:rFonts w:hint="eastAsia"/>
              </w:rPr>
              <w:t>年度</w:t>
            </w:r>
          </w:p>
          <w:p w:rsidR="00134ED3" w:rsidRPr="00177116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決算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177116" w:rsidRDefault="00134ED3" w:rsidP="00640605">
            <w:pPr>
              <w:pStyle w:val="142"/>
              <w:spacing w:line="270" w:lineRule="exact"/>
              <w:jc w:val="center"/>
            </w:pPr>
            <w:r w:rsidRPr="00177116">
              <w:rPr>
                <w:rFonts w:hint="eastAsia"/>
              </w:rPr>
              <w:t>112</w:t>
            </w:r>
            <w:r>
              <w:rPr>
                <w:rFonts w:hint="eastAsia"/>
              </w:rPr>
              <w:t>年度</w:t>
            </w:r>
          </w:p>
          <w:p w:rsidR="00134ED3" w:rsidRPr="00177116" w:rsidRDefault="00134ED3" w:rsidP="00640605">
            <w:pPr>
              <w:pStyle w:val="142"/>
              <w:spacing w:line="270" w:lineRule="exact"/>
              <w:jc w:val="center"/>
              <w:rPr>
                <w:spacing w:val="-10"/>
              </w:rPr>
            </w:pPr>
            <w:r w:rsidRPr="00177116">
              <w:rPr>
                <w:rFonts w:hint="eastAsia"/>
                <w:spacing w:val="-10"/>
              </w:rPr>
              <w:t>決算</w:t>
            </w:r>
          </w:p>
        </w:tc>
      </w:tr>
      <w:tr w:rsidR="00134ED3" w:rsidRPr="002563B2" w:rsidTr="00640605">
        <w:trPr>
          <w:trHeight w:val="283"/>
        </w:trPr>
        <w:tc>
          <w:tcPr>
            <w:tcW w:w="641" w:type="dxa"/>
            <w:vMerge w:val="restart"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</w:rPr>
              <w:t>中油</w:t>
            </w:r>
          </w:p>
        </w:tc>
        <w:tc>
          <w:tcPr>
            <w:tcW w:w="2084" w:type="dxa"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2563B2">
              <w:rPr>
                <w:rFonts w:hint="eastAsia"/>
              </w:rPr>
              <w:t>營業成本及費用占營業收入比率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96.43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101.49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103.25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116.69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101.</w:t>
            </w:r>
            <w:r>
              <w:t>25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9222FE">
              <w:rPr>
                <w:rFonts w:hint="eastAsia"/>
                <w:spacing w:val="-20"/>
              </w:rPr>
              <w:t>營業利益(損失)率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3.57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-1.49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-3.25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-16.69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-1.</w:t>
            </w:r>
            <w:r>
              <w:rPr>
                <w:color w:val="FF0000"/>
              </w:rPr>
              <w:t>25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  <w:spacing w:val="-20"/>
              </w:rPr>
              <w:t>淨利</w:t>
            </w:r>
            <w:r w:rsidRPr="009222FE">
              <w:rPr>
                <w:rFonts w:hint="eastAsia"/>
                <w:spacing w:val="-20"/>
              </w:rPr>
              <w:t>(損)</w:t>
            </w:r>
            <w:r w:rsidRPr="00FF35A6">
              <w:rPr>
                <w:rFonts w:hint="eastAsia"/>
                <w:spacing w:val="-20"/>
              </w:rPr>
              <w:t>率</w:t>
            </w:r>
          </w:p>
        </w:tc>
        <w:tc>
          <w:tcPr>
            <w:tcW w:w="11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3.20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-1.02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-4.35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-15.24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-1.</w:t>
            </w:r>
            <w:r>
              <w:rPr>
                <w:color w:val="FF0000"/>
              </w:rPr>
              <w:t>94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</w:rPr>
              <w:t>台糖</w:t>
            </w:r>
          </w:p>
        </w:tc>
        <w:tc>
          <w:tcPr>
            <w:tcW w:w="208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2563B2">
              <w:rPr>
                <w:rFonts w:hint="eastAsia"/>
              </w:rPr>
              <w:t>營業成本及費用占營業收入比率</w:t>
            </w:r>
          </w:p>
        </w:tc>
        <w:tc>
          <w:tcPr>
            <w:tcW w:w="114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95.29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94.63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95.01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93.94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92.61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9222FE">
              <w:rPr>
                <w:rFonts w:hint="eastAsia"/>
                <w:spacing w:val="-20"/>
              </w:rPr>
              <w:t>營業利益(損失)率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4.71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5.37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4.99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6.06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7.39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  <w:spacing w:val="-20"/>
              </w:rPr>
              <w:t>淨利</w:t>
            </w:r>
            <w:r w:rsidRPr="009222FE">
              <w:rPr>
                <w:rFonts w:hint="eastAsia"/>
                <w:spacing w:val="-20"/>
              </w:rPr>
              <w:t>(損)</w:t>
            </w:r>
            <w:r w:rsidRPr="00FF35A6">
              <w:rPr>
                <w:rFonts w:hint="eastAsia"/>
                <w:spacing w:val="-20"/>
              </w:rPr>
              <w:t>率</w:t>
            </w:r>
          </w:p>
        </w:tc>
        <w:tc>
          <w:tcPr>
            <w:tcW w:w="114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10.38</w:t>
            </w:r>
          </w:p>
        </w:tc>
        <w:tc>
          <w:tcPr>
            <w:tcW w:w="114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17.92</w:t>
            </w:r>
          </w:p>
        </w:tc>
        <w:tc>
          <w:tcPr>
            <w:tcW w:w="114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14.39</w:t>
            </w:r>
          </w:p>
        </w:tc>
        <w:tc>
          <w:tcPr>
            <w:tcW w:w="114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8.41</w:t>
            </w:r>
          </w:p>
        </w:tc>
        <w:tc>
          <w:tcPr>
            <w:tcW w:w="114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14.</w:t>
            </w:r>
            <w:r>
              <w:t>56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</w:rPr>
              <w:t>台電</w:t>
            </w:r>
          </w:p>
        </w:tc>
        <w:tc>
          <w:tcPr>
            <w:tcW w:w="208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2563B2">
              <w:rPr>
                <w:rFonts w:hint="eastAsia"/>
              </w:rPr>
              <w:t>營業成本及費用占營業收入比率</w:t>
            </w:r>
          </w:p>
        </w:tc>
        <w:tc>
          <w:tcPr>
            <w:tcW w:w="114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99.98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91.76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92.21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139.05</w:t>
            </w:r>
          </w:p>
        </w:tc>
        <w:tc>
          <w:tcPr>
            <w:tcW w:w="1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122.</w:t>
            </w:r>
            <w:r>
              <w:t>48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9222FE">
              <w:rPr>
                <w:rFonts w:hint="eastAsia"/>
                <w:spacing w:val="-20"/>
              </w:rPr>
              <w:t>營業利益(損失)率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0.</w:t>
            </w:r>
            <w:r w:rsidRPr="008F1997">
              <w:t>0</w:t>
            </w:r>
            <w:r w:rsidRPr="008F1997">
              <w:rPr>
                <w:rFonts w:hint="eastAsia"/>
              </w:rPr>
              <w:t>2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8.24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7.79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-39.05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-22.</w:t>
            </w:r>
            <w:r>
              <w:rPr>
                <w:color w:val="FF0000"/>
              </w:rPr>
              <w:t>48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  <w:spacing w:val="-20"/>
              </w:rPr>
              <w:t>淨利</w:t>
            </w:r>
            <w:r w:rsidRPr="009222FE">
              <w:rPr>
                <w:rFonts w:hint="eastAsia"/>
                <w:spacing w:val="-20"/>
              </w:rPr>
              <w:t>(損)</w:t>
            </w:r>
            <w:r w:rsidRPr="00FF35A6">
              <w:rPr>
                <w:rFonts w:hint="eastAsia"/>
                <w:spacing w:val="-20"/>
              </w:rPr>
              <w:t>率</w:t>
            </w:r>
          </w:p>
        </w:tc>
        <w:tc>
          <w:tcPr>
            <w:tcW w:w="114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2.71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3.99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3.62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-34.22</w:t>
            </w:r>
          </w:p>
        </w:tc>
        <w:tc>
          <w:tcPr>
            <w:tcW w:w="1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-25.</w:t>
            </w:r>
            <w:r>
              <w:rPr>
                <w:color w:val="FF0000"/>
              </w:rPr>
              <w:t>49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</w:rPr>
              <w:t>台水</w:t>
            </w:r>
          </w:p>
        </w:tc>
        <w:tc>
          <w:tcPr>
            <w:tcW w:w="208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2563B2">
              <w:rPr>
                <w:rFonts w:hint="eastAsia"/>
              </w:rPr>
              <w:t>營業成本及費用占營業收入比率</w:t>
            </w:r>
          </w:p>
        </w:tc>
        <w:tc>
          <w:tcPr>
            <w:tcW w:w="114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95.63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96.67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97.86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97.06</w:t>
            </w:r>
          </w:p>
        </w:tc>
        <w:tc>
          <w:tcPr>
            <w:tcW w:w="114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105.5</w:t>
            </w:r>
            <w:r>
              <w:t>4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9222FE">
              <w:rPr>
                <w:rFonts w:hint="eastAsia"/>
                <w:spacing w:val="-20"/>
              </w:rPr>
              <w:t>營業利益(損失)率</w:t>
            </w:r>
          </w:p>
        </w:tc>
        <w:tc>
          <w:tcPr>
            <w:tcW w:w="11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4.37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3.33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2.14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2.94</w:t>
            </w:r>
          </w:p>
        </w:tc>
        <w:tc>
          <w:tcPr>
            <w:tcW w:w="11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-5.5</w:t>
            </w:r>
            <w:r>
              <w:rPr>
                <w:color w:val="FF0000"/>
              </w:rPr>
              <w:t>4</w:t>
            </w:r>
          </w:p>
        </w:tc>
      </w:tr>
      <w:tr w:rsidR="00134ED3" w:rsidRPr="00FF35A6" w:rsidTr="00640605">
        <w:trPr>
          <w:trHeight w:val="283"/>
        </w:trPr>
        <w:tc>
          <w:tcPr>
            <w:tcW w:w="641" w:type="dxa"/>
            <w:vMerge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</w:p>
        </w:tc>
        <w:tc>
          <w:tcPr>
            <w:tcW w:w="2084" w:type="dxa"/>
            <w:shd w:val="clear" w:color="auto" w:fill="auto"/>
            <w:vAlign w:val="center"/>
          </w:tcPr>
          <w:p w:rsidR="00134ED3" w:rsidRPr="00FF35A6" w:rsidRDefault="00134ED3" w:rsidP="00640605">
            <w:pPr>
              <w:pStyle w:val="142"/>
              <w:spacing w:line="270" w:lineRule="exact"/>
            </w:pPr>
            <w:r w:rsidRPr="00FF35A6">
              <w:rPr>
                <w:rFonts w:hint="eastAsia"/>
                <w:spacing w:val="-20"/>
              </w:rPr>
              <w:t>淨利</w:t>
            </w:r>
            <w:r w:rsidRPr="009222FE">
              <w:rPr>
                <w:rFonts w:hint="eastAsia"/>
                <w:spacing w:val="-20"/>
              </w:rPr>
              <w:t>(損)</w:t>
            </w:r>
            <w:r w:rsidRPr="00FF35A6">
              <w:rPr>
                <w:rFonts w:hint="eastAsia"/>
                <w:spacing w:val="-20"/>
              </w:rPr>
              <w:t>率</w:t>
            </w:r>
          </w:p>
        </w:tc>
        <w:tc>
          <w:tcPr>
            <w:tcW w:w="1147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0.63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-1.95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-3.99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</w:pPr>
            <w:r w:rsidRPr="008F1997">
              <w:rPr>
                <w:rFonts w:hint="eastAsia"/>
              </w:rPr>
              <w:t>0.22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134ED3" w:rsidRPr="008F1997" w:rsidRDefault="00134ED3" w:rsidP="00640605">
            <w:pPr>
              <w:pStyle w:val="142"/>
              <w:spacing w:line="270" w:lineRule="exact"/>
              <w:jc w:val="right"/>
              <w:rPr>
                <w:color w:val="FF0000"/>
              </w:rPr>
            </w:pPr>
            <w:r w:rsidRPr="008F1997">
              <w:rPr>
                <w:rFonts w:hint="eastAsia"/>
                <w:color w:val="FF0000"/>
              </w:rPr>
              <w:t>-13.4</w:t>
            </w:r>
            <w:r>
              <w:rPr>
                <w:color w:val="FF0000"/>
              </w:rPr>
              <w:t>5</w:t>
            </w:r>
          </w:p>
        </w:tc>
      </w:tr>
    </w:tbl>
    <w:p w:rsidR="00134ED3" w:rsidRDefault="00134ED3" w:rsidP="00640605">
      <w:pPr>
        <w:pStyle w:val="142"/>
        <w:ind w:leftChars="-13" w:left="1417" w:hangingChars="598" w:hanging="1454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lastRenderedPageBreak/>
        <w:t>說    明：</w:t>
      </w:r>
      <w:r>
        <w:rPr>
          <w:rFonts w:hAnsi="標楷體" w:hint="eastAsia"/>
          <w:color w:val="000000"/>
        </w:rPr>
        <w:t>1.</w:t>
      </w:r>
      <w:r w:rsidRPr="002B1F66">
        <w:rPr>
          <w:rFonts w:hAnsi="標楷體" w:hint="eastAsia"/>
          <w:color w:val="000000"/>
        </w:rPr>
        <w:t>營業利益</w:t>
      </w:r>
      <w:r w:rsidRPr="001E4795">
        <w:rPr>
          <w:rFonts w:hAnsi="標楷體" w:hint="eastAsia"/>
          <w:color w:val="000000"/>
        </w:rPr>
        <w:t>(損失)</w:t>
      </w:r>
      <w:r w:rsidRPr="002B1F66">
        <w:rPr>
          <w:rFonts w:hAnsi="標楷體" w:hint="eastAsia"/>
          <w:color w:val="000000"/>
        </w:rPr>
        <w:t>率=營業利益</w:t>
      </w:r>
      <w:r w:rsidRPr="001E4795">
        <w:rPr>
          <w:rFonts w:hAnsi="標楷體" w:hint="eastAsia"/>
          <w:color w:val="000000"/>
        </w:rPr>
        <w:t>(損失)</w:t>
      </w:r>
      <w:r w:rsidRPr="002B1F66">
        <w:rPr>
          <w:rFonts w:hAnsi="標楷體" w:hint="eastAsia"/>
          <w:color w:val="000000"/>
        </w:rPr>
        <w:t>/營業收入</w:t>
      </w:r>
      <w:r w:rsidRPr="005A4793">
        <w:rPr>
          <w:rFonts w:hint="eastAsia"/>
          <w:bCs/>
          <w:color w:val="000000"/>
          <w:szCs w:val="24"/>
        </w:rPr>
        <w:t>×</w:t>
      </w:r>
      <w:r>
        <w:rPr>
          <w:rFonts w:hAnsi="標楷體" w:hint="eastAsia"/>
          <w:color w:val="000000"/>
        </w:rPr>
        <w:t>100</w:t>
      </w:r>
      <w:r>
        <w:rPr>
          <w:rFonts w:hAnsi="標楷體"/>
          <w:color w:val="000000"/>
        </w:rPr>
        <w:t>%</w:t>
      </w:r>
      <w:r w:rsidRPr="002B1F66">
        <w:rPr>
          <w:rFonts w:hAnsi="標楷體" w:hint="eastAsia"/>
          <w:color w:val="000000"/>
        </w:rPr>
        <w:t>；淨利</w:t>
      </w:r>
      <w:r w:rsidRPr="001E4795">
        <w:rPr>
          <w:rFonts w:hAnsi="標楷體" w:hint="eastAsia"/>
          <w:color w:val="000000"/>
        </w:rPr>
        <w:t>(損)</w:t>
      </w:r>
      <w:r w:rsidRPr="002B1F66">
        <w:rPr>
          <w:rFonts w:hAnsi="標楷體" w:hint="eastAsia"/>
          <w:color w:val="000000"/>
        </w:rPr>
        <w:t>率=本期淨利(淨損)/營業收入</w:t>
      </w:r>
      <w:r w:rsidRPr="005A4793">
        <w:rPr>
          <w:rFonts w:hint="eastAsia"/>
          <w:bCs/>
          <w:color w:val="000000"/>
          <w:szCs w:val="24"/>
        </w:rPr>
        <w:t>×</w:t>
      </w:r>
      <w:r>
        <w:rPr>
          <w:rFonts w:hAnsi="標楷體" w:hint="eastAsia"/>
          <w:color w:val="000000"/>
        </w:rPr>
        <w:t>100</w:t>
      </w:r>
      <w:r>
        <w:rPr>
          <w:rFonts w:hAnsi="標楷體"/>
          <w:color w:val="000000"/>
        </w:rPr>
        <w:t>%</w:t>
      </w:r>
      <w:r w:rsidRPr="002B1F66">
        <w:rPr>
          <w:rFonts w:hAnsi="標楷體" w:hint="eastAsia"/>
          <w:color w:val="000000"/>
        </w:rPr>
        <w:t>。</w:t>
      </w:r>
    </w:p>
    <w:p w:rsidR="00134ED3" w:rsidRPr="00353ECE" w:rsidRDefault="00134ED3" w:rsidP="00640605">
      <w:pPr>
        <w:pStyle w:val="142"/>
        <w:ind w:leftChars="421" w:left="1418" w:hangingChars="93" w:hanging="226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2.表列比率係以千元計算。</w:t>
      </w:r>
    </w:p>
    <w:p w:rsidR="00134ED3" w:rsidRDefault="00134ED3" w:rsidP="00640605">
      <w:pPr>
        <w:pStyle w:val="142"/>
        <w:ind w:left="1420" w:hangingChars="584" w:hanging="1420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整理自表列國營事業各年度預決算書</w:t>
      </w:r>
      <w:r w:rsidRPr="00353ECE">
        <w:rPr>
          <w:rFonts w:hAnsi="標楷體" w:hint="eastAsia"/>
          <w:color w:val="000000"/>
        </w:rPr>
        <w:t>。</w:t>
      </w:r>
    </w:p>
    <w:p w:rsidR="00134ED3" w:rsidRPr="00C02E6D" w:rsidRDefault="00134ED3" w:rsidP="00640605">
      <w:pPr>
        <w:pStyle w:val="a5"/>
        <w:ind w:left="849" w:hanging="283"/>
        <w:rPr>
          <w:b/>
        </w:rPr>
      </w:pPr>
      <w:r w:rsidRPr="00C02E6D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C02E6D">
        <w:rPr>
          <w:rFonts w:hint="eastAsia"/>
          <w:b/>
        </w:rPr>
        <w:t>)允宜審酌氣候變遷、國際燃料發展及國內淨零轉型政策等</w:t>
      </w:r>
      <w:r>
        <w:rPr>
          <w:rFonts w:hint="eastAsia"/>
          <w:b/>
        </w:rPr>
        <w:t>影響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檢討</w:t>
      </w:r>
      <w:r w:rsidRPr="00C02E6D">
        <w:rPr>
          <w:rFonts w:hint="eastAsia"/>
          <w:b/>
        </w:rPr>
        <w:t>強化管控營運成本及價格費率之彈性調整機制，逐步改善虧損情形，</w:t>
      </w:r>
      <w:r>
        <w:rPr>
          <w:rFonts w:hint="eastAsia"/>
          <w:b/>
        </w:rPr>
        <w:t>俾</w:t>
      </w:r>
      <w:r w:rsidRPr="00C02E6D">
        <w:rPr>
          <w:rFonts w:hint="eastAsia"/>
          <w:b/>
        </w:rPr>
        <w:t>提升各事業經營績效</w:t>
      </w:r>
    </w:p>
    <w:p w:rsidR="00134ED3" w:rsidRPr="007C13B1" w:rsidRDefault="00134ED3" w:rsidP="00640605">
      <w:pPr>
        <w:pStyle w:val="21"/>
        <w:ind w:left="850" w:firstLine="566"/>
        <w:rPr>
          <w:color w:val="000000"/>
        </w:rPr>
      </w:pPr>
      <w:r w:rsidRPr="007C13B1">
        <w:rPr>
          <w:rFonts w:hint="eastAsia"/>
          <w:color w:val="000000"/>
        </w:rPr>
        <w:t>經濟部所屬各事業近5年度除台糖均為盈餘外，中油、台電及台水分別有2至4個年度呈現虧損，復檢視各事業產銷計畫之產品單位銷售成本及售價情形(詳表3)，經查：</w:t>
      </w:r>
    </w:p>
    <w:p w:rsidR="00134ED3" w:rsidRPr="007C13B1" w:rsidRDefault="00134ED3" w:rsidP="00640605">
      <w:pPr>
        <w:pStyle w:val="123"/>
        <w:ind w:left="1133" w:hanging="283"/>
        <w:rPr>
          <w:color w:val="000000"/>
        </w:rPr>
      </w:pPr>
      <w:r w:rsidRPr="007C13B1">
        <w:rPr>
          <w:rFonts w:hint="eastAsia"/>
          <w:color w:val="000000"/>
        </w:rPr>
        <w:t>1.中油主要油氣產品包括天然氣、液化石油氣及車用汽油等，除供應工業原料用途外，係作為家庭、工業及發電用燃料與交通工具燃料；另有乙烯、丙烯等石油化學品，供應國內石化中游生產業者進料所需。按112年度決算主要產品銷售收入占營收比率觀之，前</w:t>
      </w:r>
      <w:r w:rsidRPr="007C13B1">
        <w:rPr>
          <w:color w:val="000000"/>
        </w:rPr>
        <w:t>3</w:t>
      </w:r>
      <w:r w:rsidRPr="007C13B1">
        <w:rPr>
          <w:rFonts w:hint="eastAsia"/>
          <w:color w:val="000000"/>
        </w:rPr>
        <w:t>名分別為成品天然氣(占比35.27%)、車用汽油(占比2</w:t>
      </w:r>
      <w:r w:rsidRPr="007C13B1">
        <w:rPr>
          <w:color w:val="000000"/>
        </w:rPr>
        <w:t>1.13</w:t>
      </w:r>
      <w:r w:rsidRPr="007C13B1">
        <w:rPr>
          <w:rFonts w:hint="eastAsia"/>
          <w:color w:val="000000"/>
        </w:rPr>
        <w:t>%)及柴油(占比</w:t>
      </w:r>
      <w:r w:rsidRPr="007C13B1">
        <w:rPr>
          <w:color w:val="000000"/>
        </w:rPr>
        <w:t>11.64</w:t>
      </w:r>
      <w:r w:rsidRPr="007C13B1">
        <w:rPr>
          <w:rFonts w:hint="eastAsia"/>
          <w:color w:val="000000"/>
        </w:rPr>
        <w:t>%)，合共占營收逾</w:t>
      </w:r>
      <w:r w:rsidRPr="007C13B1">
        <w:rPr>
          <w:color w:val="000000"/>
        </w:rPr>
        <w:t>6</w:t>
      </w:r>
      <w:r w:rsidRPr="007C13B1">
        <w:rPr>
          <w:rFonts w:hint="eastAsia"/>
          <w:color w:val="000000"/>
        </w:rPr>
        <w:t>成，除</w:t>
      </w:r>
      <w:r w:rsidRPr="007C13B1">
        <w:rPr>
          <w:rFonts w:hAnsi="標楷體" w:hint="eastAsia"/>
          <w:color w:val="000000"/>
        </w:rPr>
        <w:t>「車用汽油」外，其餘</w:t>
      </w:r>
      <w:r w:rsidRPr="007C13B1">
        <w:rPr>
          <w:color w:val="000000"/>
        </w:rPr>
        <w:t>2</w:t>
      </w:r>
      <w:r w:rsidRPr="007C13B1">
        <w:rPr>
          <w:rFonts w:hint="eastAsia"/>
          <w:color w:val="000000"/>
        </w:rPr>
        <w:t>項產品單位售價均低於單位成本，每單位銷售虧損各為945元及</w:t>
      </w:r>
      <w:r w:rsidRPr="007C13B1">
        <w:rPr>
          <w:color w:val="000000"/>
        </w:rPr>
        <w:t>1,965</w:t>
      </w:r>
      <w:r w:rsidRPr="007C13B1">
        <w:rPr>
          <w:rFonts w:hint="eastAsia"/>
          <w:color w:val="000000"/>
        </w:rPr>
        <w:t>元，其中成品天然氣1</w:t>
      </w:r>
      <w:r w:rsidRPr="007C13B1">
        <w:rPr>
          <w:color w:val="000000"/>
        </w:rPr>
        <w:t>10</w:t>
      </w:r>
      <w:r w:rsidRPr="007C13B1">
        <w:rPr>
          <w:rFonts w:hint="eastAsia"/>
          <w:color w:val="000000"/>
        </w:rPr>
        <w:t>至11</w:t>
      </w:r>
      <w:r w:rsidRPr="007C13B1">
        <w:rPr>
          <w:color w:val="000000"/>
        </w:rPr>
        <w:t>2</w:t>
      </w:r>
      <w:r w:rsidRPr="007C13B1">
        <w:rPr>
          <w:rFonts w:hint="eastAsia"/>
          <w:color w:val="000000"/>
        </w:rPr>
        <w:t>年度配合政府穩定物價政策緩漲氣價等，該3年度每千立方公尺虧損介於945元至8</w:t>
      </w:r>
      <w:r w:rsidRPr="007C13B1">
        <w:rPr>
          <w:color w:val="000000"/>
        </w:rPr>
        <w:t>,</w:t>
      </w:r>
      <w:r w:rsidRPr="007C13B1">
        <w:rPr>
          <w:rFonts w:hint="eastAsia"/>
          <w:color w:val="000000"/>
        </w:rPr>
        <w:t>129元之間，年度銷售虧損金額各為</w:t>
      </w:r>
      <w:r w:rsidRPr="007C13B1">
        <w:rPr>
          <w:color w:val="000000"/>
        </w:rPr>
        <w:t>749</w:t>
      </w:r>
      <w:r w:rsidRPr="007C13B1">
        <w:rPr>
          <w:rFonts w:hint="eastAsia"/>
          <w:color w:val="000000"/>
        </w:rPr>
        <w:t>億元、2</w:t>
      </w:r>
      <w:r w:rsidRPr="007C13B1">
        <w:rPr>
          <w:color w:val="000000"/>
        </w:rPr>
        <w:t>,157</w:t>
      </w:r>
      <w:r w:rsidRPr="007C13B1">
        <w:rPr>
          <w:rFonts w:hint="eastAsia"/>
          <w:color w:val="000000"/>
        </w:rPr>
        <w:t>億元及</w:t>
      </w:r>
      <w:r w:rsidRPr="007C13B1">
        <w:rPr>
          <w:color w:val="000000"/>
        </w:rPr>
        <w:t>247</w:t>
      </w:r>
      <w:r w:rsidRPr="007C13B1">
        <w:rPr>
          <w:rFonts w:hint="eastAsia"/>
          <w:color w:val="000000"/>
        </w:rPr>
        <w:t>億元</w:t>
      </w:r>
      <w:r w:rsidRPr="007C13B1">
        <w:rPr>
          <w:rStyle w:val="af5"/>
          <w:color w:val="000000"/>
        </w:rPr>
        <w:footnoteReference w:id="5"/>
      </w:r>
      <w:r w:rsidRPr="007C13B1">
        <w:rPr>
          <w:rFonts w:hint="eastAsia"/>
          <w:color w:val="000000"/>
        </w:rPr>
        <w:t>；至液化石油氣112年度決算銷售收入占營收比重雖僅0.86%，惟該產品1</w:t>
      </w:r>
      <w:r w:rsidRPr="007C13B1">
        <w:rPr>
          <w:color w:val="000000"/>
        </w:rPr>
        <w:t>10</w:t>
      </w:r>
      <w:r w:rsidRPr="007C13B1">
        <w:rPr>
          <w:rFonts w:hint="eastAsia"/>
          <w:color w:val="000000"/>
        </w:rPr>
        <w:t>至11</w:t>
      </w:r>
      <w:r w:rsidRPr="007C13B1">
        <w:rPr>
          <w:color w:val="000000"/>
        </w:rPr>
        <w:t>2</w:t>
      </w:r>
      <w:r w:rsidRPr="007C13B1">
        <w:rPr>
          <w:rFonts w:hint="eastAsia"/>
          <w:color w:val="000000"/>
        </w:rPr>
        <w:t>年度亦配合穩定物價政策由中油暫行吸收氣價，該3年度每公噸虧損均逾3千元以上，為銷售產品每單位銷售虧損偏高項目。</w:t>
      </w:r>
    </w:p>
    <w:p w:rsidR="00134ED3" w:rsidRPr="007C13B1" w:rsidRDefault="00134ED3" w:rsidP="00640605">
      <w:pPr>
        <w:pStyle w:val="123"/>
        <w:ind w:left="1133" w:hanging="283"/>
        <w:rPr>
          <w:color w:val="000000"/>
        </w:rPr>
      </w:pPr>
      <w:r w:rsidRPr="007C13B1">
        <w:rPr>
          <w:rFonts w:hint="eastAsia"/>
          <w:color w:val="000000"/>
        </w:rPr>
        <w:lastRenderedPageBreak/>
        <w:t>2.台電108及</w:t>
      </w:r>
      <w:r w:rsidRPr="007C13B1">
        <w:rPr>
          <w:color w:val="000000"/>
        </w:rPr>
        <w:t>109</w:t>
      </w:r>
      <w:r w:rsidRPr="007C13B1">
        <w:rPr>
          <w:rFonts w:hint="eastAsia"/>
          <w:color w:val="000000"/>
        </w:rPr>
        <w:t>年度、11</w:t>
      </w:r>
      <w:r w:rsidRPr="007C13B1">
        <w:rPr>
          <w:color w:val="000000"/>
        </w:rPr>
        <w:t>1</w:t>
      </w:r>
      <w:r w:rsidRPr="007C13B1">
        <w:rPr>
          <w:rFonts w:hint="eastAsia"/>
          <w:color w:val="000000"/>
        </w:rPr>
        <w:t>及112年度平均每度售電價格皆低於售電成本，其中111及112年度雖有調整部分用戶電價費</w:t>
      </w:r>
      <w:r w:rsidRPr="007C13B1">
        <w:rPr>
          <w:rFonts w:hint="eastAsia"/>
          <w:color w:val="000000"/>
        </w:rPr>
        <w:lastRenderedPageBreak/>
        <w:t>率，惟111年度因國際燃料價格劇烈波動，致平均每度售電仍虧損</w:t>
      </w:r>
      <w:r w:rsidRPr="007C13B1">
        <w:rPr>
          <w:color w:val="000000"/>
        </w:rPr>
        <w:t>1.2681</w:t>
      </w:r>
      <w:r w:rsidRPr="007C13B1">
        <w:rPr>
          <w:rFonts w:hint="eastAsia"/>
          <w:color w:val="000000"/>
        </w:rPr>
        <w:t>元，為近5年最高；112年度國際燃料價格雖回檔微降，售電成本仍高於售電價格，平均每度售電虧損1.1</w:t>
      </w:r>
      <w:r w:rsidRPr="007C13B1">
        <w:rPr>
          <w:color w:val="000000"/>
        </w:rPr>
        <w:t>8</w:t>
      </w:r>
      <w:r w:rsidRPr="007C13B1">
        <w:rPr>
          <w:rFonts w:hint="eastAsia"/>
          <w:color w:val="000000"/>
        </w:rPr>
        <w:t>元，較111年度單位虧損減少0.08</w:t>
      </w:r>
      <w:r w:rsidRPr="007C13B1">
        <w:rPr>
          <w:color w:val="000000"/>
        </w:rPr>
        <w:t>81</w:t>
      </w:r>
      <w:r w:rsidRPr="007C13B1">
        <w:rPr>
          <w:rFonts w:hint="eastAsia"/>
          <w:color w:val="000000"/>
        </w:rPr>
        <w:t>元。</w:t>
      </w:r>
    </w:p>
    <w:p w:rsidR="00134ED3" w:rsidRPr="007C13B1" w:rsidRDefault="00134ED3" w:rsidP="00640605">
      <w:pPr>
        <w:pStyle w:val="123"/>
        <w:ind w:left="1133" w:hanging="283"/>
        <w:rPr>
          <w:color w:val="000000"/>
        </w:rPr>
      </w:pPr>
      <w:r w:rsidRPr="007C13B1">
        <w:rPr>
          <w:rFonts w:hint="eastAsia"/>
          <w:color w:val="000000"/>
        </w:rPr>
        <w:t>3.台水</w:t>
      </w:r>
      <w:r w:rsidRPr="007C13B1">
        <w:rPr>
          <w:rFonts w:hint="eastAsia"/>
          <w:bCs/>
          <w:color w:val="000000"/>
        </w:rPr>
        <w:t>10</w:t>
      </w:r>
      <w:r w:rsidRPr="007C13B1">
        <w:rPr>
          <w:bCs/>
          <w:color w:val="000000"/>
        </w:rPr>
        <w:t>8</w:t>
      </w:r>
      <w:r w:rsidRPr="007C13B1">
        <w:rPr>
          <w:rFonts w:hint="eastAsia"/>
          <w:bCs/>
          <w:color w:val="000000"/>
        </w:rPr>
        <w:t>至11</w:t>
      </w:r>
      <w:r w:rsidRPr="007C13B1">
        <w:rPr>
          <w:bCs/>
          <w:color w:val="000000"/>
        </w:rPr>
        <w:t>2</w:t>
      </w:r>
      <w:r w:rsidRPr="007C13B1">
        <w:rPr>
          <w:rFonts w:hint="eastAsia"/>
          <w:bCs/>
          <w:color w:val="000000"/>
        </w:rPr>
        <w:t>年度給水單位售價為每度10.9</w:t>
      </w:r>
      <w:r w:rsidRPr="007C13B1">
        <w:rPr>
          <w:bCs/>
          <w:color w:val="000000"/>
        </w:rPr>
        <w:t>6</w:t>
      </w:r>
      <w:r w:rsidRPr="007C13B1">
        <w:rPr>
          <w:rFonts w:hint="eastAsia"/>
          <w:bCs/>
          <w:color w:val="000000"/>
        </w:rPr>
        <w:t>至11.0</w:t>
      </w:r>
      <w:r w:rsidRPr="007C13B1">
        <w:rPr>
          <w:bCs/>
          <w:color w:val="000000"/>
        </w:rPr>
        <w:t>6</w:t>
      </w:r>
      <w:r w:rsidRPr="007C13B1">
        <w:rPr>
          <w:rFonts w:hint="eastAsia"/>
          <w:bCs/>
          <w:color w:val="000000"/>
        </w:rPr>
        <w:t>元間，未有明顯變化，惟售水單位成本自108年度決算之11.23元，逐年增加至112年度決算之12.9</w:t>
      </w:r>
      <w:r w:rsidRPr="007C13B1">
        <w:rPr>
          <w:bCs/>
          <w:color w:val="000000"/>
        </w:rPr>
        <w:t>0</w:t>
      </w:r>
      <w:r w:rsidRPr="007C13B1">
        <w:rPr>
          <w:rFonts w:hint="eastAsia"/>
          <w:bCs/>
          <w:color w:val="000000"/>
        </w:rPr>
        <w:t>元(增幅14.</w:t>
      </w:r>
      <w:r w:rsidRPr="007C13B1">
        <w:rPr>
          <w:bCs/>
          <w:color w:val="000000"/>
        </w:rPr>
        <w:t>87</w:t>
      </w:r>
      <w:r w:rsidRPr="007C13B1">
        <w:rPr>
          <w:rFonts w:hint="eastAsia"/>
          <w:bCs/>
          <w:color w:val="000000"/>
        </w:rPr>
        <w:t>%)，致112年度單位售水虧損1.8</w:t>
      </w:r>
      <w:r w:rsidRPr="007C13B1">
        <w:rPr>
          <w:bCs/>
          <w:color w:val="000000"/>
        </w:rPr>
        <w:t>4</w:t>
      </w:r>
      <w:r w:rsidRPr="007C13B1">
        <w:rPr>
          <w:rFonts w:hint="eastAsia"/>
          <w:bCs/>
          <w:color w:val="000000"/>
        </w:rPr>
        <w:t>元</w:t>
      </w:r>
      <w:r w:rsidRPr="007C13B1">
        <w:rPr>
          <w:rFonts w:hint="eastAsia"/>
          <w:color w:val="000000"/>
        </w:rPr>
        <w:t>，為近5年最高。</w:t>
      </w:r>
    </w:p>
    <w:p w:rsidR="00134ED3" w:rsidRPr="007C13B1" w:rsidRDefault="00134ED3" w:rsidP="00640605">
      <w:pPr>
        <w:pStyle w:val="123"/>
        <w:ind w:left="1133" w:hanging="283"/>
        <w:rPr>
          <w:color w:val="000000"/>
        </w:rPr>
      </w:pPr>
      <w:r w:rsidRPr="007C13B1">
        <w:rPr>
          <w:rFonts w:hint="eastAsia"/>
          <w:color w:val="000000"/>
        </w:rPr>
        <w:t>4.台糖108至112年度雖均呈盈餘，惟銷售產品豬隻每公噸銷售虧損由108年度之9</w:t>
      </w:r>
      <w:r w:rsidRPr="007C13B1">
        <w:rPr>
          <w:color w:val="000000"/>
        </w:rPr>
        <w:t>,</w:t>
      </w:r>
      <w:r w:rsidRPr="007C13B1">
        <w:rPr>
          <w:rFonts w:hint="eastAsia"/>
          <w:color w:val="000000"/>
        </w:rPr>
        <w:t>750元擴增至112年度之2萬180元，增幅達1.06倍，允待連同近年因畜殖場改建縮減飼養規模致產銷達成率連年下降等，研謀檢討改善。</w:t>
      </w:r>
    </w:p>
    <w:p w:rsidR="00134ED3" w:rsidRPr="007C13B1" w:rsidRDefault="00134ED3" w:rsidP="00640605">
      <w:pPr>
        <w:pStyle w:val="21"/>
        <w:ind w:left="850" w:firstLine="566"/>
        <w:rPr>
          <w:color w:val="000000"/>
        </w:rPr>
      </w:pPr>
      <w:r w:rsidRPr="007C13B1">
        <w:rPr>
          <w:rFonts w:hint="eastAsia"/>
          <w:color w:val="000000"/>
        </w:rPr>
        <w:t>準此，中油、台電及台水等3家國營事業，肩負政府照顧民生、穩定物價及兼顧產業競爭力之政策性任務下，產品售價雖未能依循一般商業機制完全有效反映成本，惟鑑於國內能源多仰賴進口</w:t>
      </w:r>
      <w:r w:rsidRPr="007C13B1">
        <w:rPr>
          <w:rFonts w:hAnsi="標楷體" w:hint="eastAsia"/>
          <w:color w:val="000000"/>
        </w:rPr>
        <w:t>，允宜審慎評估氣候變遷、國際燃料發展及國內淨零轉型政策等對於營運之影響，強</w:t>
      </w:r>
      <w:r w:rsidRPr="007C13B1">
        <w:rPr>
          <w:rFonts w:hint="eastAsia"/>
          <w:color w:val="000000"/>
        </w:rPr>
        <w:t>化營運成本之控管及主要產品價格費率公平合理之調整機制</w:t>
      </w:r>
      <w:r w:rsidRPr="007C13B1">
        <w:rPr>
          <w:rFonts w:hAnsi="標楷體" w:hint="eastAsia"/>
          <w:color w:val="000000"/>
        </w:rPr>
        <w:t>，</w:t>
      </w:r>
      <w:r w:rsidRPr="007C13B1">
        <w:rPr>
          <w:rFonts w:hint="eastAsia"/>
          <w:color w:val="000000"/>
        </w:rPr>
        <w:t>以改善各事業之營運績效。</w:t>
      </w:r>
    </w:p>
    <w:p w:rsidR="00134ED3" w:rsidRPr="00BE5BC6" w:rsidRDefault="00134ED3" w:rsidP="00640605">
      <w:pPr>
        <w:ind w:leftChars="-123" w:left="802" w:rightChars="-155" w:right="-439" w:hangingChars="450" w:hanging="1150"/>
        <w:rPr>
          <w:rFonts w:hAnsi="標楷體"/>
          <w:color w:val="000000"/>
          <w:spacing w:val="-14"/>
          <w:sz w:val="24"/>
          <w:szCs w:val="24"/>
        </w:rPr>
      </w:pPr>
      <w:r w:rsidRPr="00BE5BC6">
        <w:rPr>
          <w:rFonts w:hAnsi="標楷體" w:hint="eastAsia"/>
          <w:b/>
          <w:color w:val="000000"/>
          <w:spacing w:val="-14"/>
        </w:rPr>
        <w:t>表3  1</w:t>
      </w:r>
      <w:r w:rsidRPr="00BE5BC6">
        <w:rPr>
          <w:rFonts w:hAnsi="標楷體"/>
          <w:b/>
          <w:color w:val="000000"/>
          <w:spacing w:val="-14"/>
        </w:rPr>
        <w:t>08</w:t>
      </w:r>
      <w:r w:rsidRPr="00BE5BC6">
        <w:rPr>
          <w:rFonts w:hAnsi="標楷體" w:hint="eastAsia"/>
          <w:b/>
          <w:color w:val="000000"/>
          <w:spacing w:val="-14"/>
        </w:rPr>
        <w:t>至11</w:t>
      </w:r>
      <w:r w:rsidRPr="00BE5BC6">
        <w:rPr>
          <w:rFonts w:hAnsi="標楷體"/>
          <w:b/>
          <w:color w:val="000000"/>
          <w:spacing w:val="-14"/>
        </w:rPr>
        <w:t>2</w:t>
      </w:r>
      <w:r w:rsidRPr="00BE5BC6">
        <w:rPr>
          <w:rFonts w:hAnsi="標楷體" w:hint="eastAsia"/>
          <w:b/>
          <w:color w:val="000000"/>
          <w:spacing w:val="-14"/>
        </w:rPr>
        <w:t xml:space="preserve">年度經濟部所屬四大國營事業產品成本與售價比較表 </w:t>
      </w:r>
      <w:r w:rsidRPr="00BE5BC6">
        <w:rPr>
          <w:rFonts w:hAnsi="標楷體" w:hint="eastAsia"/>
          <w:color w:val="000000"/>
          <w:spacing w:val="-14"/>
          <w:sz w:val="24"/>
          <w:szCs w:val="24"/>
        </w:rPr>
        <w:t>單位：新臺幣元</w:t>
      </w:r>
    </w:p>
    <w:tbl>
      <w:tblPr>
        <w:tblW w:w="9212" w:type="dxa"/>
        <w:tblInd w:w="-3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493"/>
        <w:gridCol w:w="851"/>
        <w:gridCol w:w="567"/>
        <w:gridCol w:w="1216"/>
        <w:gridCol w:w="1217"/>
        <w:gridCol w:w="1217"/>
        <w:gridCol w:w="1217"/>
        <w:gridCol w:w="1217"/>
        <w:gridCol w:w="1217"/>
      </w:tblGrid>
      <w:tr w:rsidR="00134ED3" w:rsidRPr="0049599A" w:rsidTr="00640605">
        <w:trPr>
          <w:trHeight w:val="340"/>
          <w:tblHeader/>
        </w:trPr>
        <w:tc>
          <w:tcPr>
            <w:tcW w:w="134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公司及產品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單位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項目</w:t>
            </w:r>
          </w:p>
        </w:tc>
        <w:tc>
          <w:tcPr>
            <w:tcW w:w="12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108</w:t>
            </w: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年度</w:t>
            </w:r>
          </w:p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決算</w:t>
            </w:r>
          </w:p>
        </w:tc>
        <w:tc>
          <w:tcPr>
            <w:tcW w:w="12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109</w:t>
            </w: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年度</w:t>
            </w:r>
          </w:p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決算</w:t>
            </w:r>
          </w:p>
        </w:tc>
        <w:tc>
          <w:tcPr>
            <w:tcW w:w="12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110</w:t>
            </w: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年度</w:t>
            </w:r>
          </w:p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決算</w:t>
            </w:r>
          </w:p>
        </w:tc>
        <w:tc>
          <w:tcPr>
            <w:tcW w:w="12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111</w:t>
            </w: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年度</w:t>
            </w:r>
          </w:p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決算</w:t>
            </w:r>
          </w:p>
        </w:tc>
        <w:tc>
          <w:tcPr>
            <w:tcW w:w="12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4ED3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112</w:t>
            </w: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年度</w:t>
            </w:r>
          </w:p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決算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中油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成品天然氣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spacing w:val="-20"/>
                <w:sz w:val="23"/>
                <w:szCs w:val="23"/>
              </w:rPr>
              <w:t>千立方公尺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11,716.31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8,287.48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8,307.21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13,985.08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14,888.82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10,941.54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7,6</w:t>
            </w:r>
            <w:r>
              <w:rPr>
                <w:sz w:val="23"/>
                <w:szCs w:val="23"/>
              </w:rPr>
              <w:t>59.91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11,238.85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22,113.81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15,834.36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774.77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62</w:t>
            </w:r>
            <w:r>
              <w:rPr>
                <w:sz w:val="23"/>
                <w:szCs w:val="23"/>
              </w:rPr>
              <w:t>7.57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-2,931.64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-8,128.73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-945.54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液化石油氣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spacing w:val="-20"/>
                <w:sz w:val="23"/>
                <w:szCs w:val="23"/>
              </w:rPr>
              <w:t>公噸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20,426.46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14,476.17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15,475.8</w:t>
            </w:r>
            <w:r>
              <w:rPr>
                <w:sz w:val="23"/>
                <w:szCs w:val="23"/>
              </w:rPr>
              <w:t>3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15,531.50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15,511.97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19,028.45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13,832.73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18,906.9</w:t>
            </w:r>
            <w:r>
              <w:rPr>
                <w:sz w:val="23"/>
                <w:szCs w:val="23"/>
              </w:rPr>
              <w:t>3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28,419.55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22,137.67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bottom w:val="nil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1,398.01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643.44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>-3,431.1</w:t>
            </w:r>
            <w:r>
              <w:rPr>
                <w:color w:val="FF0000"/>
                <w:sz w:val="23"/>
                <w:szCs w:val="23"/>
              </w:rPr>
              <w:t>0</w:t>
            </w:r>
            <w:r w:rsidRPr="008A6882">
              <w:rPr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-12,888.05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-6,625.70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車用汽油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spacing w:val="-20"/>
                <w:sz w:val="23"/>
                <w:szCs w:val="23"/>
              </w:rPr>
              <w:t>公秉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23,088.33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19,073.21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23,417.44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26,915.34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26,494.00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22,462.10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19,5</w:t>
            </w:r>
            <w:r>
              <w:rPr>
                <w:sz w:val="23"/>
                <w:szCs w:val="23"/>
              </w:rPr>
              <w:t>2</w:t>
            </w:r>
            <w:r w:rsidRPr="008A6882">
              <w:rPr>
                <w:sz w:val="23"/>
                <w:szCs w:val="23"/>
              </w:rPr>
              <w:t>6.</w:t>
            </w:r>
            <w:r>
              <w:rPr>
                <w:sz w:val="23"/>
                <w:szCs w:val="23"/>
              </w:rPr>
              <w:t>5</w:t>
            </w:r>
            <w:r w:rsidRPr="008A6882">
              <w:rPr>
                <w:sz w:val="23"/>
                <w:szCs w:val="23"/>
              </w:rPr>
              <w:t xml:space="preserve">1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20,550.19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27,830.40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26,0</w:t>
            </w:r>
            <w:r>
              <w:rPr>
                <w:sz w:val="23"/>
                <w:szCs w:val="23"/>
              </w:rPr>
              <w:t>78.19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626.23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>-</w:t>
            </w:r>
            <w:r>
              <w:rPr>
                <w:color w:val="FF0000"/>
                <w:sz w:val="23"/>
                <w:szCs w:val="23"/>
              </w:rPr>
              <w:t>453.30</w:t>
            </w:r>
            <w:r w:rsidRPr="008A6882">
              <w:rPr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2,867.25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-915.06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>15.80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柴油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spacing w:val="-20"/>
                <w:sz w:val="23"/>
                <w:szCs w:val="23"/>
              </w:rPr>
              <w:t>公秉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18,785.40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14,043.12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19,569.40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24,441.37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23,229.90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17,978.52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15,165.68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16,763.14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23,144.67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25,195.03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806.88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-1,122.56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2,806.26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1,296.70 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-1,965.13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台電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電力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spacing w:val="-20"/>
                <w:sz w:val="23"/>
                <w:szCs w:val="23"/>
              </w:rPr>
              <w:t>度</w:t>
            </w:r>
          </w:p>
        </w:tc>
        <w:tc>
          <w:tcPr>
            <w:tcW w:w="121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2.6190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2.5986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2.5885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2.7246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2548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2548B1">
              <w:rPr>
                <w:sz w:val="23"/>
                <w:szCs w:val="23"/>
              </w:rPr>
              <w:t xml:space="preserve">3.0727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2.</w:t>
            </w:r>
            <w:r>
              <w:rPr>
                <w:sz w:val="23"/>
                <w:szCs w:val="23"/>
              </w:rPr>
              <w:t>8158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2.</w:t>
            </w:r>
            <w:r>
              <w:rPr>
                <w:sz w:val="23"/>
                <w:szCs w:val="23"/>
              </w:rPr>
              <w:t>6186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2.</w:t>
            </w:r>
            <w:r>
              <w:rPr>
                <w:sz w:val="23"/>
                <w:szCs w:val="23"/>
              </w:rPr>
              <w:t>5849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3.</w:t>
            </w:r>
            <w:r>
              <w:rPr>
                <w:sz w:val="23"/>
                <w:szCs w:val="23"/>
              </w:rPr>
              <w:t>9927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2548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2548B1">
              <w:rPr>
                <w:sz w:val="23"/>
                <w:szCs w:val="23"/>
              </w:rPr>
              <w:t>4.25</w:t>
            </w:r>
            <w:r>
              <w:rPr>
                <w:sz w:val="23"/>
                <w:szCs w:val="23"/>
              </w:rPr>
              <w:t>27</w:t>
            </w:r>
            <w:r w:rsidRPr="002548B1">
              <w:rPr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>-0.</w:t>
            </w:r>
            <w:r>
              <w:rPr>
                <w:color w:val="FF0000"/>
                <w:sz w:val="23"/>
                <w:szCs w:val="23"/>
              </w:rPr>
              <w:t>1968</w:t>
            </w:r>
            <w:r w:rsidRPr="008A6882">
              <w:rPr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F224A5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F224A5">
              <w:rPr>
                <w:color w:val="FF0000"/>
                <w:sz w:val="23"/>
                <w:szCs w:val="23"/>
              </w:rPr>
              <w:t xml:space="preserve">-0.0200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0.</w:t>
            </w:r>
            <w:r>
              <w:rPr>
                <w:sz w:val="23"/>
                <w:szCs w:val="23"/>
              </w:rPr>
              <w:t>0036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>-1.</w:t>
            </w:r>
            <w:r>
              <w:rPr>
                <w:color w:val="FF0000"/>
                <w:sz w:val="23"/>
                <w:szCs w:val="23"/>
              </w:rPr>
              <w:t>2681</w:t>
            </w:r>
            <w:r w:rsidRPr="008A6882">
              <w:rPr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2548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2548B1">
              <w:rPr>
                <w:color w:val="FF0000"/>
                <w:sz w:val="23"/>
                <w:szCs w:val="23"/>
              </w:rPr>
              <w:t>-1.18</w:t>
            </w:r>
            <w:r>
              <w:rPr>
                <w:color w:val="FF0000"/>
                <w:sz w:val="23"/>
                <w:szCs w:val="23"/>
              </w:rPr>
              <w:t>00</w:t>
            </w:r>
            <w:r w:rsidRPr="002548B1">
              <w:rPr>
                <w:color w:val="FF0000"/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台水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自來水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  <w:r w:rsidRPr="0049599A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立方公尺</w:t>
            </w:r>
          </w:p>
        </w:tc>
        <w:tc>
          <w:tcPr>
            <w:tcW w:w="121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11.00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10.96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10.97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11.05 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11.06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11.23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11.32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11.54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 xml:space="preserve">11.66 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sz w:val="23"/>
                <w:szCs w:val="23"/>
              </w:rPr>
            </w:pPr>
            <w:r w:rsidRPr="008A6882">
              <w:rPr>
                <w:sz w:val="23"/>
                <w:szCs w:val="23"/>
              </w:rPr>
              <w:t>12.9</w:t>
            </w:r>
            <w:r>
              <w:rPr>
                <w:sz w:val="23"/>
                <w:szCs w:val="23"/>
              </w:rPr>
              <w:t>0</w:t>
            </w:r>
            <w:r w:rsidRPr="008A6882">
              <w:rPr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-0.23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-0.36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-0.57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 xml:space="preserve">-0.61 </w:t>
            </w:r>
          </w:p>
        </w:tc>
        <w:tc>
          <w:tcPr>
            <w:tcW w:w="1217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FFF"/>
          </w:tcPr>
          <w:p w:rsidR="00134ED3" w:rsidRPr="008A6882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8A6882">
              <w:rPr>
                <w:color w:val="FF0000"/>
                <w:sz w:val="23"/>
                <w:szCs w:val="23"/>
              </w:rPr>
              <w:t>-1.8</w:t>
            </w:r>
            <w:r>
              <w:rPr>
                <w:color w:val="FF0000"/>
                <w:sz w:val="23"/>
                <w:szCs w:val="23"/>
              </w:rPr>
              <w:t>4</w:t>
            </w:r>
            <w:r w:rsidRPr="008A6882">
              <w:rPr>
                <w:color w:val="FF0000"/>
                <w:sz w:val="23"/>
                <w:szCs w:val="23"/>
              </w:rPr>
              <w:t xml:space="preserve"> 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台糖</w:t>
            </w:r>
          </w:p>
        </w:tc>
        <w:tc>
          <w:tcPr>
            <w:tcW w:w="851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CE6910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砂糖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34ED3" w:rsidRPr="00CE6910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CE6910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公噸</w:t>
            </w:r>
          </w:p>
        </w:tc>
        <w:tc>
          <w:tcPr>
            <w:tcW w:w="1216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17,868.57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18,809.61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20,494.33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23,256.83</w:t>
            </w:r>
          </w:p>
        </w:tc>
        <w:tc>
          <w:tcPr>
            <w:tcW w:w="121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26,950.23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shd w:val="clear" w:color="auto" w:fill="FFFFFF"/>
            <w:vAlign w:val="center"/>
          </w:tcPr>
          <w:p w:rsidR="00134ED3" w:rsidRPr="00CE6910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19,533.07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19,022.85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20,006.00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23,230.80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26,341.72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34ED3" w:rsidRPr="00CE6910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-1,664.50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-213.24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488.33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26.03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608.51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豬隻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34ED3" w:rsidRPr="00CE6910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  <w:r w:rsidRPr="00CE6910">
              <w:rPr>
                <w:rFonts w:hAnsi="標楷體" w:hint="eastAsia"/>
                <w:color w:val="000000"/>
                <w:spacing w:val="-20"/>
                <w:sz w:val="23"/>
                <w:szCs w:val="23"/>
              </w:rPr>
              <w:t>公噸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>
              <w:rPr>
                <w:rFonts w:hAnsi="標楷體" w:hint="eastAsia"/>
                <w:sz w:val="23"/>
                <w:szCs w:val="23"/>
              </w:rPr>
              <w:t>單位</w:t>
            </w:r>
            <w:r w:rsidRPr="0049599A">
              <w:rPr>
                <w:rFonts w:hAnsi="標楷體" w:hint="eastAsia"/>
                <w:sz w:val="23"/>
                <w:szCs w:val="23"/>
              </w:rPr>
              <w:t>售價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66,406.09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67,842.79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73,886.77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76,829.13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85,253.94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34ED3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34ED3" w:rsidRPr="00CE6910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單位成本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76,156.80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78,759.49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84,541.55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98,043.51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shd w:val="clear" w:color="auto" w:fill="FFFFFF"/>
          </w:tcPr>
          <w:p w:rsidR="00134ED3" w:rsidRPr="007C13B1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3"/>
                <w:szCs w:val="23"/>
              </w:rPr>
            </w:pPr>
            <w:r w:rsidRPr="007C13B1">
              <w:rPr>
                <w:color w:val="000000"/>
                <w:sz w:val="23"/>
                <w:szCs w:val="23"/>
              </w:rPr>
              <w:t>105,434.43</w:t>
            </w:r>
          </w:p>
        </w:tc>
      </w:tr>
      <w:tr w:rsidR="00134ED3" w:rsidRPr="0049599A" w:rsidTr="00640605">
        <w:trPr>
          <w:trHeight w:val="340"/>
        </w:trPr>
        <w:tc>
          <w:tcPr>
            <w:tcW w:w="493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851" w:type="dxa"/>
            <w:vMerge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134ED3" w:rsidRPr="0049599A" w:rsidRDefault="00134ED3" w:rsidP="00640605">
            <w:pPr>
              <w:pStyle w:val="142"/>
              <w:jc w:val="both"/>
              <w:rPr>
                <w:rFonts w:hAnsi="標楷體"/>
                <w:color w:val="000000"/>
                <w:spacing w:val="-20"/>
                <w:sz w:val="23"/>
                <w:szCs w:val="23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pStyle w:val="142"/>
              <w:jc w:val="center"/>
              <w:rPr>
                <w:rFonts w:hAnsi="標楷體"/>
                <w:spacing w:val="-20"/>
                <w:sz w:val="23"/>
                <w:szCs w:val="23"/>
              </w:rPr>
            </w:pP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49599A" w:rsidRDefault="00134ED3" w:rsidP="00640605">
            <w:pPr>
              <w:spacing w:line="280" w:lineRule="exact"/>
              <w:ind w:leftChars="0" w:left="0" w:firstLineChars="0" w:firstLine="0"/>
              <w:rPr>
                <w:rFonts w:hAnsi="標楷體"/>
                <w:sz w:val="23"/>
                <w:szCs w:val="23"/>
              </w:rPr>
            </w:pPr>
            <w:r w:rsidRPr="0049599A">
              <w:rPr>
                <w:rFonts w:hAnsi="標楷體" w:hint="eastAsia"/>
                <w:sz w:val="23"/>
                <w:szCs w:val="23"/>
              </w:rPr>
              <w:t>單位</w:t>
            </w:r>
            <w:r>
              <w:rPr>
                <w:rFonts w:hAnsi="標楷體" w:hint="eastAsia"/>
                <w:sz w:val="23"/>
                <w:szCs w:val="23"/>
              </w:rPr>
              <w:t>盈虧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-9,750.71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-10,916.70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-10,654.78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-21,214.38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134ED3" w:rsidRPr="00CE6910" w:rsidRDefault="00134ED3" w:rsidP="00640605">
            <w:pPr>
              <w:spacing w:line="280" w:lineRule="exact"/>
              <w:ind w:leftChars="0" w:left="0" w:firstLineChars="0" w:firstLine="0"/>
              <w:jc w:val="right"/>
              <w:rPr>
                <w:color w:val="FF0000"/>
                <w:sz w:val="23"/>
                <w:szCs w:val="23"/>
              </w:rPr>
            </w:pPr>
            <w:r w:rsidRPr="00CE6910">
              <w:rPr>
                <w:color w:val="FF0000"/>
                <w:sz w:val="23"/>
                <w:szCs w:val="23"/>
              </w:rPr>
              <w:t>-20,180.49</w:t>
            </w:r>
          </w:p>
        </w:tc>
      </w:tr>
    </w:tbl>
    <w:p w:rsidR="00134ED3" w:rsidRDefault="00134ED3" w:rsidP="00640605">
      <w:pPr>
        <w:pStyle w:val="142"/>
        <w:ind w:leftChars="-138" w:left="1068" w:rightChars="-170" w:right="-481" w:hangingChars="600" w:hanging="1459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說</w:t>
      </w:r>
      <w:r>
        <w:rPr>
          <w:rFonts w:hAnsi="標楷體" w:hint="eastAsia"/>
          <w:color w:val="000000"/>
        </w:rPr>
        <w:t xml:space="preserve">    </w:t>
      </w:r>
      <w:r w:rsidRPr="002B1F66">
        <w:rPr>
          <w:rFonts w:hAnsi="標楷體" w:hint="eastAsia"/>
          <w:color w:val="000000"/>
        </w:rPr>
        <w:t>明：</w:t>
      </w:r>
      <w:r>
        <w:rPr>
          <w:rFonts w:hAnsi="標楷體" w:hint="eastAsia"/>
          <w:color w:val="000000"/>
        </w:rPr>
        <w:t>1.108至11</w:t>
      </w:r>
      <w:r>
        <w:rPr>
          <w:rFonts w:hAnsi="標楷體"/>
          <w:color w:val="000000"/>
        </w:rPr>
        <w:t>2</w:t>
      </w:r>
      <w:r>
        <w:rPr>
          <w:rFonts w:hAnsi="標楷體" w:hint="eastAsia"/>
          <w:color w:val="000000"/>
        </w:rPr>
        <w:t>年度均為審定決算數。</w:t>
      </w:r>
    </w:p>
    <w:p w:rsidR="00134ED3" w:rsidRPr="001B7C1B" w:rsidRDefault="00134ED3" w:rsidP="00640605">
      <w:pPr>
        <w:pStyle w:val="142"/>
        <w:ind w:leftChars="291" w:left="1067" w:rightChars="-170" w:right="-481" w:hangingChars="100" w:hanging="243"/>
        <w:jc w:val="both"/>
        <w:rPr>
          <w:rFonts w:hAnsi="標楷體"/>
          <w:color w:val="000000"/>
        </w:rPr>
      </w:pPr>
      <w:r>
        <w:rPr>
          <w:rFonts w:hAnsi="標楷體"/>
          <w:color w:val="000000"/>
        </w:rPr>
        <w:t>2</w:t>
      </w:r>
      <w:r>
        <w:rPr>
          <w:rFonts w:hAnsi="標楷體" w:hint="eastAsia"/>
          <w:color w:val="000000"/>
        </w:rPr>
        <w:t>.台電所列數額係</w:t>
      </w:r>
      <w:r w:rsidRPr="00850C8D">
        <w:rPr>
          <w:rFonts w:hAnsi="標楷體" w:hint="eastAsia"/>
          <w:color w:val="000000"/>
        </w:rPr>
        <w:t>表達電力銷售之總成本，不包含非屬電力銷售之其他營業成本、營業費用及其他營業外費用。</w:t>
      </w:r>
    </w:p>
    <w:p w:rsidR="00134ED3" w:rsidRDefault="00134ED3" w:rsidP="00640605">
      <w:pPr>
        <w:pStyle w:val="142"/>
        <w:ind w:leftChars="-133" w:left="968" w:hangingChars="553" w:hanging="1345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表列各事業提供</w:t>
      </w:r>
      <w:r w:rsidRPr="00353ECE">
        <w:rPr>
          <w:rFonts w:hAnsi="標楷體" w:hint="eastAsia"/>
          <w:color w:val="000000"/>
        </w:rPr>
        <w:t>。</w:t>
      </w:r>
    </w:p>
    <w:p w:rsidR="00134ED3" w:rsidRPr="007C13B1" w:rsidRDefault="00134ED3" w:rsidP="00640605">
      <w:pPr>
        <w:ind w:left="566" w:firstLine="566"/>
        <w:rPr>
          <w:color w:val="000000"/>
        </w:rPr>
      </w:pPr>
      <w:r w:rsidRPr="007C13B1">
        <w:rPr>
          <w:rFonts w:hint="eastAsia"/>
          <w:color w:val="000000"/>
        </w:rPr>
        <w:t>綜上，經濟部所屬四大國營事業112年度決算合共虧損2,203.42億元，且已連續3年虧損，允宜盤整檢討各事業所面對之經營挑戰，並審慎評估氣候變遷、國際燃料發展及國內淨零轉型政策等對於事業營運之影響，通盤檢討未來營運方針，強化營運成本之控管及主要產品價格費率公平合理之調整機制，以提高營運績效並維財務及業務健全發展。</w:t>
      </w:r>
    </w:p>
    <w:p w:rsidR="00134ED3" w:rsidRPr="00727F38" w:rsidRDefault="00134ED3" w:rsidP="00640605">
      <w:pPr>
        <w:pStyle w:val="ad"/>
      </w:pPr>
      <w:r w:rsidRPr="00422096">
        <w:rPr>
          <w:rFonts w:hint="eastAsia"/>
          <w:szCs w:val="24"/>
        </w:rPr>
        <w:t>（分機：19</w:t>
      </w:r>
      <w:r w:rsidRPr="00422096">
        <w:rPr>
          <w:szCs w:val="24"/>
        </w:rPr>
        <w:t>26</w:t>
      </w:r>
      <w:r w:rsidRPr="00422096">
        <w:rPr>
          <w:rFonts w:hint="eastAsia"/>
          <w:szCs w:val="24"/>
        </w:rPr>
        <w:t xml:space="preserve"> 黃芝穎）</w:t>
      </w:r>
    </w:p>
    <w:sectPr w:rsidR="00134ED3" w:rsidRPr="00727F38" w:rsidSect="00BD0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A067E3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011543" w:rsidRDefault="00064496" w:rsidP="00640605">
      <w:pPr>
        <w:pStyle w:val="142"/>
        <w:ind w:left="73" w:hangingChars="30" w:hanging="73"/>
        <w:jc w:val="both"/>
      </w:pPr>
      <w:r w:rsidRPr="00011543">
        <w:rPr>
          <w:rStyle w:val="af5"/>
          <w:rFonts w:hAnsi="標楷體"/>
          <w:szCs w:val="24"/>
        </w:rPr>
        <w:footnoteRef/>
      </w:r>
      <w:r w:rsidRPr="00011543">
        <w:rPr>
          <w:rFonts w:hint="eastAsia"/>
        </w:rPr>
        <w:t>經濟部所屬四大國營事業11</w:t>
      </w:r>
      <w:r>
        <w:t>0</w:t>
      </w:r>
      <w:r w:rsidRPr="00011543">
        <w:rPr>
          <w:rFonts w:hint="eastAsia"/>
        </w:rPr>
        <w:t>年度決算</w:t>
      </w:r>
      <w:r>
        <w:rPr>
          <w:rFonts w:hint="eastAsia"/>
        </w:rPr>
        <w:t>合共虧損141.12億元，</w:t>
      </w:r>
      <w:r w:rsidRPr="00011543">
        <w:rPr>
          <w:rFonts w:hint="eastAsia"/>
        </w:rPr>
        <w:t>11</w:t>
      </w:r>
      <w:r>
        <w:t>1</w:t>
      </w:r>
      <w:r w:rsidRPr="00011543">
        <w:rPr>
          <w:rFonts w:hint="eastAsia"/>
        </w:rPr>
        <w:t>年度決算</w:t>
      </w:r>
      <w:r>
        <w:rPr>
          <w:rFonts w:hint="eastAsia"/>
        </w:rPr>
        <w:t>合共虧損</w:t>
      </w:r>
      <w:r>
        <w:t>4,101</w:t>
      </w:r>
      <w:r>
        <w:rPr>
          <w:rFonts w:hint="eastAsia"/>
        </w:rPr>
        <w:t>.</w:t>
      </w:r>
      <w:r>
        <w:t>87</w:t>
      </w:r>
      <w:r>
        <w:rPr>
          <w:rFonts w:hint="eastAsia"/>
        </w:rPr>
        <w:t>億元。</w:t>
      </w:r>
    </w:p>
  </w:footnote>
  <w:footnote w:id="2">
    <w:p w:rsidR="00064496" w:rsidRPr="00422096" w:rsidRDefault="00064496" w:rsidP="00640605">
      <w:pPr>
        <w:pStyle w:val="142"/>
        <w:ind w:left="73" w:hangingChars="30" w:hanging="73"/>
        <w:jc w:val="both"/>
        <w:rPr>
          <w:snapToGrid/>
        </w:rPr>
      </w:pPr>
      <w:r w:rsidRPr="000B5818">
        <w:rPr>
          <w:snapToGrid/>
          <w:vertAlign w:val="superscript"/>
        </w:rPr>
        <w:footnoteRef/>
      </w:r>
      <w:r w:rsidRPr="00422096">
        <w:rPr>
          <w:rFonts w:hint="eastAsia"/>
          <w:snapToGrid/>
        </w:rPr>
        <w:t>參閱11</w:t>
      </w:r>
      <w:r w:rsidRPr="00422096">
        <w:rPr>
          <w:snapToGrid/>
        </w:rPr>
        <w:t>3</w:t>
      </w:r>
      <w:r w:rsidRPr="00422096">
        <w:rPr>
          <w:rFonts w:hint="eastAsia"/>
          <w:snapToGrid/>
        </w:rPr>
        <w:t>年3月7日立法院第</w:t>
      </w:r>
      <w:r w:rsidRPr="00422096">
        <w:rPr>
          <w:snapToGrid/>
        </w:rPr>
        <w:t>11</w:t>
      </w:r>
      <w:r w:rsidRPr="00422096">
        <w:rPr>
          <w:rFonts w:hint="eastAsia"/>
          <w:snapToGrid/>
        </w:rPr>
        <w:t>屆第1會期經濟委員會第</w:t>
      </w:r>
      <w:r w:rsidRPr="00422096">
        <w:rPr>
          <w:snapToGrid/>
        </w:rPr>
        <w:t>2</w:t>
      </w:r>
      <w:r w:rsidRPr="00422096">
        <w:rPr>
          <w:rFonts w:hint="eastAsia"/>
          <w:snapToGrid/>
        </w:rPr>
        <w:t>次全體委員會議之經濟部「電價調漲對產業、民生衝擊研擬配套措施」專案報告。</w:t>
      </w:r>
    </w:p>
  </w:footnote>
  <w:footnote w:id="3">
    <w:p w:rsidR="00064496" w:rsidRPr="004759FA" w:rsidRDefault="00064496" w:rsidP="00640605">
      <w:pPr>
        <w:pStyle w:val="142"/>
        <w:ind w:left="73" w:hangingChars="30" w:hanging="73"/>
        <w:jc w:val="both"/>
      </w:pPr>
      <w:r w:rsidRPr="000B5818">
        <w:rPr>
          <w:snapToGrid/>
          <w:vertAlign w:val="superscript"/>
        </w:rPr>
        <w:footnoteRef/>
      </w:r>
      <w:r w:rsidRPr="00422096">
        <w:rPr>
          <w:rFonts w:hint="eastAsia"/>
          <w:snapToGrid/>
        </w:rPr>
        <w:t>參閱國營事業109至111年度工作考成總報告「貳、整體成效」之「一、財政貢獻方面」之中油本期淨損原因說明。</w:t>
      </w:r>
    </w:p>
  </w:footnote>
  <w:footnote w:id="4">
    <w:p w:rsidR="00064496" w:rsidRPr="00C56C40" w:rsidRDefault="00064496" w:rsidP="00640605">
      <w:pPr>
        <w:pStyle w:val="142"/>
        <w:ind w:left="73" w:hangingChars="30" w:hanging="73"/>
        <w:jc w:val="both"/>
      </w:pPr>
      <w:r w:rsidRPr="00C56C40">
        <w:rPr>
          <w:snapToGrid/>
          <w:vertAlign w:val="superscript"/>
        </w:rPr>
        <w:footnoteRef/>
      </w:r>
      <w:r w:rsidRPr="00C56C40">
        <w:rPr>
          <w:rFonts w:hint="eastAsia"/>
          <w:snapToGrid/>
        </w:rPr>
        <w:t>參閱審計部</w:t>
      </w:r>
      <w:r>
        <w:rPr>
          <w:rFonts w:hint="eastAsia"/>
          <w:snapToGrid/>
        </w:rPr>
        <w:t>112年度</w:t>
      </w:r>
      <w:r w:rsidRPr="00C56C40">
        <w:rPr>
          <w:rFonts w:hint="eastAsia"/>
          <w:snapToGrid/>
        </w:rPr>
        <w:t>中央政府總決算附屬單位決算及綜計表審核報告</w:t>
      </w:r>
      <w:r>
        <w:rPr>
          <w:snapToGrid/>
        </w:rPr>
        <w:t>-</w:t>
      </w:r>
      <w:r w:rsidRPr="00C56C40">
        <w:rPr>
          <w:rFonts w:hint="eastAsia"/>
          <w:snapToGrid/>
        </w:rPr>
        <w:t>營業部分</w:t>
      </w:r>
      <w:r>
        <w:rPr>
          <w:rFonts w:hint="eastAsia"/>
          <w:snapToGrid/>
        </w:rPr>
        <w:t>第乙-59頁。</w:t>
      </w:r>
    </w:p>
  </w:footnote>
  <w:footnote w:id="5">
    <w:p w:rsidR="00064496" w:rsidRPr="00441018" w:rsidRDefault="00064496" w:rsidP="00640605">
      <w:pPr>
        <w:pStyle w:val="142"/>
        <w:ind w:left="73" w:hangingChars="30" w:hanging="73"/>
        <w:jc w:val="both"/>
      </w:pPr>
      <w:r w:rsidRPr="000B5818">
        <w:rPr>
          <w:snapToGrid/>
          <w:vertAlign w:val="superscript"/>
        </w:rPr>
        <w:footnoteRef/>
      </w:r>
      <w:r w:rsidRPr="00422096">
        <w:rPr>
          <w:rFonts w:hint="eastAsia"/>
          <w:snapToGrid/>
        </w:rPr>
        <w:t>參閱中油110至112年度</w:t>
      </w:r>
      <w:r>
        <w:rPr>
          <w:rFonts w:hint="eastAsia"/>
          <w:snapToGrid/>
        </w:rPr>
        <w:t>決算</w:t>
      </w:r>
      <w:r w:rsidRPr="00422096">
        <w:rPr>
          <w:rFonts w:hint="eastAsia"/>
          <w:snapToGrid/>
        </w:rPr>
        <w:t>之成本與售價比較表。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067E3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E2B15621-E037-489E-AD29-5641FC6A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CB58B-658E-4DC5-9C83-A4B575C4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161</Pages>
  <Words>996</Words>
  <Characters>5681</Characters>
  <Application>Microsoft Office Word</Application>
  <DocSecurity>0</DocSecurity>
  <Lines>47</Lines>
  <Paragraphs>13</Paragraphs>
  <ScaleCrop>false</ScaleCrop>
  <Company>HOME</Company>
  <LinksUpToDate>false</LinksUpToDate>
  <CharactersWithSpaces>6664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2024-09-24T07:49:00Z</dcterms:created>
  <dcterms:modified xsi:type="dcterms:W3CDTF">2024-09-24T07:49:00Z</dcterms:modified>
</cp:coreProperties>
</file>