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A09" w:rsidRDefault="00735357" w:rsidP="00D30A09">
      <w:pPr>
        <w:spacing w:afterLines="50" w:after="167"/>
        <w:rPr>
          <w:rFonts w:hint="eastAsia"/>
        </w:rPr>
      </w:pPr>
      <w:bookmarkStart w:id="0" w:name="_GoBack"/>
      <w:bookmarkEnd w:id="0"/>
      <w:r>
        <mc:AlternateContent>
          <mc:Choice Requires="wps">
            <w:drawing>
              <wp:anchor distT="0" distB="0" distL="114300" distR="114300" simplePos="0" relativeHeight="251658752" behindDoc="1" locked="1" layoutInCell="1" allowOverlap="1">
                <wp:simplePos x="0" y="0"/>
                <wp:positionH relativeFrom="column">
                  <wp:posOffset>-8255</wp:posOffset>
                </wp:positionH>
                <wp:positionV relativeFrom="paragraph">
                  <wp:posOffset>-330200</wp:posOffset>
                </wp:positionV>
                <wp:extent cx="952500" cy="317500"/>
                <wp:effectExtent l="0" t="0" r="0" b="6350"/>
                <wp:wrapNone/>
                <wp:docPr id="3"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175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B0C91" w:rsidRDefault="00DB0C91">
                            <w:pPr>
                              <w:spacing w:line="340" w:lineRule="exact"/>
                              <w:rPr>
                                <w:rFonts w:ascii="華康細明體"/>
                                <w:sz w:val="28"/>
                              </w:rPr>
                            </w:pPr>
                            <w:r>
                              <w:rPr>
                                <w:rFonts w:ascii="華康細明體" w:hint="eastAsia"/>
                                <w:sz w:val="28"/>
                              </w:rPr>
                              <w:t>更</w:t>
                            </w:r>
                            <w:r>
                              <w:rPr>
                                <w:rFonts w:ascii="華康細明體" w:hint="eastAsia"/>
                                <w:sz w:val="28"/>
                              </w:rPr>
                              <w:t xml:space="preserve"> </w:t>
                            </w:r>
                            <w:r>
                              <w:rPr>
                                <w:rFonts w:ascii="華康細明體" w:hint="eastAsia"/>
                                <w:sz w:val="28"/>
                              </w:rPr>
                              <w:t>正</w:t>
                            </w:r>
                            <w:r>
                              <w:rPr>
                                <w:rFonts w:ascii="華康細明體" w:hint="eastAsia"/>
                                <w:sz w:val="28"/>
                              </w:rPr>
                              <w:t xml:space="preserve"> </w:t>
                            </w:r>
                            <w:r>
                              <w:rPr>
                                <w:rFonts w:ascii="華康細明體" w:hint="eastAsia"/>
                                <w:sz w:val="28"/>
                              </w:rPr>
                              <w:t>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 o:spid="_x0000_s1026" type="#_x0000_t202" style="position:absolute;left:0;text-align:left;margin-left:-.65pt;margin-top:-26pt;width:75pt;height: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" filled="f" strokeweight="1pt">
                <v:textbox>
                  <w:txbxContent>
                    <w:p w:rsidR="00DB0C91" w:rsidRDefault="00DB0C91">
                      <w:pPr>
                        <w:spacing w:line="340" w:lineRule="exact"/>
                        <w:rPr>
                          <w:rFonts w:ascii="華康細明體"/>
                          <w:sz w:val="28"/>
                        </w:rPr>
                      </w:pPr>
                      <w:r>
                        <w:rPr>
                          <w:rFonts w:ascii="華康細明體" w:hint="eastAsia"/>
                          <w:sz w:val="28"/>
                        </w:rPr>
                        <w:t>更</w:t>
                      </w:r>
                      <w:r>
                        <w:rPr>
                          <w:rFonts w:ascii="華康細明體" w:hint="eastAsia"/>
                          <w:sz w:val="28"/>
                        </w:rPr>
                        <w:t xml:space="preserve"> </w:t>
                      </w:r>
                      <w:r>
                        <w:rPr>
                          <w:rFonts w:ascii="華康細明體" w:hint="eastAsia"/>
                          <w:sz w:val="28"/>
                        </w:rPr>
                        <w:t>正</w:t>
                      </w:r>
                      <w:r>
                        <w:rPr>
                          <w:rFonts w:ascii="華康細明體" w:hint="eastAsia"/>
                          <w:sz w:val="28"/>
                        </w:rPr>
                        <w:t xml:space="preserve"> </w:t>
                      </w:r>
                      <w:r>
                        <w:rPr>
                          <w:rFonts w:ascii="華康細明體" w:hint="eastAsia"/>
                          <w:sz w:val="28"/>
                        </w:rPr>
                        <w:t>本</w:t>
                      </w:r>
                    </w:p>
                  </w:txbxContent>
                </v:textbox>
                <w10:anchorlock/>
              </v:shape>
            </w:pict>
          </mc:Fallback>
        </mc:AlternateContent>
      </w:r>
      <w:r w:rsidR="00D30A09">
        <w:rPr>
          <w:rFonts w:hint="eastAsia"/>
        </w:rPr>
        <w:t xml:space="preserve">　　　　　　　　　　　　　　　　　　　　　　　　　　　　　</w:t>
      </w:r>
      <w:r w:rsidR="000E6FEB">
        <w:rPr>
          <w:rFonts w:hint="eastAsia"/>
        </w:rPr>
        <w:t>議案編號：</w:t>
      </w:r>
      <w:r w:rsidR="000E6FEB">
        <w:rPr>
          <w:rFonts w:hint="eastAsia"/>
        </w:rPr>
        <w:t>202110034550000</w:t>
      </w:r>
    </w:p>
    <w:p w:rsidR="00D30A09" w:rsidRDefault="00D30A09" w:rsidP="00D30A09">
      <w:pPr>
        <w:snapToGrid w:val="0"/>
        <w:ind w:leftChars="400" w:left="844"/>
        <w:rPr>
          <w:rFonts w:ascii="細明體" w:hAnsi="細明體" w:hint="eastAsia"/>
        </w:rPr>
      </w:pPr>
      <w:r w:rsidRPr="00D30A09">
        <w:rPr>
          <w:rFonts w:eastAsia="標楷體" w:hint="eastAsia"/>
          <w:kern w:val="0"/>
          <w:sz w:val="42"/>
        </w:rPr>
        <w:t>立法院議案關係文書</w:t>
      </w:r>
      <w:r>
        <w:rPr>
          <w:rFonts w:hint="eastAsia"/>
        </w:rPr>
        <w:t xml:space="preserve">　</w:t>
      </w:r>
      <w:r w:rsidR="00DB0C91">
        <w:rPr>
          <w:rFonts w:ascii="細明體" w:hAnsi="細明體"/>
        </w:rPr>
        <w:fldChar w:fldCharType="begin"/>
      </w:r>
      <w:r w:rsidR="00DB0C91">
        <w:rPr>
          <w:rFonts w:ascii="細明體" w:hAnsi="細明體"/>
        </w:rPr>
        <w:instrText xml:space="preserve"> </w:instrText>
      </w:r>
      <w:r w:rsidR="00DB0C91">
        <w:rPr>
          <w:rFonts w:ascii="細明體" w:hAnsi="細明體" w:hint="eastAsia"/>
        </w:rPr>
        <w:instrText>eq \o\ad(\s\up5(（中華民國41年9月起編號）),\s\do5(中華民國113年4月25日印發))</w:instrText>
      </w:r>
      <w:r w:rsidR="00DB0C91">
        <w:rPr>
          <w:rFonts w:ascii="細明體" w:hAnsi="細明體"/>
        </w:rPr>
        <w:fldChar w:fldCharType="end"/>
      </w:r>
    </w:p>
    <w:p w:rsidR="00D30A09" w:rsidRDefault="00D30A09" w:rsidP="00D30A09">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D30A09" w:rsidTr="008B659E">
        <w:tc>
          <w:tcPr>
            <w:tcW w:w="0" w:type="auto"/>
            <w:shd w:val="clear" w:color="auto" w:fill="auto"/>
            <w:vAlign w:val="center"/>
          </w:tcPr>
          <w:p w:rsidR="00D30A09" w:rsidRDefault="00D30A09" w:rsidP="008B659E">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D30A09" w:rsidRDefault="00D30A09" w:rsidP="008B659E">
            <w:pPr>
              <w:pStyle w:val="affff5"/>
              <w:ind w:leftChars="200" w:left="422"/>
              <w:rPr>
                <w:rFonts w:hint="eastAsia"/>
              </w:rPr>
            </w:pPr>
            <w:r>
              <w:rPr>
                <w:rFonts w:hint="eastAsia"/>
              </w:rPr>
              <w:t>委員</w:t>
            </w:r>
          </w:p>
        </w:tc>
        <w:tc>
          <w:tcPr>
            <w:tcW w:w="0" w:type="auto"/>
            <w:shd w:val="clear" w:color="auto" w:fill="auto"/>
            <w:vAlign w:val="center"/>
          </w:tcPr>
          <w:p w:rsidR="00D30A09" w:rsidRDefault="00D30A09" w:rsidP="008B659E">
            <w:pPr>
              <w:pStyle w:val="affff5"/>
              <w:rPr>
                <w:rFonts w:hint="eastAsia"/>
              </w:rPr>
            </w:pPr>
            <w:r>
              <w:rPr>
                <w:rFonts w:hint="eastAsia"/>
              </w:rPr>
              <w:t>提案第</w:t>
            </w:r>
          </w:p>
        </w:tc>
        <w:tc>
          <w:tcPr>
            <w:tcW w:w="0" w:type="auto"/>
            <w:shd w:val="clear" w:color="auto" w:fill="auto"/>
            <w:tcMar>
              <w:left w:w="113" w:type="dxa"/>
              <w:right w:w="113" w:type="dxa"/>
            </w:tcMar>
            <w:vAlign w:val="center"/>
          </w:tcPr>
          <w:p w:rsidR="00D30A09" w:rsidRDefault="00D30A09" w:rsidP="008B659E">
            <w:pPr>
              <w:pStyle w:val="affff5"/>
              <w:jc w:val="distribute"/>
              <w:rPr>
                <w:rFonts w:hint="eastAsia"/>
              </w:rPr>
            </w:pPr>
            <w:r>
              <w:t>11003455</w:t>
            </w:r>
          </w:p>
        </w:tc>
        <w:tc>
          <w:tcPr>
            <w:tcW w:w="0" w:type="auto"/>
            <w:shd w:val="clear" w:color="auto" w:fill="auto"/>
            <w:vAlign w:val="center"/>
          </w:tcPr>
          <w:p w:rsidR="00D30A09" w:rsidRDefault="00D30A09" w:rsidP="008B659E">
            <w:pPr>
              <w:pStyle w:val="affff5"/>
              <w:rPr>
                <w:rFonts w:hint="eastAsia"/>
              </w:rPr>
            </w:pPr>
            <w:r>
              <w:rPr>
                <w:rFonts w:hint="eastAsia"/>
              </w:rPr>
              <w:t>號</w:t>
            </w:r>
          </w:p>
        </w:tc>
        <w:tc>
          <w:tcPr>
            <w:tcW w:w="0" w:type="auto"/>
            <w:shd w:val="clear" w:color="auto" w:fill="auto"/>
            <w:vAlign w:val="center"/>
          </w:tcPr>
          <w:p w:rsidR="00D30A09" w:rsidRDefault="00D30A09" w:rsidP="008B659E">
            <w:pPr>
              <w:pStyle w:val="affff5"/>
              <w:rPr>
                <w:rFonts w:hint="eastAsia"/>
              </w:rPr>
            </w:pPr>
          </w:p>
        </w:tc>
        <w:tc>
          <w:tcPr>
            <w:tcW w:w="0" w:type="auto"/>
            <w:shd w:val="clear" w:color="auto" w:fill="auto"/>
            <w:tcMar>
              <w:left w:w="113" w:type="dxa"/>
            </w:tcMar>
            <w:vAlign w:val="center"/>
          </w:tcPr>
          <w:p w:rsidR="00D30A09" w:rsidRDefault="00D30A09" w:rsidP="008B659E">
            <w:pPr>
              <w:pStyle w:val="affff5"/>
              <w:rPr>
                <w:rFonts w:hint="eastAsia"/>
              </w:rPr>
            </w:pPr>
          </w:p>
        </w:tc>
      </w:tr>
    </w:tbl>
    <w:p w:rsidR="00D30A09" w:rsidRDefault="00D30A09" w:rsidP="00D30A09">
      <w:pPr>
        <w:pStyle w:val="afb"/>
        <w:spacing w:line="600" w:lineRule="exact"/>
        <w:ind w:left="1382" w:hanging="855"/>
        <w:rPr>
          <w:rFonts w:hint="eastAsia"/>
        </w:rPr>
      </w:pPr>
    </w:p>
    <w:p w:rsidR="00D30A09" w:rsidRPr="000E6FEB" w:rsidRDefault="00D30A09" w:rsidP="00D30A09">
      <w:pPr>
        <w:pStyle w:val="afb"/>
        <w:ind w:left="1382" w:hanging="855"/>
        <w:rPr>
          <w:rFonts w:hint="eastAsia"/>
          <w:spacing w:val="0"/>
        </w:rPr>
      </w:pPr>
      <w:r>
        <w:rPr>
          <w:rFonts w:hint="eastAsia"/>
        </w:rPr>
        <w:t>案由：本院委員王鴻薇等</w:t>
      </w:r>
      <w:r w:rsidR="00DB0C91">
        <w:rPr>
          <w:rFonts w:hint="eastAsia"/>
        </w:rPr>
        <w:t>20</w:t>
      </w:r>
      <w:r>
        <w:rPr>
          <w:rFonts w:hint="eastAsia"/>
        </w:rPr>
        <w:t>人，都市更新條例實施已滿</w:t>
      </w:r>
      <w:r>
        <w:rPr>
          <w:rFonts w:hint="eastAsia"/>
        </w:rPr>
        <w:t>26</w:t>
      </w:r>
      <w:r>
        <w:rPr>
          <w:rFonts w:hint="eastAsia"/>
        </w:rPr>
        <w:t>周年，然</w:t>
      </w:r>
      <w:r w:rsidRPr="000E6FEB">
        <w:rPr>
          <w:rFonts w:hint="eastAsia"/>
          <w:spacing w:val="8"/>
        </w:rPr>
        <w:t>，都更速度仍趕不上屋齡老化及天災受損之速度。現行都</w:t>
      </w:r>
      <w:r>
        <w:rPr>
          <w:rFonts w:hint="eastAsia"/>
        </w:rPr>
        <w:t>更條例針對容積獎勵以「興建完成」才能認定，國內不少建</w:t>
      </w:r>
      <w:r w:rsidRPr="00CE5882">
        <w:rPr>
          <w:rFonts w:hint="eastAsia"/>
          <w:spacing w:val="0"/>
        </w:rPr>
        <w:t>物是在容積管制實施前申請建照、容積管制實施後才完工，導</w:t>
      </w:r>
      <w:r w:rsidRPr="00CE5882">
        <w:rPr>
          <w:rFonts w:hint="eastAsia"/>
          <w:spacing w:val="6"/>
        </w:rPr>
        <w:t>致認定上產生爭議。且通常原容積會高於基準容積，實</w:t>
      </w:r>
      <w:r w:rsidRPr="00CE5882">
        <w:rPr>
          <w:rFonts w:hint="eastAsia"/>
          <w:spacing w:val="0"/>
        </w:rPr>
        <w:t>施容</w:t>
      </w:r>
      <w:r w:rsidRPr="00CE5882">
        <w:rPr>
          <w:rFonts w:hint="eastAsia"/>
          <w:spacing w:val="6"/>
        </w:rPr>
        <w:t>積管制前之合法建物，以原容積重建，都更時相對有利</w:t>
      </w:r>
      <w:r w:rsidRPr="00CE5882">
        <w:rPr>
          <w:rFonts w:hint="eastAsia"/>
          <w:spacing w:val="0"/>
        </w:rPr>
        <w:t>，民眾具有參與重建誘因。為同時保障合法建物權益及提升住戶參</w:t>
      </w:r>
      <w:r w:rsidRPr="00CE5882">
        <w:rPr>
          <w:rFonts w:hint="eastAsia"/>
          <w:spacing w:val="6"/>
        </w:rPr>
        <w:t>與都更誘因。爰擬具「都市更新條例第六十五條</w:t>
      </w:r>
      <w:r w:rsidR="000E6FEB" w:rsidRPr="00CE5882">
        <w:rPr>
          <w:rFonts w:hint="eastAsia"/>
          <w:spacing w:val="6"/>
        </w:rPr>
        <w:t>條文</w:t>
      </w:r>
      <w:r w:rsidRPr="00CE5882">
        <w:rPr>
          <w:rFonts w:hint="eastAsia"/>
          <w:spacing w:val="6"/>
        </w:rPr>
        <w:t>修</w:t>
      </w:r>
      <w:r w:rsidRPr="00CE5882">
        <w:rPr>
          <w:rFonts w:hint="eastAsia"/>
          <w:spacing w:val="0"/>
        </w:rPr>
        <w:t>正草案」。是否有當？敬請公決。</w:t>
      </w:r>
    </w:p>
    <w:p w:rsidR="00D30A09" w:rsidRPr="00D30A09" w:rsidRDefault="00D30A09" w:rsidP="00D30A09">
      <w:pPr>
        <w:pStyle w:val="afb"/>
        <w:ind w:left="1382" w:hanging="855"/>
        <w:rPr>
          <w:rFonts w:hint="eastAsia"/>
        </w:rPr>
      </w:pPr>
    </w:p>
    <w:p w:rsidR="00D30A09" w:rsidRDefault="00D30A09" w:rsidP="00D30A09">
      <w:pPr>
        <w:pStyle w:val="a4"/>
        <w:ind w:left="633" w:hanging="633"/>
        <w:rPr>
          <w:rFonts w:hint="eastAsia"/>
        </w:rPr>
      </w:pPr>
      <w:r>
        <w:rPr>
          <w:rFonts w:hint="eastAsia"/>
        </w:rPr>
        <w:t>說明：</w:t>
      </w:r>
    </w:p>
    <w:p w:rsidR="00D30A09" w:rsidRDefault="00D30A09" w:rsidP="00D30A09">
      <w:pPr>
        <w:pStyle w:val="afffff0"/>
        <w:ind w:left="633" w:hanging="422"/>
        <w:rPr>
          <w:rFonts w:hint="eastAsia"/>
        </w:rPr>
      </w:pPr>
      <w:r>
        <w:rPr>
          <w:rFonts w:hint="eastAsia"/>
        </w:rPr>
        <w:t>一、為提升都更申請之意願，《都市更新條例》針對容積管制前已興建完成之合法建築物規劃容積獎勵。然，目前都更速度仍趕不上屋齡老化及天災受損之速度。各縣市屋齡在</w:t>
      </w:r>
      <w:r>
        <w:rPr>
          <w:rFonts w:hint="eastAsia"/>
        </w:rPr>
        <w:t>30</w:t>
      </w:r>
      <w:r>
        <w:rPr>
          <w:rFonts w:hint="eastAsia"/>
        </w:rPr>
        <w:t>年以上的比例非常高，台北市高達</w:t>
      </w:r>
      <w:r>
        <w:rPr>
          <w:rFonts w:hint="eastAsia"/>
        </w:rPr>
        <w:t>7</w:t>
      </w:r>
      <w:r>
        <w:rPr>
          <w:rFonts w:hint="eastAsia"/>
        </w:rPr>
        <w:t>成、台南高雄也有</w:t>
      </w:r>
      <w:r>
        <w:rPr>
          <w:rFonts w:hint="eastAsia"/>
        </w:rPr>
        <w:t>5</w:t>
      </w:r>
      <w:r>
        <w:rPr>
          <w:rFonts w:hint="eastAsia"/>
        </w:rPr>
        <w:t>成，全台超過</w:t>
      </w:r>
      <w:r>
        <w:rPr>
          <w:rFonts w:hint="eastAsia"/>
        </w:rPr>
        <w:t>50</w:t>
      </w:r>
      <w:r>
        <w:rPr>
          <w:rFonts w:hint="eastAsia"/>
        </w:rPr>
        <w:t>年屋齡的有</w:t>
      </w:r>
      <w:r>
        <w:rPr>
          <w:rFonts w:hint="eastAsia"/>
        </w:rPr>
        <w:t>111</w:t>
      </w:r>
      <w:r>
        <w:rPr>
          <w:rFonts w:hint="eastAsia"/>
        </w:rPr>
        <w:t>萬戶，顯見危老房都更的迫切性。</w:t>
      </w:r>
    </w:p>
    <w:p w:rsidR="00D30A09" w:rsidRDefault="00D30A09" w:rsidP="00D30A09">
      <w:pPr>
        <w:pStyle w:val="afffff0"/>
        <w:ind w:left="633" w:hanging="422"/>
        <w:rPr>
          <w:rFonts w:hint="eastAsia"/>
        </w:rPr>
      </w:pPr>
      <w:r>
        <w:rPr>
          <w:rFonts w:hint="eastAsia"/>
        </w:rPr>
        <w:t>二、現</w:t>
      </w:r>
      <w:r w:rsidRPr="000E6FEB">
        <w:rPr>
          <w:rFonts w:hint="eastAsia"/>
          <w:spacing w:val="4"/>
        </w:rPr>
        <w:t>行都更條例針對容積獎勵以「興建完成」始可認定，然，全台仍有滿多建物，為容積管</w:t>
      </w:r>
      <w:r>
        <w:rPr>
          <w:rFonts w:hint="eastAsia"/>
        </w:rPr>
        <w:t>制實施前申請建照、在容積管制實施後才完工，導致認定上產生爭議。另，通常原容積會高於基準容積，實施容積管制前之合法建物，若以原容積重建，都更時相對有利，民眾將更具有參與重建誘因。</w:t>
      </w:r>
    </w:p>
    <w:p w:rsidR="00D30A09" w:rsidRDefault="00D30A09" w:rsidP="00D30A09">
      <w:pPr>
        <w:pStyle w:val="afffff0"/>
        <w:ind w:left="633" w:hanging="422"/>
        <w:rPr>
          <w:rFonts w:hint="eastAsia"/>
        </w:rPr>
      </w:pPr>
      <w:r>
        <w:rPr>
          <w:rFonts w:hint="eastAsia"/>
        </w:rPr>
        <w:t>三、為同時保障合法建物權益及提升住戶參與都更誘因，針對容積獎勵，改為實施容積管制前已「申請建照」的合法建物，即可以原容積重建或申請容積獎勵。</w:t>
      </w:r>
    </w:p>
    <w:p w:rsidR="00D30A09" w:rsidRDefault="00D30A09" w:rsidP="00D30A09">
      <w:pPr>
        <w:rPr>
          <w:rFonts w:hint="eastAsia"/>
        </w:rPr>
      </w:pPr>
    </w:p>
    <w:p w:rsidR="00D30A09" w:rsidRDefault="00D30A09" w:rsidP="00D30A09">
      <w:pPr>
        <w:pStyle w:val="-"/>
        <w:ind w:left="3165" w:right="633" w:hanging="844"/>
        <w:rPr>
          <w:rFonts w:hint="eastAsia"/>
        </w:rPr>
      </w:pPr>
      <w:r>
        <w:rPr>
          <w:rFonts w:hint="eastAsia"/>
        </w:rPr>
        <w:t xml:space="preserve">提案人：王鴻薇　　</w:t>
      </w:r>
    </w:p>
    <w:p w:rsidR="00D30A09" w:rsidRDefault="00D30A09" w:rsidP="000E6FEB">
      <w:pPr>
        <w:pStyle w:val="-"/>
        <w:ind w:left="3165" w:right="633" w:hanging="844"/>
      </w:pPr>
      <w:r>
        <w:rPr>
          <w:rFonts w:hint="eastAsia"/>
        </w:rPr>
        <w:t xml:space="preserve">連署人：黃　仁　　邱若華　　葛如鈞　　邱鎮軍　　</w:t>
      </w:r>
      <w:r w:rsidR="00057BD7">
        <w:rPr>
          <w:rFonts w:hint="eastAsia"/>
        </w:rPr>
        <w:t xml:space="preserve">涂權吉　　</w:t>
      </w:r>
      <w:r>
        <w:rPr>
          <w:rFonts w:hint="eastAsia"/>
        </w:rPr>
        <w:lastRenderedPageBreak/>
        <w:t>鄭天財</w:t>
      </w:r>
      <w:r>
        <w:t>Sra Kacaw</w:t>
      </w:r>
      <w:r w:rsidR="00057BD7">
        <w:rPr>
          <w:rFonts w:hint="eastAsia"/>
        </w:rPr>
        <w:t xml:space="preserve">　　</w:t>
      </w:r>
      <w:r w:rsidR="00057BD7">
        <w:rPr>
          <w:rFonts w:hint="eastAsia"/>
          <w:sz w:val="8"/>
        </w:rPr>
        <w:t xml:space="preserve">　</w:t>
      </w:r>
      <w:r>
        <w:rPr>
          <w:rFonts w:hint="eastAsia"/>
        </w:rPr>
        <w:t xml:space="preserve">林德福　　游　顥　　徐巧芯　　黃健豪　　蘇清泉　　馬文君　　傅崐萁　　洪孟楷　　高金素梅　</w:t>
      </w:r>
      <w:r w:rsidR="00083D45" w:rsidRPr="00083D45">
        <w:rPr>
          <w:rFonts w:hint="eastAsia"/>
        </w:rPr>
        <w:t xml:space="preserve">廖先翔　　林思銘　　</w:t>
      </w:r>
      <w:r w:rsidR="00DB0C91" w:rsidRPr="0033088D">
        <w:rPr>
          <w:rFonts w:ascii="細明體" w:hAnsi="細明體" w:hint="eastAsia"/>
          <w:szCs w:val="21"/>
        </w:rPr>
        <w:t xml:space="preserve">羅廷瑋　　楊瓊瓔　　</w:t>
      </w:r>
    </w:p>
    <w:p w:rsidR="00D30A09" w:rsidRDefault="00D30A09" w:rsidP="00D30A09">
      <w:pPr>
        <w:pStyle w:val="affffe"/>
        <w:ind w:firstLine="422"/>
        <w:sectPr w:rsidR="00D30A09" w:rsidSect="00116B1A">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767"/>
          <w:cols w:space="720"/>
          <w:docGrid w:type="linesAndChars" w:linePitch="335" w:charSpace="200"/>
        </w:sectPr>
      </w:pPr>
    </w:p>
    <w:p w:rsidR="00D30A09" w:rsidRDefault="00D30A09" w:rsidP="000E6FEB">
      <w:pPr>
        <w:spacing w:line="14" w:lineRule="exact"/>
        <w:sectPr w:rsidR="00D30A09" w:rsidSect="00D30A09">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D30A09" w:rsidTr="008B659E">
        <w:tc>
          <w:tcPr>
            <w:tcW w:w="9128" w:type="dxa"/>
            <w:gridSpan w:val="3"/>
            <w:tcBorders>
              <w:top w:val="nil"/>
              <w:left w:val="nil"/>
              <w:bottom w:val="nil"/>
              <w:right w:val="nil"/>
            </w:tcBorders>
            <w:shd w:val="clear" w:color="auto" w:fill="auto"/>
          </w:tcPr>
          <w:p w:rsidR="00D30A09" w:rsidRPr="008B659E" w:rsidRDefault="00D30A09" w:rsidP="008B659E">
            <w:pPr>
              <w:spacing w:before="105" w:after="105" w:line="480" w:lineRule="exact"/>
              <w:ind w:leftChars="500" w:left="1055"/>
              <w:rPr>
                <w:rFonts w:ascii="標楷體" w:eastAsia="標楷體" w:hAnsi="標楷體" w:hint="eastAsia"/>
                <w:sz w:val="28"/>
              </w:rPr>
            </w:pPr>
            <w:r w:rsidRPr="008B659E">
              <w:rPr>
                <w:rFonts w:ascii="標楷體" w:eastAsia="標楷體" w:hAnsi="標楷體"/>
                <w:sz w:val="28"/>
              </w:rPr>
              <w:br w:type="page"/>
              <w:t>都市更新條例第六十五條條文修正草案對照表</w:t>
            </w:r>
            <w:bookmarkStart w:id="1" w:name="TA2181039"/>
            <w:bookmarkEnd w:id="1"/>
          </w:p>
        </w:tc>
      </w:tr>
      <w:tr w:rsidR="00D30A09" w:rsidTr="008B659E">
        <w:tc>
          <w:tcPr>
            <w:tcW w:w="3042" w:type="dxa"/>
            <w:tcBorders>
              <w:top w:val="nil"/>
            </w:tcBorders>
            <w:shd w:val="clear" w:color="auto" w:fill="auto"/>
          </w:tcPr>
          <w:p w:rsidR="00D30A09" w:rsidRDefault="00735357" w:rsidP="008B659E">
            <w:pPr>
              <w:pStyle w:val="aff8"/>
              <w:ind w:left="105" w:right="105"/>
              <w:rPr>
                <w:rFonts w:hint="eastAsia"/>
              </w:rPr>
            </w:pPr>
            <w:r>
              <w:rPr>
                <w:rFonts w:hint="eastAsia"/>
              </w:rPr>
              <mc:AlternateContent>
                <mc:Choice Requires="wps">
                  <w:drawing>
                    <wp:anchor distT="0" distB="0" distL="114300" distR="114300" simplePos="0" relativeHeight="251657728"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31320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6C020" id="DW313209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BQ5If0GAIAACwEAAAOAAAAAAAAAAAAAAAAAC4CAABkcnMvZTJvRG9jLnhtbFBLAQItABQABgAI&#10;AAAAIQDzdpd93AAAAAgBAAAPAAAAAAAAAAAAAAAAAHIEAABkcnMvZG93bnJldi54bWxQSwUGAAAA&#10;AAQABADzAAAAewUAAAAA&#10;" strokeweight="1.5pt"/>
                  </w:pict>
                </mc:Fallback>
              </mc:AlternateContent>
            </w:r>
            <w:r w:rsidR="00D30A09">
              <w:rPr>
                <w:rFonts w:hint="eastAsia"/>
              </w:rPr>
              <w:t>修正條文</w:t>
            </w:r>
          </w:p>
        </w:tc>
        <w:tc>
          <w:tcPr>
            <w:tcW w:w="3043" w:type="dxa"/>
            <w:tcBorders>
              <w:top w:val="nil"/>
            </w:tcBorders>
            <w:shd w:val="clear" w:color="auto" w:fill="auto"/>
          </w:tcPr>
          <w:p w:rsidR="00D30A09" w:rsidRDefault="00D30A09" w:rsidP="008B659E">
            <w:pPr>
              <w:pStyle w:val="aff8"/>
              <w:ind w:left="105" w:right="105"/>
              <w:rPr>
                <w:rFonts w:hint="eastAsia"/>
              </w:rPr>
            </w:pPr>
            <w:r>
              <w:rPr>
                <w:rFonts w:hint="eastAsia"/>
              </w:rPr>
              <w:t>現行條文</w:t>
            </w:r>
          </w:p>
        </w:tc>
        <w:tc>
          <w:tcPr>
            <w:tcW w:w="3043" w:type="dxa"/>
            <w:tcBorders>
              <w:top w:val="nil"/>
            </w:tcBorders>
            <w:shd w:val="clear" w:color="auto" w:fill="auto"/>
          </w:tcPr>
          <w:p w:rsidR="00D30A09" w:rsidRDefault="00D30A09" w:rsidP="008B659E">
            <w:pPr>
              <w:pStyle w:val="aff8"/>
              <w:ind w:left="105" w:right="105"/>
              <w:rPr>
                <w:rFonts w:hint="eastAsia"/>
              </w:rPr>
            </w:pPr>
            <w:r>
              <w:rPr>
                <w:rFonts w:hint="eastAsia"/>
              </w:rPr>
              <w:t>說明</w:t>
            </w:r>
          </w:p>
        </w:tc>
      </w:tr>
      <w:tr w:rsidR="00D30A09" w:rsidTr="008B659E">
        <w:tc>
          <w:tcPr>
            <w:tcW w:w="3042" w:type="dxa"/>
            <w:shd w:val="clear" w:color="auto" w:fill="auto"/>
          </w:tcPr>
          <w:p w:rsidR="00D30A09" w:rsidRDefault="00D30A09" w:rsidP="008B659E">
            <w:pPr>
              <w:spacing w:line="315" w:lineRule="exact"/>
              <w:ind w:leftChars="50" w:left="316" w:rightChars="50" w:right="105" w:hangingChars="100" w:hanging="211"/>
              <w:rPr>
                <w:rFonts w:hint="eastAsia"/>
              </w:rPr>
            </w:pPr>
            <w:r>
              <w:rPr>
                <w:rFonts w:hint="eastAsia"/>
              </w:rPr>
              <w:t>第六十五條　都市更新事業計畫範圍內之建築基地，得視都市更新事業需要，給予適度之建築容積獎勵；獎勵後之建築容積，不得超過各該建築基地一點五倍之基準容積，且不得超過都市計畫法第八十五條所定施行細則之規定。</w:t>
            </w:r>
          </w:p>
          <w:p w:rsidR="00D30A09" w:rsidRDefault="00D30A09" w:rsidP="008B659E">
            <w:pPr>
              <w:spacing w:line="315" w:lineRule="exact"/>
              <w:ind w:leftChars="150" w:left="316" w:rightChars="50" w:right="105" w:firstLineChars="200" w:firstLine="422"/>
              <w:rPr>
                <w:rFonts w:hint="eastAsia"/>
              </w:rPr>
            </w:pPr>
            <w:r>
              <w:rPr>
                <w:rFonts w:hint="eastAsia"/>
              </w:rPr>
              <w:t>有下列各款情形之一者，其獎勵後之建築容積得依下列規定擇優辦理，不受前項後段規定之限制：</w:t>
            </w:r>
          </w:p>
          <w:p w:rsidR="00D30A09" w:rsidRDefault="00D30A09" w:rsidP="008B659E">
            <w:pPr>
              <w:spacing w:line="315" w:lineRule="exact"/>
              <w:ind w:leftChars="150" w:left="527" w:rightChars="50" w:right="105" w:hangingChars="100" w:hanging="211"/>
              <w:rPr>
                <w:rFonts w:hint="eastAsia"/>
              </w:rPr>
            </w:pPr>
            <w:r>
              <w:rPr>
                <w:rFonts w:hint="eastAsia"/>
              </w:rPr>
              <w:t>一、實施容積管制前已</w:t>
            </w:r>
            <w:r w:rsidRPr="008B659E">
              <w:rPr>
                <w:rFonts w:hint="eastAsia"/>
                <w:u w:val="single"/>
              </w:rPr>
              <w:t>申請建造執照</w:t>
            </w:r>
            <w:r>
              <w:rPr>
                <w:rFonts w:hint="eastAsia"/>
              </w:rPr>
              <w:t>之合法建築物，其原建築容積高於基準容積：不得超過各該建築基地零點三倍之基準容積再加其原建築容積，或各該建築基地一點二倍之原建築容積。</w:t>
            </w:r>
          </w:p>
          <w:p w:rsidR="00D30A09" w:rsidRDefault="00D30A09" w:rsidP="008B659E">
            <w:pPr>
              <w:spacing w:line="315" w:lineRule="exact"/>
              <w:ind w:leftChars="150" w:left="527" w:rightChars="50" w:right="105" w:hangingChars="100" w:hanging="211"/>
              <w:rPr>
                <w:rFonts w:hint="eastAsia"/>
              </w:rPr>
            </w:pPr>
            <w:r>
              <w:rPr>
                <w:rFonts w:hint="eastAsia"/>
              </w:rPr>
              <w:t>二、前款合法建築物經直轄市、縣（市）主管機關認定屬高氯離子鋼筋混凝土或耐震能力不足而有明顯危害公共安全：不得超過各該建築基地一點三倍之原建築容積。</w:t>
            </w:r>
          </w:p>
          <w:p w:rsidR="00D30A09" w:rsidRDefault="00D30A09" w:rsidP="008B659E">
            <w:pPr>
              <w:spacing w:line="315" w:lineRule="exact"/>
              <w:ind w:leftChars="150" w:left="527" w:rightChars="50" w:right="105" w:hangingChars="100" w:hanging="211"/>
              <w:rPr>
                <w:rFonts w:hint="eastAsia"/>
              </w:rPr>
            </w:pPr>
            <w:r>
              <w:rPr>
                <w:rFonts w:hint="eastAsia"/>
              </w:rPr>
              <w:t>三、各級主管機關依第八條劃定或變更策略性更新地區，屬依第十二條第一項規定方式辦理，且更新單元面積達一萬平方公尺以上：不得超過各該建築基地二倍之基準容積或各該建築基地零點五倍之基準容積再加其原建築容積。</w:t>
            </w:r>
          </w:p>
          <w:p w:rsidR="00D30A09" w:rsidRDefault="00D30A09" w:rsidP="008B659E">
            <w:pPr>
              <w:spacing w:line="315" w:lineRule="exact"/>
              <w:ind w:leftChars="150" w:left="316" w:rightChars="50" w:right="105" w:firstLineChars="200" w:firstLine="422"/>
              <w:rPr>
                <w:rFonts w:hint="eastAsia"/>
              </w:rPr>
            </w:pPr>
            <w:r>
              <w:rPr>
                <w:rFonts w:hint="eastAsia"/>
              </w:rPr>
              <w:t>符合前項第二款情形之</w:t>
            </w:r>
            <w:r>
              <w:rPr>
                <w:rFonts w:hint="eastAsia"/>
              </w:rPr>
              <w:lastRenderedPageBreak/>
              <w:t>建築物，得依該款獎勵後之建築容積上限額度建築，且不得再申請第五項所定辦法、自治法規及其他法令規定之建築容積獎勵項目。</w:t>
            </w:r>
          </w:p>
          <w:p w:rsidR="00D30A09" w:rsidRDefault="00D30A09" w:rsidP="008B659E">
            <w:pPr>
              <w:spacing w:line="315" w:lineRule="exact"/>
              <w:ind w:leftChars="150" w:left="316" w:rightChars="50" w:right="105" w:firstLineChars="200" w:firstLine="422"/>
              <w:rPr>
                <w:rFonts w:hint="eastAsia"/>
              </w:rPr>
            </w:pPr>
            <w:r>
              <w:rPr>
                <w:rFonts w:hint="eastAsia"/>
              </w:rPr>
              <w:t>依第七條、第八條規定劃定或變更之更新地區，於實施都市更新事業時，其建築物高度及建蔽率得酌予放寬；其標準，由直轄市、縣（市）主管機關定之。但建蔽率之放寬以住宅區之基地為</w:t>
            </w:r>
            <w:r w:rsidRPr="000E6FEB">
              <w:rPr>
                <w:rFonts w:hint="eastAsia"/>
                <w:spacing w:val="2"/>
              </w:rPr>
              <w:t>限，且不得超過原建蔽率</w:t>
            </w:r>
            <w:r>
              <w:rPr>
                <w:rFonts w:hint="eastAsia"/>
              </w:rPr>
              <w:t>。</w:t>
            </w:r>
          </w:p>
          <w:p w:rsidR="00D30A09" w:rsidRDefault="00D30A09" w:rsidP="008B659E">
            <w:pPr>
              <w:spacing w:line="315" w:lineRule="exact"/>
              <w:ind w:leftChars="150" w:left="316" w:rightChars="50" w:right="105" w:firstLineChars="200" w:firstLine="422"/>
              <w:rPr>
                <w:rFonts w:hint="eastAsia"/>
              </w:rPr>
            </w:pPr>
            <w:r>
              <w:rPr>
                <w:rFonts w:hint="eastAsia"/>
              </w:rPr>
              <w:t>第一項、第二項第一款及第三款建築容積獎勵之項目、計算方式、額度、申請條件及其他相關事項之辦法，由中央主管機關定之；直轄市、縣（市）主管機關基於都市發展特性之需要，得以自治法規另訂獎勵之項目、計算方式、額度、申請條件及其他應遵行事項。</w:t>
            </w:r>
          </w:p>
          <w:p w:rsidR="00D30A09" w:rsidRDefault="00D30A09" w:rsidP="008B659E">
            <w:pPr>
              <w:spacing w:line="315" w:lineRule="exact"/>
              <w:ind w:leftChars="150" w:left="316" w:rightChars="50" w:right="105" w:firstLineChars="200" w:firstLine="422"/>
              <w:rPr>
                <w:rFonts w:hint="eastAsia"/>
              </w:rPr>
            </w:pPr>
            <w:r>
              <w:rPr>
                <w:rFonts w:hint="eastAsia"/>
              </w:rPr>
              <w:t>依前項直轄市、縣（市）自治法規給予之建築容積獎勵，不得超過各該建築基地零點二倍之基準容積。但依第二項第三款規定辦理者，不得超過各該建築基地零點四倍之基準容積。</w:t>
            </w:r>
          </w:p>
          <w:p w:rsidR="00D30A09" w:rsidRDefault="00D30A09" w:rsidP="008B659E">
            <w:pPr>
              <w:spacing w:line="315" w:lineRule="exact"/>
              <w:ind w:leftChars="150" w:left="316" w:rightChars="50" w:right="105" w:firstLineChars="200" w:firstLine="422"/>
              <w:rPr>
                <w:rFonts w:hint="eastAsia"/>
              </w:rPr>
            </w:pPr>
            <w:r>
              <w:rPr>
                <w:rFonts w:hint="eastAsia"/>
              </w:rPr>
              <w:t>各級主管機關依第五項規定訂定辦法或自治法規有關獎勵之項目，應考量對都市環境之貢獻、公共設施服務水準之影響、文化資產保存維護之貢獻、新技術之應用及有助於都市更新事業之實施等因素。</w:t>
            </w:r>
          </w:p>
          <w:p w:rsidR="00D30A09" w:rsidRDefault="00D30A09" w:rsidP="008B659E">
            <w:pPr>
              <w:spacing w:line="315" w:lineRule="exact"/>
              <w:ind w:leftChars="150" w:left="316" w:rightChars="50" w:right="105" w:firstLineChars="200" w:firstLine="422"/>
              <w:rPr>
                <w:rFonts w:hint="eastAsia"/>
              </w:rPr>
            </w:pPr>
            <w:r>
              <w:rPr>
                <w:rFonts w:hint="eastAsia"/>
              </w:rPr>
              <w:t>第二項第二款及第五十七條第三項耐震能力不足建築物而有明顯危害公共安全</w:t>
            </w:r>
            <w:r>
              <w:rPr>
                <w:rFonts w:hint="eastAsia"/>
              </w:rPr>
              <w:lastRenderedPageBreak/>
              <w:t>之認定方式、程序、基準及其他相關事項之辦法，由中央主管機關定之。</w:t>
            </w:r>
          </w:p>
          <w:p w:rsidR="00D30A09" w:rsidRDefault="00D30A09" w:rsidP="008B659E">
            <w:pPr>
              <w:spacing w:line="315" w:lineRule="exact"/>
              <w:ind w:leftChars="150" w:left="316" w:rightChars="50" w:right="105" w:firstLineChars="200" w:firstLine="422"/>
              <w:rPr>
                <w:rFonts w:hint="eastAsia"/>
              </w:rPr>
            </w:pPr>
            <w:r>
              <w:rPr>
                <w:rFonts w:hint="eastAsia"/>
              </w:rPr>
              <w:t>都市更新事業計畫於本條例中華民國一百零八年一月三十日修正施行前擬訂報核</w:t>
            </w:r>
            <w:r w:rsidRPr="000E6FEB">
              <w:rPr>
                <w:rFonts w:hint="eastAsia"/>
                <w:spacing w:val="2"/>
              </w:rPr>
              <w:t>者，得適用修正前之規定</w:t>
            </w:r>
            <w:r>
              <w:rPr>
                <w:rFonts w:hint="eastAsia"/>
              </w:rPr>
              <w:t>。</w:t>
            </w:r>
          </w:p>
        </w:tc>
        <w:tc>
          <w:tcPr>
            <w:tcW w:w="3043" w:type="dxa"/>
            <w:shd w:val="clear" w:color="auto" w:fill="auto"/>
          </w:tcPr>
          <w:p w:rsidR="00D30A09" w:rsidRDefault="00D30A09" w:rsidP="008B659E">
            <w:pPr>
              <w:spacing w:line="315" w:lineRule="exact"/>
              <w:ind w:leftChars="50" w:left="316" w:rightChars="50" w:right="105" w:hangingChars="100" w:hanging="211"/>
              <w:rPr>
                <w:rFonts w:hint="eastAsia"/>
              </w:rPr>
            </w:pPr>
            <w:r>
              <w:rPr>
                <w:rFonts w:hint="eastAsia"/>
              </w:rPr>
              <w:lastRenderedPageBreak/>
              <w:t>第六十五條　都市更新事業計畫範圍內之建築基地，得視都市更新事業需要，給予適度之建築容積獎勵；獎勵後之建築容積，不得超過各該建築基地一點五倍之基準容積，且不得超過都市計畫法第八十五條所定施行細則之規定。</w:t>
            </w:r>
          </w:p>
          <w:p w:rsidR="00D30A09" w:rsidRDefault="00D30A09" w:rsidP="008B659E">
            <w:pPr>
              <w:spacing w:line="315" w:lineRule="exact"/>
              <w:ind w:leftChars="150" w:left="316" w:rightChars="50" w:right="105" w:firstLineChars="200" w:firstLine="422"/>
              <w:rPr>
                <w:rFonts w:hint="eastAsia"/>
              </w:rPr>
            </w:pPr>
            <w:r>
              <w:rPr>
                <w:rFonts w:hint="eastAsia"/>
              </w:rPr>
              <w:t>有下列各款情形之一者，其獎勵後之建築容積得依下列規定擇優辦理，不受前項後段規定之限制：</w:t>
            </w:r>
          </w:p>
          <w:p w:rsidR="00D30A09" w:rsidRDefault="00D30A09" w:rsidP="008B659E">
            <w:pPr>
              <w:spacing w:line="315" w:lineRule="exact"/>
              <w:ind w:leftChars="150" w:left="527" w:rightChars="50" w:right="105" w:hangingChars="100" w:hanging="211"/>
              <w:rPr>
                <w:rFonts w:hint="eastAsia"/>
              </w:rPr>
            </w:pPr>
            <w:r>
              <w:rPr>
                <w:rFonts w:hint="eastAsia"/>
              </w:rPr>
              <w:t>一、實施容積管制前已興建完成之合法建築物，其原建築容積高於基準容積：不得超過各該建築基地零點三倍之基準容積再加其原建築容積，或各該建築基地一點二倍之原建築容積。</w:t>
            </w:r>
          </w:p>
          <w:p w:rsidR="00D30A09" w:rsidRDefault="00D30A09" w:rsidP="008B659E">
            <w:pPr>
              <w:spacing w:line="315" w:lineRule="exact"/>
              <w:ind w:leftChars="150" w:left="527" w:rightChars="50" w:right="105" w:hangingChars="100" w:hanging="211"/>
              <w:rPr>
                <w:rFonts w:hint="eastAsia"/>
              </w:rPr>
            </w:pPr>
            <w:r>
              <w:rPr>
                <w:rFonts w:hint="eastAsia"/>
              </w:rPr>
              <w:t>二、前款合法建築物經直轄市、縣（市）主管機關認定屬高氯離子鋼筋混凝土或耐震能力不足而有明顯危害公共安全：不得超過各該建築基地一點三倍之原建築容積。</w:t>
            </w:r>
          </w:p>
          <w:p w:rsidR="00D30A09" w:rsidRDefault="00D30A09" w:rsidP="008B659E">
            <w:pPr>
              <w:spacing w:line="315" w:lineRule="exact"/>
              <w:ind w:leftChars="150" w:left="527" w:rightChars="50" w:right="105" w:hangingChars="100" w:hanging="211"/>
              <w:rPr>
                <w:rFonts w:hint="eastAsia"/>
              </w:rPr>
            </w:pPr>
            <w:r>
              <w:rPr>
                <w:rFonts w:hint="eastAsia"/>
              </w:rPr>
              <w:t>三、各級主管機關依第八條劃定或變更策略性更新地區，屬依第十二條第一項規定方式辦理，且更新單元面積達一萬平方公尺以上：不得超過各該建築基地二倍之基準容積或各該建築基地零點五倍之基準容積再加其原建築容積。</w:t>
            </w:r>
          </w:p>
          <w:p w:rsidR="00D30A09" w:rsidRDefault="00D30A09" w:rsidP="008B659E">
            <w:pPr>
              <w:spacing w:line="315" w:lineRule="exact"/>
              <w:ind w:leftChars="150" w:left="316" w:rightChars="50" w:right="105" w:firstLineChars="200" w:firstLine="422"/>
              <w:rPr>
                <w:rFonts w:hint="eastAsia"/>
              </w:rPr>
            </w:pPr>
            <w:r>
              <w:rPr>
                <w:rFonts w:hint="eastAsia"/>
              </w:rPr>
              <w:t>符合前項第二款情形之</w:t>
            </w:r>
            <w:r>
              <w:rPr>
                <w:rFonts w:hint="eastAsia"/>
              </w:rPr>
              <w:lastRenderedPageBreak/>
              <w:t>建築物，得依該款獎勵後之建築容積上限額度建築，且不得再申請第五項所定辦法、自治法規及其他法令規定之建築容積獎勵項目。</w:t>
            </w:r>
          </w:p>
          <w:p w:rsidR="00D30A09" w:rsidRDefault="00D30A09" w:rsidP="008B659E">
            <w:pPr>
              <w:spacing w:line="315" w:lineRule="exact"/>
              <w:ind w:leftChars="150" w:left="316" w:rightChars="50" w:right="105" w:firstLineChars="200" w:firstLine="422"/>
              <w:rPr>
                <w:rFonts w:hint="eastAsia"/>
              </w:rPr>
            </w:pPr>
            <w:r>
              <w:rPr>
                <w:rFonts w:hint="eastAsia"/>
              </w:rPr>
              <w:t>依第七條、第八條規定劃定或變更之更新地區，於實施都市更新事業時，其建築物高度及建蔽率得酌予放寬；其標準，由直轄市、縣（市）主管機關定之。但建蔽率之放寬以住宅區之基地為</w:t>
            </w:r>
            <w:r w:rsidRPr="000E6FEB">
              <w:rPr>
                <w:rFonts w:hint="eastAsia"/>
                <w:spacing w:val="2"/>
              </w:rPr>
              <w:t>限，且不得超過原建蔽率</w:t>
            </w:r>
            <w:r>
              <w:rPr>
                <w:rFonts w:hint="eastAsia"/>
              </w:rPr>
              <w:t>。</w:t>
            </w:r>
          </w:p>
          <w:p w:rsidR="00D30A09" w:rsidRDefault="00D30A09" w:rsidP="008B659E">
            <w:pPr>
              <w:spacing w:line="315" w:lineRule="exact"/>
              <w:ind w:leftChars="150" w:left="316" w:rightChars="50" w:right="105" w:firstLineChars="200" w:firstLine="422"/>
              <w:rPr>
                <w:rFonts w:hint="eastAsia"/>
              </w:rPr>
            </w:pPr>
            <w:r>
              <w:rPr>
                <w:rFonts w:hint="eastAsia"/>
              </w:rPr>
              <w:t>第一項、第二項第一款及第三款建築容積獎勵之項目、計算方式、額度、申請條件及其他相關事項之辦法，由中央主管機關定之；直轄市、縣（市）主管機關基於都市發展特性之需要，得以自治法規另訂獎勵之項目、計算方式、額度、申請條件及其他應遵行事項。</w:t>
            </w:r>
          </w:p>
          <w:p w:rsidR="00D30A09" w:rsidRDefault="00D30A09" w:rsidP="008B659E">
            <w:pPr>
              <w:spacing w:line="315" w:lineRule="exact"/>
              <w:ind w:leftChars="150" w:left="316" w:rightChars="50" w:right="105" w:firstLineChars="200" w:firstLine="422"/>
              <w:rPr>
                <w:rFonts w:hint="eastAsia"/>
              </w:rPr>
            </w:pPr>
            <w:r>
              <w:rPr>
                <w:rFonts w:hint="eastAsia"/>
              </w:rPr>
              <w:t>依前項直轄市、縣（市）自治法規給予之建築容積獎勵，不得超過各該建築基地零點二倍之基準容積。但依第二項第三款規定辦理者，不得超過各該建築基地零點四倍之基準容積。</w:t>
            </w:r>
          </w:p>
          <w:p w:rsidR="00D30A09" w:rsidRDefault="00D30A09" w:rsidP="008B659E">
            <w:pPr>
              <w:spacing w:line="315" w:lineRule="exact"/>
              <w:ind w:leftChars="150" w:left="316" w:rightChars="50" w:right="105" w:firstLineChars="200" w:firstLine="422"/>
              <w:rPr>
                <w:rFonts w:hint="eastAsia"/>
              </w:rPr>
            </w:pPr>
            <w:r>
              <w:rPr>
                <w:rFonts w:hint="eastAsia"/>
              </w:rPr>
              <w:t>各級主管機關依第五項規定訂定辦法或自治法規有關獎勵之項目，應考量對都市環境之貢獻、公共設施服務水準之影響、文化資產保存維護之貢獻、新技術之應用及有助於都市更新事業之實施等因素。</w:t>
            </w:r>
          </w:p>
          <w:p w:rsidR="00D30A09" w:rsidRDefault="00D30A09" w:rsidP="008B659E">
            <w:pPr>
              <w:spacing w:line="315" w:lineRule="exact"/>
              <w:ind w:leftChars="150" w:left="316" w:rightChars="50" w:right="105" w:firstLineChars="200" w:firstLine="422"/>
              <w:rPr>
                <w:rFonts w:hint="eastAsia"/>
              </w:rPr>
            </w:pPr>
            <w:r>
              <w:rPr>
                <w:rFonts w:hint="eastAsia"/>
              </w:rPr>
              <w:t>第二項第二款及第五十七條第三項耐震能力不足建築物而有明顯危害公共安全</w:t>
            </w:r>
            <w:r>
              <w:rPr>
                <w:rFonts w:hint="eastAsia"/>
              </w:rPr>
              <w:lastRenderedPageBreak/>
              <w:t>之認定方式、程序、基準及其他相關事項之辦法，由中央主管機關定之。</w:t>
            </w:r>
          </w:p>
          <w:p w:rsidR="00D30A09" w:rsidRDefault="00D30A09" w:rsidP="008B659E">
            <w:pPr>
              <w:spacing w:line="315" w:lineRule="exact"/>
              <w:ind w:leftChars="150" w:left="316" w:rightChars="50" w:right="105" w:firstLineChars="200" w:firstLine="422"/>
              <w:rPr>
                <w:rFonts w:hint="eastAsia"/>
              </w:rPr>
            </w:pPr>
            <w:r>
              <w:rPr>
                <w:rFonts w:hint="eastAsia"/>
              </w:rPr>
              <w:t>都市更新事業計畫於本條例中華民國一百零八年一月三十日修正施行前擬訂報核</w:t>
            </w:r>
            <w:r w:rsidRPr="000E6FEB">
              <w:rPr>
                <w:rFonts w:hint="eastAsia"/>
                <w:spacing w:val="2"/>
              </w:rPr>
              <w:t>者，得適用修正前之規定</w:t>
            </w:r>
            <w:r>
              <w:rPr>
                <w:rFonts w:hint="eastAsia"/>
              </w:rPr>
              <w:t>。</w:t>
            </w:r>
          </w:p>
        </w:tc>
        <w:tc>
          <w:tcPr>
            <w:tcW w:w="3043" w:type="dxa"/>
            <w:shd w:val="clear" w:color="auto" w:fill="auto"/>
          </w:tcPr>
          <w:p w:rsidR="00D30A09" w:rsidRDefault="00D30A09" w:rsidP="008B659E">
            <w:pPr>
              <w:spacing w:line="315" w:lineRule="exact"/>
              <w:ind w:leftChars="50" w:left="316" w:rightChars="50" w:right="105" w:hangingChars="100" w:hanging="211"/>
              <w:rPr>
                <w:rFonts w:hint="eastAsia"/>
              </w:rPr>
            </w:pPr>
            <w:r>
              <w:rPr>
                <w:rFonts w:hint="eastAsia"/>
              </w:rPr>
              <w:lastRenderedPageBreak/>
              <w:t>一、為提升都更申請之意願，《都市更新條例》針對容積管制前已興建完成之合法建築物規劃容積獎勵。然，目前都更速度仍趕不上屋齡老化及天災受損之速度。各縣市屋齡在</w:t>
            </w:r>
            <w:r>
              <w:rPr>
                <w:rFonts w:hint="eastAsia"/>
              </w:rPr>
              <w:t>30</w:t>
            </w:r>
            <w:r>
              <w:rPr>
                <w:rFonts w:hint="eastAsia"/>
              </w:rPr>
              <w:t>年以上的比例非常高，台北市高達</w:t>
            </w:r>
            <w:r>
              <w:rPr>
                <w:rFonts w:hint="eastAsia"/>
              </w:rPr>
              <w:t>7</w:t>
            </w:r>
            <w:r>
              <w:rPr>
                <w:rFonts w:hint="eastAsia"/>
              </w:rPr>
              <w:t>成、台南高雄也有</w:t>
            </w:r>
            <w:r>
              <w:rPr>
                <w:rFonts w:hint="eastAsia"/>
              </w:rPr>
              <w:t>5</w:t>
            </w:r>
            <w:r>
              <w:rPr>
                <w:rFonts w:hint="eastAsia"/>
              </w:rPr>
              <w:t>成，全台超過</w:t>
            </w:r>
            <w:r>
              <w:rPr>
                <w:rFonts w:hint="eastAsia"/>
              </w:rPr>
              <w:t>50</w:t>
            </w:r>
            <w:r>
              <w:rPr>
                <w:rFonts w:hint="eastAsia"/>
              </w:rPr>
              <w:t>年屋齡的有</w:t>
            </w:r>
            <w:r>
              <w:rPr>
                <w:rFonts w:hint="eastAsia"/>
              </w:rPr>
              <w:t>111</w:t>
            </w:r>
            <w:r>
              <w:rPr>
                <w:rFonts w:hint="eastAsia"/>
              </w:rPr>
              <w:t>萬戶，</w:t>
            </w:r>
            <w:r w:rsidRPr="000E6FEB">
              <w:rPr>
                <w:rFonts w:hint="eastAsia"/>
                <w:spacing w:val="2"/>
              </w:rPr>
              <w:t>顯見危老房都更的迫切性</w:t>
            </w:r>
            <w:r>
              <w:rPr>
                <w:rFonts w:hint="eastAsia"/>
              </w:rPr>
              <w:t>。</w:t>
            </w:r>
          </w:p>
          <w:p w:rsidR="00D30A09" w:rsidRDefault="00D30A09" w:rsidP="008B659E">
            <w:pPr>
              <w:spacing w:line="315" w:lineRule="exact"/>
              <w:ind w:leftChars="50" w:left="316" w:rightChars="50" w:right="105" w:hangingChars="100" w:hanging="211"/>
              <w:rPr>
                <w:rFonts w:hint="eastAsia"/>
              </w:rPr>
            </w:pPr>
            <w:r>
              <w:rPr>
                <w:rFonts w:hint="eastAsia"/>
              </w:rPr>
              <w:t>二、現行都更條例針對容積獎勵以「興建完成」始可認定，然，全台仍有滿多建物，為容積管制實施前申請建照、在容積管制實施後才完工，導致認定上產生爭議。另，通常原容積會高於基準容積，實施容積管制前之合法建物，若以原容積重建，都更時相對有利，民眾將更具有參與重建誘因。</w:t>
            </w:r>
          </w:p>
          <w:p w:rsidR="00D30A09" w:rsidRDefault="00D30A09" w:rsidP="008B659E">
            <w:pPr>
              <w:spacing w:line="315" w:lineRule="exact"/>
              <w:ind w:leftChars="50" w:left="316" w:rightChars="50" w:right="105" w:hangingChars="100" w:hanging="211"/>
              <w:rPr>
                <w:rFonts w:hint="eastAsia"/>
              </w:rPr>
            </w:pPr>
            <w:r>
              <w:rPr>
                <w:rFonts w:hint="eastAsia"/>
              </w:rPr>
              <w:t>三、為同時保障合法建物權益及提升住戶參與都更誘因，針對容積獎勵，改為實施容積管制前已「申請建照」的合法建物，即可以原容積重建或申請容積獎勵。</w:t>
            </w:r>
          </w:p>
        </w:tc>
      </w:tr>
    </w:tbl>
    <w:p w:rsidR="00EA2B00" w:rsidRDefault="00735357" w:rsidP="00D30A09">
      <w:r>
        <w:lastRenderedPageBreak/>
        <mc:AlternateContent>
          <mc:Choice Requires="wps">
            <w:drawing>
              <wp:anchor distT="0" distB="0" distL="114300" distR="114300" simplePos="0" relativeHeight="251656704" behindDoc="0" locked="0" layoutInCell="1" allowOverlap="1">
                <wp:simplePos x="0" y="0"/>
                <wp:positionH relativeFrom="column">
                  <wp:posOffset>-29845</wp:posOffset>
                </wp:positionH>
                <wp:positionV relativeFrom="paragraph">
                  <wp:posOffset>635</wp:posOffset>
                </wp:positionV>
                <wp:extent cx="5814060" cy="0"/>
                <wp:effectExtent l="12700" t="10160" r="12065" b="18415"/>
                <wp:wrapNone/>
                <wp:docPr id="1" name="DW75658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BAC2F4" id="DW756588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05pt" to="455.4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" strokeweight="1.5pt"/>
            </w:pict>
          </mc:Fallback>
        </mc:AlternateContent>
      </w:r>
    </w:p>
    <w:p w:rsidR="00D22A25" w:rsidRPr="00D30A09" w:rsidRDefault="00EA2B00" w:rsidP="00D30A09">
      <w:pPr>
        <w:rPr>
          <w:rFonts w:hint="eastAsia"/>
        </w:rPr>
      </w:pPr>
      <w:r>
        <w:br w:type="page"/>
      </w:r>
    </w:p>
    <w:sectPr w:rsidR="00D22A25" w:rsidRPr="00D30A09" w:rsidSect="00D30A09">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11DE" w:rsidRDefault="00A811DE">
      <w:r>
        <w:separator/>
      </w:r>
    </w:p>
  </w:endnote>
  <w:endnote w:type="continuationSeparator" w:id="0">
    <w:p w:rsidR="00A811DE" w:rsidRDefault="00A81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華康細明體">
    <w:panose1 w:val="020203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7DD7" w:rsidRPr="00116B1A" w:rsidRDefault="00116B1A" w:rsidP="00116B1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735357">
      <w:t>768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7DD7" w:rsidRPr="00116B1A" w:rsidRDefault="00116B1A" w:rsidP="00116B1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735357">
      <w:t>767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11DE" w:rsidRDefault="00A811DE">
      <w:r>
        <w:separator/>
      </w:r>
    </w:p>
  </w:footnote>
  <w:footnote w:type="continuationSeparator" w:id="0">
    <w:p w:rsidR="00A811DE" w:rsidRDefault="00A811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7DD7" w:rsidRPr="00116B1A" w:rsidRDefault="00116B1A" w:rsidP="00116B1A">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7DD7" w:rsidRPr="00116B1A" w:rsidRDefault="00116B1A" w:rsidP="00116B1A">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10</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D20"/>
    <w:rsid w:val="000004AE"/>
    <w:rsid w:val="00021974"/>
    <w:rsid w:val="000322E4"/>
    <w:rsid w:val="00034179"/>
    <w:rsid w:val="00057BD7"/>
    <w:rsid w:val="0006260D"/>
    <w:rsid w:val="0007483B"/>
    <w:rsid w:val="00083D45"/>
    <w:rsid w:val="00092EFA"/>
    <w:rsid w:val="000B190B"/>
    <w:rsid w:val="000C6344"/>
    <w:rsid w:val="000D2076"/>
    <w:rsid w:val="000E3372"/>
    <w:rsid w:val="000E6FEB"/>
    <w:rsid w:val="000F48AA"/>
    <w:rsid w:val="001132D3"/>
    <w:rsid w:val="001166AB"/>
    <w:rsid w:val="00116B1A"/>
    <w:rsid w:val="00123301"/>
    <w:rsid w:val="00130626"/>
    <w:rsid w:val="001346DF"/>
    <w:rsid w:val="00152E55"/>
    <w:rsid w:val="00153AD0"/>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704C"/>
    <w:rsid w:val="0044045C"/>
    <w:rsid w:val="00441B24"/>
    <w:rsid w:val="00443AB2"/>
    <w:rsid w:val="00453F8A"/>
    <w:rsid w:val="00473B4E"/>
    <w:rsid w:val="00485C17"/>
    <w:rsid w:val="004A3866"/>
    <w:rsid w:val="004C3564"/>
    <w:rsid w:val="004C459D"/>
    <w:rsid w:val="004D78BA"/>
    <w:rsid w:val="004E74DF"/>
    <w:rsid w:val="004F17A8"/>
    <w:rsid w:val="00542984"/>
    <w:rsid w:val="00552448"/>
    <w:rsid w:val="00572D70"/>
    <w:rsid w:val="005B1DB0"/>
    <w:rsid w:val="00632430"/>
    <w:rsid w:val="00655703"/>
    <w:rsid w:val="006873C4"/>
    <w:rsid w:val="006B2CB0"/>
    <w:rsid w:val="006C7F9F"/>
    <w:rsid w:val="006D7D23"/>
    <w:rsid w:val="006E2402"/>
    <w:rsid w:val="006E3C20"/>
    <w:rsid w:val="006F10CF"/>
    <w:rsid w:val="006F5861"/>
    <w:rsid w:val="00722A05"/>
    <w:rsid w:val="00732BD2"/>
    <w:rsid w:val="00735357"/>
    <w:rsid w:val="00735FD8"/>
    <w:rsid w:val="007776A4"/>
    <w:rsid w:val="00781901"/>
    <w:rsid w:val="007908D5"/>
    <w:rsid w:val="00794FA3"/>
    <w:rsid w:val="007A1C27"/>
    <w:rsid w:val="007A4599"/>
    <w:rsid w:val="007C4084"/>
    <w:rsid w:val="007D04A0"/>
    <w:rsid w:val="007E74DC"/>
    <w:rsid w:val="007F7A16"/>
    <w:rsid w:val="00861B21"/>
    <w:rsid w:val="00863C32"/>
    <w:rsid w:val="00864C67"/>
    <w:rsid w:val="00883D74"/>
    <w:rsid w:val="008A0C5D"/>
    <w:rsid w:val="008B4209"/>
    <w:rsid w:val="008B659E"/>
    <w:rsid w:val="008E326C"/>
    <w:rsid w:val="008E5D88"/>
    <w:rsid w:val="0090241A"/>
    <w:rsid w:val="00926F56"/>
    <w:rsid w:val="00963798"/>
    <w:rsid w:val="00992003"/>
    <w:rsid w:val="009B5920"/>
    <w:rsid w:val="009C16B2"/>
    <w:rsid w:val="009C3904"/>
    <w:rsid w:val="009D3F34"/>
    <w:rsid w:val="009E10F6"/>
    <w:rsid w:val="00A05B7F"/>
    <w:rsid w:val="00A0600A"/>
    <w:rsid w:val="00A13259"/>
    <w:rsid w:val="00A32A9C"/>
    <w:rsid w:val="00A678DC"/>
    <w:rsid w:val="00A71C0D"/>
    <w:rsid w:val="00A80A44"/>
    <w:rsid w:val="00A811DE"/>
    <w:rsid w:val="00A86BD4"/>
    <w:rsid w:val="00A876DC"/>
    <w:rsid w:val="00AA2ADF"/>
    <w:rsid w:val="00AB3E99"/>
    <w:rsid w:val="00AC692A"/>
    <w:rsid w:val="00AC6A09"/>
    <w:rsid w:val="00AD6810"/>
    <w:rsid w:val="00AF1CCC"/>
    <w:rsid w:val="00B15BB5"/>
    <w:rsid w:val="00B278AB"/>
    <w:rsid w:val="00B40364"/>
    <w:rsid w:val="00BA71D7"/>
    <w:rsid w:val="00BB5684"/>
    <w:rsid w:val="00BE0A55"/>
    <w:rsid w:val="00BF63AF"/>
    <w:rsid w:val="00C16640"/>
    <w:rsid w:val="00C201E0"/>
    <w:rsid w:val="00C216C6"/>
    <w:rsid w:val="00C27DD7"/>
    <w:rsid w:val="00C50091"/>
    <w:rsid w:val="00C56D95"/>
    <w:rsid w:val="00C84B2E"/>
    <w:rsid w:val="00C9556F"/>
    <w:rsid w:val="00C9653B"/>
    <w:rsid w:val="00CC7D20"/>
    <w:rsid w:val="00CD541C"/>
    <w:rsid w:val="00CE016C"/>
    <w:rsid w:val="00CE5882"/>
    <w:rsid w:val="00CF12AE"/>
    <w:rsid w:val="00CF6866"/>
    <w:rsid w:val="00D03570"/>
    <w:rsid w:val="00D05F85"/>
    <w:rsid w:val="00D07EA1"/>
    <w:rsid w:val="00D22A25"/>
    <w:rsid w:val="00D30A09"/>
    <w:rsid w:val="00D32121"/>
    <w:rsid w:val="00D542A5"/>
    <w:rsid w:val="00D65F9F"/>
    <w:rsid w:val="00D84D2B"/>
    <w:rsid w:val="00D922B6"/>
    <w:rsid w:val="00DA65B7"/>
    <w:rsid w:val="00DA6A2B"/>
    <w:rsid w:val="00DA7D72"/>
    <w:rsid w:val="00DB0C91"/>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A2B00"/>
    <w:rsid w:val="00EA7093"/>
    <w:rsid w:val="00EC145C"/>
    <w:rsid w:val="00ED0A6B"/>
    <w:rsid w:val="00ED580D"/>
    <w:rsid w:val="00ED5C0E"/>
    <w:rsid w:val="00ED5E9D"/>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825BCF4-676B-4C86-8CBA-7A6B10073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CD0FEB-D8D2-45F8-A72C-B04F9017D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6</Pages>
  <Words>471</Words>
  <Characters>2689</Characters>
  <Application>Microsoft Office Word</Application>
  <DocSecurity>0</DocSecurity>
  <Lines>22</Lines>
  <Paragraphs>6</Paragraphs>
  <ScaleCrop>false</ScaleCrop>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13號</dc:creator>
  <cp:keywords>11;1;10</cp:keywords>
  <dc:description>委767;委772;6;議案202110034550000</dc:description>
  <cp:lastModifiedBy>Windows 使用者</cp:lastModifiedBy>
  <cp:revision>2</cp:revision>
  <cp:lastPrinted>2024-04-15T08:31:00Z</cp:lastPrinted>
  <dcterms:created xsi:type="dcterms:W3CDTF">2024-05-01T07:11:00Z</dcterms:created>
  <dcterms:modified xsi:type="dcterms:W3CDTF">2024-05-01T07:11:00Z</dcterms:modified>
</cp:coreProperties>
</file>