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1548" w:rsidRDefault="00CB1548" w:rsidP="00CB1548">
      <w:pPr>
        <w:spacing w:afterLines="50" w:after="167"/>
        <w:rPr>
          <w:rFonts w:hint="eastAsia"/>
        </w:rPr>
      </w:pPr>
      <w:bookmarkStart w:id="0" w:name="_GoBack"/>
      <w:bookmarkEnd w:id="0"/>
      <w:r>
        <w:rPr>
          <w:rFonts w:hint="eastAsia"/>
        </w:rPr>
        <w:t xml:space="preserve">　　　　　　　　　　　　　　　　　　　　　　　　　　　　　</w:t>
      </w:r>
      <w:r w:rsidR="001414E7">
        <w:rPr>
          <w:rFonts w:hint="eastAsia"/>
        </w:rPr>
        <w:t>議案編號：</w:t>
      </w:r>
      <w:r w:rsidR="001414E7">
        <w:rPr>
          <w:rFonts w:hint="eastAsia"/>
        </w:rPr>
        <w:t>202110058510000</w:t>
      </w:r>
    </w:p>
    <w:p w:rsidR="00CB1548" w:rsidRDefault="00CB1548" w:rsidP="00CB1548">
      <w:pPr>
        <w:snapToGrid w:val="0"/>
        <w:ind w:leftChars="400" w:left="844"/>
        <w:rPr>
          <w:rFonts w:ascii="細明體" w:hAnsi="細明體" w:hint="eastAsia"/>
        </w:rPr>
      </w:pPr>
      <w:r w:rsidRPr="00CB1548">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\o\ad(\s\up5(（中華民國41年9月起編號）),\s\do5(中華民國113年6月26日印發))</w:instrText>
      </w:r>
      <w:r>
        <w:rPr>
          <w:rFonts w:ascii="細明體" w:hAnsi="細明體"/>
        </w:rPr>
        <w:fldChar w:fldCharType="end"/>
      </w:r>
    </w:p>
    <w:p w:rsidR="00CB1548" w:rsidRDefault="00CB1548" w:rsidP="00CB1548">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CB1548" w:rsidTr="007D0A9B">
        <w:tc>
          <w:tcPr>
            <w:tcW w:w="0" w:type="auto"/>
            <w:shd w:val="clear" w:color="auto" w:fill="auto"/>
            <w:vAlign w:val="center"/>
          </w:tcPr>
          <w:p w:rsidR="00CB1548" w:rsidRDefault="00CB1548" w:rsidP="007D0A9B">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CB1548" w:rsidRDefault="00CB1548" w:rsidP="007D0A9B">
            <w:pPr>
              <w:pStyle w:val="affff5"/>
              <w:ind w:leftChars="200" w:left="422"/>
              <w:rPr>
                <w:rFonts w:hint="eastAsia"/>
              </w:rPr>
            </w:pPr>
            <w:r>
              <w:rPr>
                <w:rFonts w:hint="eastAsia"/>
              </w:rPr>
              <w:t>委員</w:t>
            </w:r>
          </w:p>
        </w:tc>
        <w:tc>
          <w:tcPr>
            <w:tcW w:w="0" w:type="auto"/>
            <w:shd w:val="clear" w:color="auto" w:fill="auto"/>
            <w:vAlign w:val="center"/>
          </w:tcPr>
          <w:p w:rsidR="00CB1548" w:rsidRDefault="00CB1548" w:rsidP="007D0A9B">
            <w:pPr>
              <w:pStyle w:val="affff5"/>
              <w:rPr>
                <w:rFonts w:hint="eastAsia"/>
              </w:rPr>
            </w:pPr>
            <w:r>
              <w:rPr>
                <w:rFonts w:hint="eastAsia"/>
              </w:rPr>
              <w:t>提案第</w:t>
            </w:r>
          </w:p>
        </w:tc>
        <w:tc>
          <w:tcPr>
            <w:tcW w:w="0" w:type="auto"/>
            <w:shd w:val="clear" w:color="auto" w:fill="auto"/>
            <w:tcMar>
              <w:left w:w="113" w:type="dxa"/>
              <w:right w:w="113" w:type="dxa"/>
            </w:tcMar>
            <w:vAlign w:val="center"/>
          </w:tcPr>
          <w:p w:rsidR="00CB1548" w:rsidRDefault="00CB1548" w:rsidP="007D0A9B">
            <w:pPr>
              <w:pStyle w:val="affff5"/>
              <w:jc w:val="distribute"/>
              <w:rPr>
                <w:rFonts w:hint="eastAsia"/>
              </w:rPr>
            </w:pPr>
            <w:r>
              <w:t>11005851</w:t>
            </w:r>
          </w:p>
        </w:tc>
        <w:tc>
          <w:tcPr>
            <w:tcW w:w="0" w:type="auto"/>
            <w:shd w:val="clear" w:color="auto" w:fill="auto"/>
            <w:vAlign w:val="center"/>
          </w:tcPr>
          <w:p w:rsidR="00CB1548" w:rsidRDefault="00CB1548" w:rsidP="007D0A9B">
            <w:pPr>
              <w:pStyle w:val="affff5"/>
              <w:rPr>
                <w:rFonts w:hint="eastAsia"/>
              </w:rPr>
            </w:pPr>
            <w:r>
              <w:rPr>
                <w:rFonts w:hint="eastAsia"/>
              </w:rPr>
              <w:t>號</w:t>
            </w:r>
          </w:p>
        </w:tc>
        <w:tc>
          <w:tcPr>
            <w:tcW w:w="0" w:type="auto"/>
            <w:shd w:val="clear" w:color="auto" w:fill="auto"/>
            <w:vAlign w:val="center"/>
          </w:tcPr>
          <w:p w:rsidR="00CB1548" w:rsidRDefault="00CB1548" w:rsidP="007D0A9B">
            <w:pPr>
              <w:pStyle w:val="affff5"/>
              <w:rPr>
                <w:rFonts w:hint="eastAsia"/>
              </w:rPr>
            </w:pPr>
          </w:p>
        </w:tc>
        <w:tc>
          <w:tcPr>
            <w:tcW w:w="0" w:type="auto"/>
            <w:shd w:val="clear" w:color="auto" w:fill="auto"/>
            <w:tcMar>
              <w:left w:w="113" w:type="dxa"/>
            </w:tcMar>
            <w:vAlign w:val="center"/>
          </w:tcPr>
          <w:p w:rsidR="00CB1548" w:rsidRDefault="00CB1548" w:rsidP="007D0A9B">
            <w:pPr>
              <w:pStyle w:val="affff5"/>
              <w:rPr>
                <w:rFonts w:hint="eastAsia"/>
              </w:rPr>
            </w:pPr>
          </w:p>
        </w:tc>
      </w:tr>
    </w:tbl>
    <w:p w:rsidR="00CB1548" w:rsidRDefault="00CB1548" w:rsidP="00CB1548">
      <w:pPr>
        <w:pStyle w:val="afb"/>
        <w:spacing w:line="600" w:lineRule="exact"/>
        <w:ind w:left="1382" w:hanging="855"/>
        <w:rPr>
          <w:rFonts w:hint="eastAsia"/>
        </w:rPr>
      </w:pPr>
    </w:p>
    <w:p w:rsidR="00CB1548" w:rsidRDefault="00CB1548" w:rsidP="00CB1548">
      <w:pPr>
        <w:pStyle w:val="afb"/>
        <w:ind w:left="1382" w:hanging="855"/>
        <w:rPr>
          <w:rFonts w:hint="eastAsia"/>
        </w:rPr>
      </w:pPr>
      <w:r>
        <w:rPr>
          <w:rFonts w:hint="eastAsia"/>
        </w:rPr>
        <w:t>案由：本院委員李彥秀、徐巧芯、許宇甄、林沛祥、黃健豪等</w:t>
      </w:r>
      <w:r>
        <w:rPr>
          <w:rFonts w:hint="eastAsia"/>
        </w:rPr>
        <w:t>17</w:t>
      </w:r>
      <w:r>
        <w:rPr>
          <w:rFonts w:hint="eastAsia"/>
        </w:rPr>
        <w:t>人，有鑑於目前</w:t>
      </w:r>
      <w:r w:rsidRPr="005578AD">
        <w:rPr>
          <w:rFonts w:hint="eastAsia"/>
        </w:rPr>
        <w:t>全</w:t>
      </w:r>
      <w:r w:rsidR="005578AD" w:rsidRPr="005578AD">
        <w:rPr>
          <w:rFonts w:hint="eastAsia"/>
        </w:rPr>
        <w:t>臺</w:t>
      </w:r>
      <w:r>
        <w:rPr>
          <w:rFonts w:hint="eastAsia"/>
        </w:rPr>
        <w:t>有超過</w:t>
      </w:r>
      <w:r>
        <w:rPr>
          <w:rFonts w:hint="eastAsia"/>
        </w:rPr>
        <w:t>100</w:t>
      </w:r>
      <w:r>
        <w:rPr>
          <w:rFonts w:hint="eastAsia"/>
        </w:rPr>
        <w:t>萬戶之住宅已建成</w:t>
      </w:r>
      <w:r>
        <w:rPr>
          <w:rFonts w:hint="eastAsia"/>
        </w:rPr>
        <w:t>50</w:t>
      </w:r>
      <w:r>
        <w:rPr>
          <w:rFonts w:hint="eastAsia"/>
        </w:rPr>
        <w:t>年以上，</w:t>
      </w:r>
      <w:r w:rsidRPr="001414E7">
        <w:rPr>
          <w:rFonts w:hint="eastAsia"/>
          <w:spacing w:val="0"/>
        </w:rPr>
        <w:t>如何提高老舊住宅進行都市更新之意願已係當務之急，而我</w:t>
      </w:r>
      <w:r>
        <w:rPr>
          <w:rFonts w:hint="eastAsia"/>
        </w:rPr>
        <w:t>國於實施全面容積管制後，於都市更新條例中規定，實施容積管制前已興建完畢之房屋可依「原容積重建」，然屬同時期</w:t>
      </w:r>
      <w:r w:rsidRPr="001414E7">
        <w:rPr>
          <w:rFonts w:hint="eastAsia"/>
          <w:spacing w:val="0"/>
        </w:rPr>
        <w:t>合法建照之建物，卻僅因完工日期較實施容積管制時晚而無</w:t>
      </w:r>
      <w:r>
        <w:rPr>
          <w:rFonts w:hint="eastAsia"/>
        </w:rPr>
        <w:t>法適用，實已顯失公平，為提高老舊房屋所有權人參與都更之意願，爰擬具「都市更新條例第六十五條條文修正草案」。是否有當？敬請公決。</w:t>
      </w:r>
    </w:p>
    <w:p w:rsidR="00CB1548" w:rsidRPr="00CB1548" w:rsidRDefault="00CB1548" w:rsidP="00CB1548">
      <w:pPr>
        <w:pStyle w:val="afb"/>
        <w:ind w:left="1382" w:hanging="855"/>
        <w:rPr>
          <w:rFonts w:hint="eastAsia"/>
        </w:rPr>
      </w:pPr>
    </w:p>
    <w:p w:rsidR="00CB1548" w:rsidRDefault="00CB1548" w:rsidP="00CB1548">
      <w:pPr>
        <w:pStyle w:val="a4"/>
        <w:ind w:left="633" w:hanging="633"/>
        <w:rPr>
          <w:rFonts w:hint="eastAsia"/>
        </w:rPr>
      </w:pPr>
      <w:r>
        <w:rPr>
          <w:rFonts w:hint="eastAsia"/>
        </w:rPr>
        <w:t>說明：</w:t>
      </w:r>
    </w:p>
    <w:p w:rsidR="00CB1548" w:rsidRDefault="00CB1548" w:rsidP="001414E7">
      <w:pPr>
        <w:pStyle w:val="afffff0"/>
        <w:spacing w:line="440" w:lineRule="exact"/>
        <w:ind w:left="633" w:hanging="422"/>
        <w:rPr>
          <w:rFonts w:hint="eastAsia"/>
        </w:rPr>
      </w:pPr>
      <w:r>
        <w:rPr>
          <w:rFonts w:hint="eastAsia"/>
        </w:rPr>
        <w:t>一、依據民國（下同）</w:t>
      </w:r>
      <w:r>
        <w:rPr>
          <w:rFonts w:hint="eastAsia"/>
        </w:rPr>
        <w:t>111</w:t>
      </w:r>
      <w:r>
        <w:rPr>
          <w:rFonts w:hint="eastAsia"/>
        </w:rPr>
        <w:t>年內政部統計，房屋稅籍住宅類共</w:t>
      </w:r>
      <w:r>
        <w:rPr>
          <w:rFonts w:hint="eastAsia"/>
        </w:rPr>
        <w:t>919</w:t>
      </w:r>
      <w:r>
        <w:rPr>
          <w:rFonts w:hint="eastAsia"/>
        </w:rPr>
        <w:t>萬戶，</w:t>
      </w:r>
      <w:r w:rsidRPr="005578AD">
        <w:rPr>
          <w:rFonts w:hint="eastAsia"/>
        </w:rPr>
        <w:t>全</w:t>
      </w:r>
      <w:r w:rsidR="005578AD" w:rsidRPr="005578AD">
        <w:rPr>
          <w:rFonts w:hint="eastAsia"/>
        </w:rPr>
        <w:t>臺</w:t>
      </w:r>
      <w:r>
        <w:rPr>
          <w:rFonts w:hint="eastAsia"/>
        </w:rPr>
        <w:t>住宅平均屋齡為</w:t>
      </w:r>
      <w:r>
        <w:rPr>
          <w:rFonts w:hint="eastAsia"/>
        </w:rPr>
        <w:t>32</w:t>
      </w:r>
      <w:r>
        <w:rPr>
          <w:rFonts w:hint="eastAsia"/>
        </w:rPr>
        <w:t>年，其中超過</w:t>
      </w:r>
      <w:r>
        <w:rPr>
          <w:rFonts w:hint="eastAsia"/>
        </w:rPr>
        <w:t>30</w:t>
      </w:r>
      <w:r>
        <w:rPr>
          <w:rFonts w:hint="eastAsia"/>
        </w:rPr>
        <w:t>年屋齡之房屋佔</w:t>
      </w:r>
      <w:r>
        <w:rPr>
          <w:rFonts w:hint="eastAsia"/>
        </w:rPr>
        <w:t>52.59%</w:t>
      </w:r>
      <w:r>
        <w:rPr>
          <w:rFonts w:hint="eastAsia"/>
        </w:rPr>
        <w:t>，其中屋齡</w:t>
      </w:r>
      <w:r>
        <w:rPr>
          <w:rFonts w:hint="eastAsia"/>
        </w:rPr>
        <w:t>50</w:t>
      </w:r>
      <w:r>
        <w:rPr>
          <w:rFonts w:hint="eastAsia"/>
        </w:rPr>
        <w:t>年以上亦達</w:t>
      </w:r>
      <w:r>
        <w:rPr>
          <w:rFonts w:hint="eastAsia"/>
        </w:rPr>
        <w:t>12.13%</w:t>
      </w:r>
      <w:r>
        <w:rPr>
          <w:rFonts w:hint="eastAsia"/>
        </w:rPr>
        <w:t>，意即約有</w:t>
      </w:r>
      <w:r>
        <w:rPr>
          <w:rFonts w:hint="eastAsia"/>
        </w:rPr>
        <w:t>100</w:t>
      </w:r>
      <w:r>
        <w:rPr>
          <w:rFonts w:hint="eastAsia"/>
        </w:rPr>
        <w:t>萬戶之住宅屋齡已超過</w:t>
      </w:r>
      <w:r>
        <w:rPr>
          <w:rFonts w:hint="eastAsia"/>
        </w:rPr>
        <w:t>50</w:t>
      </w:r>
      <w:r>
        <w:rPr>
          <w:rFonts w:hint="eastAsia"/>
        </w:rPr>
        <w:t>年，故如何提高老舊房屋進行都更之意願實為當務之急。</w:t>
      </w:r>
    </w:p>
    <w:p w:rsidR="00CB1548" w:rsidRDefault="00CB1548" w:rsidP="001414E7">
      <w:pPr>
        <w:pStyle w:val="afffff0"/>
        <w:spacing w:line="440" w:lineRule="exact"/>
        <w:ind w:left="633" w:hanging="422"/>
        <w:rPr>
          <w:rFonts w:hint="eastAsia"/>
        </w:rPr>
      </w:pPr>
      <w:r>
        <w:rPr>
          <w:rFonts w:hint="eastAsia"/>
        </w:rPr>
        <w:t>二、我國於全面實施容積管制前，已申請建造執照之建築基地，係依申請當時之法規規劃設計</w:t>
      </w:r>
      <w:r w:rsidRPr="001414E7">
        <w:rPr>
          <w:rFonts w:hint="eastAsia"/>
          <w:spacing w:val="4"/>
        </w:rPr>
        <w:t>並據以興建，且該等建築物並未適用九二一大地震後提高之建築耐震標準規定，若要求合</w:t>
      </w:r>
      <w:r>
        <w:rPr>
          <w:rFonts w:hint="eastAsia"/>
        </w:rPr>
        <w:t>法建築物原容積認定需符合實施容積管制前已興建完成之要件，不僅造成民眾權益受損，影響參與推動都更意願，亦未能全面落實修法增訂多元獎勵核算上限供自由選擇辦理之美意，致使居住安全與加速都更推動目標未竟全功。</w:t>
      </w:r>
    </w:p>
    <w:p w:rsidR="00CB1548" w:rsidRDefault="00CB1548" w:rsidP="001414E7">
      <w:pPr>
        <w:pStyle w:val="afffff0"/>
        <w:spacing w:line="440" w:lineRule="exact"/>
        <w:ind w:left="633" w:hanging="422"/>
        <w:rPr>
          <w:rFonts w:hint="eastAsia"/>
        </w:rPr>
      </w:pPr>
      <w:r>
        <w:rPr>
          <w:rFonts w:hint="eastAsia"/>
        </w:rPr>
        <w:t>三、配合第二項第一款修正合法建築物認定範圍，爰併同修正第九項後段規定，明定都市更新事業計畫於本次修正之條文施行前已擬訂報核者，仍得適用第二項第一款修正後之規定，以保障民眾權益。</w:t>
      </w:r>
    </w:p>
    <w:p w:rsidR="00CB1548" w:rsidRDefault="00CB1548" w:rsidP="00CB1548"/>
    <w:p w:rsidR="00CB1548" w:rsidRDefault="00CB1548" w:rsidP="00CB1548">
      <w:pPr>
        <w:pStyle w:val="-"/>
        <w:ind w:left="3165" w:right="633" w:hanging="844"/>
        <w:rPr>
          <w:rFonts w:hint="eastAsia"/>
        </w:rPr>
      </w:pPr>
      <w:r>
        <w:rPr>
          <w:rFonts w:hint="eastAsia"/>
        </w:rPr>
        <w:lastRenderedPageBreak/>
        <w:t xml:space="preserve">提案人：李彥秀　　徐巧芯　　許宇甄　　林沛祥　　黃健豪　　</w:t>
      </w:r>
    </w:p>
    <w:p w:rsidR="00CB1548" w:rsidRDefault="00CB1548" w:rsidP="00CB1548">
      <w:pPr>
        <w:pStyle w:val="-"/>
        <w:ind w:left="3165" w:right="633" w:hanging="844"/>
        <w:rPr>
          <w:rFonts w:hint="eastAsia"/>
        </w:rPr>
      </w:pPr>
      <w:r>
        <w:rPr>
          <w:rFonts w:hint="eastAsia"/>
        </w:rPr>
        <w:t xml:space="preserve">連署人：賴士葆　　楊瓊瓔　　呂玉玲　　萬美玲　　魯明哲　　邱鎮軍　　柯志恩　　翁曉玲　　吳宗憲　　廖先翔　　林德福　　陳菁徽　　</w:t>
      </w:r>
    </w:p>
    <w:p w:rsidR="00CB1548" w:rsidRDefault="00CB1548" w:rsidP="00CB1548">
      <w:pPr>
        <w:pStyle w:val="affffe"/>
        <w:ind w:firstLine="422"/>
        <w:sectPr w:rsidR="00CB1548" w:rsidSect="00EC6673">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73"/>
          <w:cols w:space="720"/>
          <w:docGrid w:type="linesAndChars" w:linePitch="335" w:charSpace="200"/>
        </w:sectPr>
      </w:pPr>
    </w:p>
    <w:p w:rsidR="00CB1548" w:rsidRDefault="00CB1548" w:rsidP="001414E7">
      <w:pPr>
        <w:spacing w:line="14" w:lineRule="exact"/>
        <w:sectPr w:rsidR="00CB1548" w:rsidSect="00CB1548">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CB1548" w:rsidTr="007D0A9B">
        <w:tc>
          <w:tcPr>
            <w:tcW w:w="9128" w:type="dxa"/>
            <w:gridSpan w:val="3"/>
            <w:tcBorders>
              <w:top w:val="nil"/>
              <w:left w:val="nil"/>
              <w:bottom w:val="nil"/>
              <w:right w:val="nil"/>
            </w:tcBorders>
            <w:shd w:val="clear" w:color="auto" w:fill="auto"/>
          </w:tcPr>
          <w:p w:rsidR="00CB1548" w:rsidRPr="007D0A9B" w:rsidRDefault="00CB1548" w:rsidP="007D0A9B">
            <w:pPr>
              <w:spacing w:before="105" w:after="105" w:line="480" w:lineRule="exact"/>
              <w:ind w:leftChars="500" w:left="1055"/>
              <w:rPr>
                <w:rFonts w:ascii="標楷體" w:eastAsia="標楷體" w:hAnsi="標楷體" w:hint="eastAsia"/>
                <w:sz w:val="28"/>
              </w:rPr>
            </w:pPr>
            <w:r w:rsidRPr="007D0A9B">
              <w:rPr>
                <w:rFonts w:ascii="標楷體" w:eastAsia="標楷體" w:hAnsi="標楷體"/>
                <w:sz w:val="28"/>
              </w:rPr>
              <w:br w:type="page"/>
              <w:t>都市更新條例第六十五條條文修正草案對照表</w:t>
            </w:r>
            <w:bookmarkStart w:id="1" w:name="TA2495081"/>
            <w:bookmarkEnd w:id="1"/>
          </w:p>
        </w:tc>
      </w:tr>
      <w:tr w:rsidR="00CB1548" w:rsidTr="007D0A9B">
        <w:tc>
          <w:tcPr>
            <w:tcW w:w="3042" w:type="dxa"/>
            <w:tcBorders>
              <w:top w:val="nil"/>
            </w:tcBorders>
            <w:shd w:val="clear" w:color="auto" w:fill="auto"/>
          </w:tcPr>
          <w:p w:rsidR="00CB1548" w:rsidRDefault="00B6504F" w:rsidP="007D0A9B">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52523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3566AA" id="DW525230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" strokeweight="1.5pt"/>
                  </w:pict>
                </mc:Fallback>
              </mc:AlternateContent>
            </w:r>
            <w:r w:rsidR="00CB1548">
              <w:rPr>
                <w:rFonts w:hint="eastAsia"/>
              </w:rPr>
              <w:t>修正條文</w:t>
            </w:r>
          </w:p>
        </w:tc>
        <w:tc>
          <w:tcPr>
            <w:tcW w:w="3043" w:type="dxa"/>
            <w:tcBorders>
              <w:top w:val="nil"/>
            </w:tcBorders>
            <w:shd w:val="clear" w:color="auto" w:fill="auto"/>
          </w:tcPr>
          <w:p w:rsidR="00CB1548" w:rsidRDefault="00CB1548" w:rsidP="007D0A9B">
            <w:pPr>
              <w:pStyle w:val="aff8"/>
              <w:ind w:left="105" w:right="105"/>
              <w:rPr>
                <w:rFonts w:hint="eastAsia"/>
              </w:rPr>
            </w:pPr>
            <w:r>
              <w:rPr>
                <w:rFonts w:hint="eastAsia"/>
              </w:rPr>
              <w:t>現行條文</w:t>
            </w:r>
          </w:p>
        </w:tc>
        <w:tc>
          <w:tcPr>
            <w:tcW w:w="3043" w:type="dxa"/>
            <w:tcBorders>
              <w:top w:val="nil"/>
            </w:tcBorders>
            <w:shd w:val="clear" w:color="auto" w:fill="auto"/>
          </w:tcPr>
          <w:p w:rsidR="00CB1548" w:rsidRDefault="00CB1548" w:rsidP="007D0A9B">
            <w:pPr>
              <w:pStyle w:val="aff8"/>
              <w:ind w:left="105" w:right="105"/>
              <w:rPr>
                <w:rFonts w:hint="eastAsia"/>
              </w:rPr>
            </w:pPr>
            <w:r>
              <w:rPr>
                <w:rFonts w:hint="eastAsia"/>
              </w:rPr>
              <w:t>說明</w:t>
            </w:r>
          </w:p>
        </w:tc>
      </w:tr>
      <w:tr w:rsidR="00CB1548" w:rsidTr="007D0A9B">
        <w:tc>
          <w:tcPr>
            <w:tcW w:w="3042" w:type="dxa"/>
            <w:shd w:val="clear" w:color="auto" w:fill="auto"/>
          </w:tcPr>
          <w:p w:rsidR="00CB1548" w:rsidRDefault="00CB1548" w:rsidP="007D0A9B">
            <w:pPr>
              <w:spacing w:line="315" w:lineRule="exact"/>
              <w:ind w:leftChars="50" w:left="316" w:rightChars="50" w:right="105" w:hangingChars="100" w:hanging="211"/>
              <w:rPr>
                <w:rFonts w:hint="eastAsia"/>
              </w:rPr>
            </w:pPr>
            <w:r>
              <w:rPr>
                <w:rFonts w:hint="eastAsia"/>
              </w:rPr>
              <w:t>第六十五條　都市更新事業計畫範圍內之建築基地，得視都市更新事業需要，給予適度之建築容積獎勵；獎勵後之建築容積，不得超過各該建築基地一點五倍之基準容積，且不得超過都市計畫法第八十五條所定施行細則之規定。</w:t>
            </w:r>
          </w:p>
          <w:p w:rsidR="00CB1548" w:rsidRDefault="00CB1548" w:rsidP="007D0A9B">
            <w:pPr>
              <w:spacing w:line="315" w:lineRule="exact"/>
              <w:ind w:leftChars="150" w:left="316" w:rightChars="50" w:right="105" w:firstLineChars="200" w:firstLine="422"/>
              <w:rPr>
                <w:rFonts w:hint="eastAsia"/>
              </w:rPr>
            </w:pPr>
            <w:r>
              <w:rPr>
                <w:rFonts w:hint="eastAsia"/>
              </w:rPr>
              <w:t>有下列各款情形之一者，其獎勵後之建築容積得依下列規定擇優辦理，不受前項後段規定之限制：</w:t>
            </w:r>
          </w:p>
          <w:p w:rsidR="00CB1548" w:rsidRDefault="00CB1548" w:rsidP="007D0A9B">
            <w:pPr>
              <w:spacing w:line="315" w:lineRule="exact"/>
              <w:ind w:leftChars="150" w:left="527" w:rightChars="50" w:right="105" w:hangingChars="100" w:hanging="211"/>
              <w:rPr>
                <w:rFonts w:hint="eastAsia"/>
              </w:rPr>
            </w:pPr>
            <w:r>
              <w:rPr>
                <w:rFonts w:hint="eastAsia"/>
              </w:rPr>
              <w:t>一、實施容積管制前</w:t>
            </w:r>
            <w:r w:rsidRPr="007D0A9B">
              <w:rPr>
                <w:rFonts w:hint="eastAsia"/>
                <w:u w:val="single"/>
              </w:rPr>
              <w:t>已申請建造執照或</w:t>
            </w:r>
            <w:r>
              <w:rPr>
                <w:rFonts w:hint="eastAsia"/>
              </w:rPr>
              <w:t>已興建完成之合法建築物，其原建築容積高於基準容積：不得超過各該建築基地零點三倍之基準容積再加其原建築容積，或各該建築基地一點二倍之原建築容積。</w:t>
            </w:r>
          </w:p>
          <w:p w:rsidR="00CB1548" w:rsidRDefault="00CB1548" w:rsidP="007D0A9B">
            <w:pPr>
              <w:spacing w:line="315" w:lineRule="exact"/>
              <w:ind w:leftChars="150" w:left="527" w:rightChars="50" w:right="105" w:hangingChars="100" w:hanging="211"/>
              <w:rPr>
                <w:rFonts w:hint="eastAsia"/>
              </w:rPr>
            </w:pPr>
            <w:r>
              <w:rPr>
                <w:rFonts w:hint="eastAsia"/>
              </w:rPr>
              <w:t>二、前款合法建築物經直轄市、縣（市）主管機關認定屬高氯離子鋼筋混凝土或耐震能力不足而有明顯危害公共安全：不得超過各該建築基地一點三倍之原建築容積。</w:t>
            </w:r>
          </w:p>
          <w:p w:rsidR="00CB1548" w:rsidRDefault="00CB1548" w:rsidP="007D0A9B">
            <w:pPr>
              <w:spacing w:line="315" w:lineRule="exact"/>
              <w:ind w:leftChars="150" w:left="527" w:rightChars="50" w:right="105" w:hangingChars="100" w:hanging="211"/>
              <w:rPr>
                <w:rFonts w:hint="eastAsia"/>
              </w:rPr>
            </w:pPr>
            <w:r>
              <w:rPr>
                <w:rFonts w:hint="eastAsia"/>
              </w:rPr>
              <w:t>三、各級主管機關依第八條劃定或變更策略性更新地區，屬依第十二條第一項規定方式辦理，且更新單元面積達一萬平方公尺以上：不得超過各該建築基地二倍之基準容積或各該建築基地零點五倍之基準容積再加其原建築容積。</w:t>
            </w:r>
          </w:p>
          <w:p w:rsidR="00CB1548" w:rsidRDefault="00CB1548" w:rsidP="007D0A9B">
            <w:pPr>
              <w:spacing w:line="315" w:lineRule="exact"/>
              <w:ind w:leftChars="150" w:left="316" w:rightChars="50" w:right="105" w:firstLineChars="200" w:firstLine="422"/>
              <w:rPr>
                <w:rFonts w:hint="eastAsia"/>
              </w:rPr>
            </w:pPr>
            <w:r>
              <w:rPr>
                <w:rFonts w:hint="eastAsia"/>
              </w:rPr>
              <w:t>符合前項第二款情形之</w:t>
            </w:r>
            <w:r>
              <w:rPr>
                <w:rFonts w:hint="eastAsia"/>
              </w:rPr>
              <w:lastRenderedPageBreak/>
              <w:t>建築物，得依該款獎勵後之建築容積上限額度建築，且不得再申請第五項所定辦法、自治法規及其他法令規定之建築容積獎勵項目。</w:t>
            </w:r>
          </w:p>
          <w:p w:rsidR="00CB1548" w:rsidRDefault="00CB1548" w:rsidP="007D0A9B">
            <w:pPr>
              <w:spacing w:line="315" w:lineRule="exact"/>
              <w:ind w:leftChars="150" w:left="316" w:rightChars="50" w:right="105" w:firstLineChars="200" w:firstLine="422"/>
              <w:rPr>
                <w:rFonts w:hint="eastAsia"/>
              </w:rPr>
            </w:pPr>
            <w:r>
              <w:rPr>
                <w:rFonts w:hint="eastAsia"/>
              </w:rPr>
              <w:t>依第七條、第八條規定劃定或</w:t>
            </w:r>
            <w:r w:rsidRPr="00C76C06">
              <w:rPr>
                <w:rFonts w:hint="eastAsia"/>
                <w:spacing w:val="2"/>
                <w:kern w:val="0"/>
              </w:rPr>
              <w:t>變更之更新地區，於實施都市更新事業時，其建築物高度及建蔽率得酌予放寬；其標準，由直轄市、縣（市）主管機關定</w:t>
            </w:r>
            <w:r>
              <w:rPr>
                <w:rFonts w:hint="eastAsia"/>
              </w:rPr>
              <w:t>之。但建蔽率之放寬以住宅區之基地為限，且不得超過原建蔽率。</w:t>
            </w:r>
          </w:p>
          <w:p w:rsidR="00CB1548" w:rsidRDefault="00CB1548" w:rsidP="007D0A9B">
            <w:pPr>
              <w:spacing w:line="315" w:lineRule="exact"/>
              <w:ind w:leftChars="150" w:left="316" w:rightChars="50" w:right="105" w:firstLineChars="200" w:firstLine="422"/>
              <w:rPr>
                <w:rFonts w:hint="eastAsia"/>
              </w:rPr>
            </w:pPr>
            <w:r>
              <w:rPr>
                <w:rFonts w:hint="eastAsia"/>
              </w:rPr>
              <w:t>第一項、第二項第一款及第三款建築容積獎勵之項目、計算方式、額度、申請條件及其他相關事項之辦法，由中央主管機關定之；直轄市、縣（市）主管機關基於都市發展特性之需要，得以自治法規另訂獎勵之項目、計算方式、額度、申請條件及其他應遵行事項。</w:t>
            </w:r>
          </w:p>
          <w:p w:rsidR="00CB1548" w:rsidRDefault="00CB1548" w:rsidP="007D0A9B">
            <w:pPr>
              <w:spacing w:line="315" w:lineRule="exact"/>
              <w:ind w:leftChars="150" w:left="316" w:rightChars="50" w:right="105" w:firstLineChars="200" w:firstLine="422"/>
              <w:rPr>
                <w:rFonts w:hint="eastAsia"/>
              </w:rPr>
            </w:pPr>
            <w:r>
              <w:rPr>
                <w:rFonts w:hint="eastAsia"/>
              </w:rPr>
              <w:t>依前項直轄市、縣（市）自治法規給予之建築容積獎勵，不得超過各該建築基地零點二倍之基準容積。但依第二項第三款規定辦理者，不得超過各該建築基地零點四倍之基準容積。</w:t>
            </w:r>
          </w:p>
          <w:p w:rsidR="00CB1548" w:rsidRDefault="00CB1548" w:rsidP="007D0A9B">
            <w:pPr>
              <w:spacing w:line="315" w:lineRule="exact"/>
              <w:ind w:leftChars="150" w:left="316" w:rightChars="50" w:right="105" w:firstLineChars="200" w:firstLine="422"/>
              <w:rPr>
                <w:rFonts w:hint="eastAsia"/>
              </w:rPr>
            </w:pPr>
            <w:r>
              <w:rPr>
                <w:rFonts w:hint="eastAsia"/>
              </w:rPr>
              <w:t>各級主管機關依第五項規定訂定辦法或自治法規有關獎勵之項目，應考量對都市環境之貢獻、公共設施服務水準之影響、文化資產保存維護之貢獻、新技術之應用及有助於都市更新事業之實施等因素。</w:t>
            </w:r>
          </w:p>
          <w:p w:rsidR="00CB1548" w:rsidRDefault="00CB1548" w:rsidP="007D0A9B">
            <w:pPr>
              <w:spacing w:line="315" w:lineRule="exact"/>
              <w:ind w:leftChars="150" w:left="316" w:rightChars="50" w:right="105" w:firstLineChars="200" w:firstLine="422"/>
              <w:rPr>
                <w:rFonts w:hint="eastAsia"/>
              </w:rPr>
            </w:pPr>
            <w:r>
              <w:rPr>
                <w:rFonts w:hint="eastAsia"/>
              </w:rPr>
              <w:t>第二項第二款及第五十七條第三項耐震能力不足建築物而有明顯危害公共安全</w:t>
            </w:r>
            <w:r>
              <w:rPr>
                <w:rFonts w:hint="eastAsia"/>
              </w:rPr>
              <w:lastRenderedPageBreak/>
              <w:t>之認定方式、程序、基準及其他相關事項之辦法，由中央主管機關定之。</w:t>
            </w:r>
          </w:p>
          <w:p w:rsidR="00CB1548" w:rsidRDefault="00CB1548" w:rsidP="007D0A9B">
            <w:pPr>
              <w:spacing w:line="315" w:lineRule="exact"/>
              <w:ind w:leftChars="150" w:left="316" w:rightChars="50" w:right="105" w:firstLineChars="200" w:firstLine="422"/>
              <w:rPr>
                <w:rFonts w:hint="eastAsia"/>
              </w:rPr>
            </w:pPr>
            <w:r>
              <w:rPr>
                <w:rFonts w:hint="eastAsia"/>
              </w:rPr>
              <w:t>都市更新事業計畫於本條例中華民國一百零八年一月三十日修正施行前擬訂報核者，得適用修正前之規定；</w:t>
            </w:r>
            <w:r w:rsidRPr="007D0A9B">
              <w:rPr>
                <w:rFonts w:hint="eastAsia"/>
                <w:u w:val="single"/>
              </w:rPr>
              <w:t>於本</w:t>
            </w:r>
            <w:r w:rsidRPr="00C76C06">
              <w:rPr>
                <w:rFonts w:hint="eastAsia"/>
                <w:spacing w:val="2"/>
                <w:kern w:val="0"/>
                <w:u w:val="single"/>
              </w:rPr>
              <w:t>條例一百十三年○月○日修正施行前擬訂報核之都市更新事業計畫，得適用修正後之第</w:t>
            </w:r>
            <w:r w:rsidRPr="007D0A9B">
              <w:rPr>
                <w:rFonts w:hint="eastAsia"/>
                <w:u w:val="single"/>
              </w:rPr>
              <w:t>二項第一款規定。</w:t>
            </w:r>
          </w:p>
        </w:tc>
        <w:tc>
          <w:tcPr>
            <w:tcW w:w="3043" w:type="dxa"/>
            <w:shd w:val="clear" w:color="auto" w:fill="auto"/>
          </w:tcPr>
          <w:p w:rsidR="00CB1548" w:rsidRDefault="00CB1548" w:rsidP="007D0A9B">
            <w:pPr>
              <w:spacing w:line="315" w:lineRule="exact"/>
              <w:ind w:leftChars="50" w:left="316" w:rightChars="50" w:right="105" w:hangingChars="100" w:hanging="211"/>
              <w:rPr>
                <w:rFonts w:hint="eastAsia"/>
              </w:rPr>
            </w:pPr>
            <w:r>
              <w:rPr>
                <w:rFonts w:hint="eastAsia"/>
              </w:rPr>
              <w:lastRenderedPageBreak/>
              <w:t>第六十五條　都市更新事業計畫範圍內之建築基地，得視都市更新事業需要，給予適度之建築容積獎勵；獎勵後之建築容積，不得超過各該建築基地一點五倍之基準容積，且不得超過都市計畫法第八十五條所定施行細則之規定。</w:t>
            </w:r>
          </w:p>
          <w:p w:rsidR="00CB1548" w:rsidRDefault="00CB1548" w:rsidP="007D0A9B">
            <w:pPr>
              <w:spacing w:line="315" w:lineRule="exact"/>
              <w:ind w:leftChars="150" w:left="316" w:rightChars="50" w:right="105" w:firstLineChars="200" w:firstLine="422"/>
              <w:rPr>
                <w:rFonts w:hint="eastAsia"/>
              </w:rPr>
            </w:pPr>
            <w:r>
              <w:rPr>
                <w:rFonts w:hint="eastAsia"/>
              </w:rPr>
              <w:t>有下列各款情形之一者，其獎勵後之建築容積得依下列規定擇優辦理，不受前項後段規定之限制：</w:t>
            </w:r>
          </w:p>
          <w:p w:rsidR="00CB1548" w:rsidRDefault="00CB1548" w:rsidP="007D0A9B">
            <w:pPr>
              <w:spacing w:line="315" w:lineRule="exact"/>
              <w:ind w:leftChars="150" w:left="527" w:rightChars="50" w:right="105" w:hangingChars="100" w:hanging="211"/>
              <w:rPr>
                <w:rFonts w:hint="eastAsia"/>
              </w:rPr>
            </w:pPr>
            <w:r>
              <w:rPr>
                <w:rFonts w:hint="eastAsia"/>
              </w:rPr>
              <w:t>一、實施容積管制前已興建完成之合法建築物，其原建築容積高於基準容積：不得超過各該建築基地零點三倍之基準容積再加其原建築容積，或各該建築基地一點二倍之原建築容積。</w:t>
            </w:r>
          </w:p>
          <w:p w:rsidR="00CB1548" w:rsidRDefault="00CB1548" w:rsidP="007D0A9B">
            <w:pPr>
              <w:spacing w:line="315" w:lineRule="exact"/>
              <w:ind w:leftChars="150" w:left="527" w:rightChars="50" w:right="105" w:hangingChars="100" w:hanging="211"/>
              <w:rPr>
                <w:rFonts w:hint="eastAsia"/>
              </w:rPr>
            </w:pPr>
            <w:r>
              <w:rPr>
                <w:rFonts w:hint="eastAsia"/>
              </w:rPr>
              <w:t>二、前款合法建築物經直轄市、縣（市）主管機關認定屬高氯離子鋼筋混凝土或耐震能力不足而有明顯危害公共安全：不得超過各該建築基地一點三倍之原建築容積。</w:t>
            </w:r>
          </w:p>
          <w:p w:rsidR="00CB1548" w:rsidRDefault="00CB1548" w:rsidP="007D0A9B">
            <w:pPr>
              <w:spacing w:line="315" w:lineRule="exact"/>
              <w:ind w:leftChars="150" w:left="527" w:rightChars="50" w:right="105" w:hangingChars="100" w:hanging="211"/>
              <w:rPr>
                <w:rFonts w:hint="eastAsia"/>
              </w:rPr>
            </w:pPr>
            <w:r>
              <w:rPr>
                <w:rFonts w:hint="eastAsia"/>
              </w:rPr>
              <w:t>三、各級主管機關依第八條劃定或變更策略性更新地區，屬依第十二條第一項規定方式辦理，且更新單元面積達一萬平方公尺以上：不得超過各該建築基地二倍之基準容積或各該建築基地零點五倍之基準容積再加其原建築容積。</w:t>
            </w:r>
          </w:p>
          <w:p w:rsidR="00CB1548" w:rsidRDefault="00CB1548" w:rsidP="007D0A9B">
            <w:pPr>
              <w:spacing w:line="315" w:lineRule="exact"/>
              <w:ind w:leftChars="150" w:left="316" w:rightChars="50" w:right="105" w:firstLineChars="200" w:firstLine="422"/>
              <w:rPr>
                <w:rFonts w:hint="eastAsia"/>
              </w:rPr>
            </w:pPr>
            <w:r>
              <w:rPr>
                <w:rFonts w:hint="eastAsia"/>
              </w:rPr>
              <w:t>符合前項第二款情形之</w:t>
            </w:r>
            <w:r>
              <w:rPr>
                <w:rFonts w:hint="eastAsia"/>
              </w:rPr>
              <w:lastRenderedPageBreak/>
              <w:t>建築物，得依該款獎勵後之建築容積上限額度建築，且不得再申請第五項所定辦法、自治法規及其他法令規定之建築容積獎勵項目。</w:t>
            </w:r>
          </w:p>
          <w:p w:rsidR="00CB1548" w:rsidRDefault="00CB1548" w:rsidP="007D0A9B">
            <w:pPr>
              <w:spacing w:line="315" w:lineRule="exact"/>
              <w:ind w:leftChars="150" w:left="316" w:rightChars="50" w:right="105" w:firstLineChars="200" w:firstLine="422"/>
              <w:rPr>
                <w:rFonts w:hint="eastAsia"/>
              </w:rPr>
            </w:pPr>
            <w:r>
              <w:rPr>
                <w:rFonts w:hint="eastAsia"/>
              </w:rPr>
              <w:t>依第七條、第八條規定劃定或變更之更新地區，於實施</w:t>
            </w:r>
            <w:r w:rsidRPr="00C76C06">
              <w:rPr>
                <w:rFonts w:hint="eastAsia"/>
                <w:spacing w:val="2"/>
                <w:kern w:val="0"/>
              </w:rPr>
              <w:t>都市更新事業時，其建築物高度及建蔽率得酌予放寬；其標準，由直轄市、縣（市）主管機關定之。但建蔽率之放寬</w:t>
            </w:r>
            <w:r>
              <w:rPr>
                <w:rFonts w:hint="eastAsia"/>
              </w:rPr>
              <w:t>以住宅區之基地為限，且不得超過原建蔽率。</w:t>
            </w:r>
          </w:p>
          <w:p w:rsidR="00CB1548" w:rsidRDefault="00CB1548" w:rsidP="007D0A9B">
            <w:pPr>
              <w:spacing w:line="315" w:lineRule="exact"/>
              <w:ind w:leftChars="150" w:left="316" w:rightChars="50" w:right="105" w:firstLineChars="200" w:firstLine="422"/>
              <w:rPr>
                <w:rFonts w:hint="eastAsia"/>
              </w:rPr>
            </w:pPr>
            <w:r>
              <w:rPr>
                <w:rFonts w:hint="eastAsia"/>
              </w:rPr>
              <w:t>第一項、第二項第一款及第三款建築容積獎勵之項目、計算方式、額度、申請條件及其他相關事項之辦法，由中央主管機關定之；直轄市、縣（市）主管機關基於都市發展特性之需要，得以自治法規另訂獎勵之項目、計算方式、額度、申請條件及其他應遵行事項。</w:t>
            </w:r>
          </w:p>
          <w:p w:rsidR="00CB1548" w:rsidRDefault="00CB1548" w:rsidP="007D0A9B">
            <w:pPr>
              <w:spacing w:line="315" w:lineRule="exact"/>
              <w:ind w:leftChars="150" w:left="316" w:rightChars="50" w:right="105" w:firstLineChars="200" w:firstLine="422"/>
              <w:rPr>
                <w:rFonts w:hint="eastAsia"/>
              </w:rPr>
            </w:pPr>
            <w:r>
              <w:rPr>
                <w:rFonts w:hint="eastAsia"/>
              </w:rPr>
              <w:t>依前項直轄市、縣（市）自治法規給予之建築容積獎勵，不得超過各該建築基地零點二倍之基準容積。但依第二項第三款規定辦理者，不得超過各該建築基地零點四倍之基準容積。</w:t>
            </w:r>
          </w:p>
          <w:p w:rsidR="00CB1548" w:rsidRDefault="00CB1548" w:rsidP="007D0A9B">
            <w:pPr>
              <w:spacing w:line="315" w:lineRule="exact"/>
              <w:ind w:leftChars="150" w:left="316" w:rightChars="50" w:right="105" w:firstLineChars="200" w:firstLine="422"/>
              <w:rPr>
                <w:rFonts w:hint="eastAsia"/>
              </w:rPr>
            </w:pPr>
            <w:r>
              <w:rPr>
                <w:rFonts w:hint="eastAsia"/>
              </w:rPr>
              <w:t>各級主管機關依第五項規定訂定辦法或自治法規有關獎勵之項目，應考量對都市環境之貢獻、公共設施服務水準之影響、文化資產保存維護之貢獻、新技術之應用及有助於都市更新事業之實施等因素。</w:t>
            </w:r>
          </w:p>
          <w:p w:rsidR="00CB1548" w:rsidRDefault="00CB1548" w:rsidP="007D0A9B">
            <w:pPr>
              <w:spacing w:line="315" w:lineRule="exact"/>
              <w:ind w:leftChars="150" w:left="316" w:rightChars="50" w:right="105" w:firstLineChars="200" w:firstLine="422"/>
              <w:rPr>
                <w:rFonts w:hint="eastAsia"/>
              </w:rPr>
            </w:pPr>
            <w:r>
              <w:rPr>
                <w:rFonts w:hint="eastAsia"/>
              </w:rPr>
              <w:t>第二項第二款及第五十七條第三項耐震能力不足建築物而有明顯危害公共安全</w:t>
            </w:r>
            <w:r>
              <w:rPr>
                <w:rFonts w:hint="eastAsia"/>
              </w:rPr>
              <w:lastRenderedPageBreak/>
              <w:t>之認定方式、程序、基準及其他相關事項之辦法，由中央主管機關定之。</w:t>
            </w:r>
          </w:p>
          <w:p w:rsidR="00CB1548" w:rsidRDefault="00CB1548" w:rsidP="007D0A9B">
            <w:pPr>
              <w:spacing w:line="315" w:lineRule="exact"/>
              <w:ind w:leftChars="150" w:left="316" w:rightChars="50" w:right="105" w:firstLineChars="200" w:firstLine="422"/>
              <w:rPr>
                <w:rFonts w:hint="eastAsia"/>
              </w:rPr>
            </w:pPr>
            <w:r>
              <w:rPr>
                <w:rFonts w:hint="eastAsia"/>
              </w:rPr>
              <w:t>都</w:t>
            </w:r>
            <w:r w:rsidRPr="00C76C06">
              <w:rPr>
                <w:rFonts w:hint="eastAsia"/>
                <w:spacing w:val="2"/>
                <w:kern w:val="0"/>
              </w:rPr>
              <w:t>市更新事業計畫於本條例中華民國一百零八年一月三十日修正施行前擬訂報核者，得適用</w:t>
            </w:r>
            <w:r>
              <w:rPr>
                <w:rFonts w:hint="eastAsia"/>
              </w:rPr>
              <w:t>修正前之規定。</w:t>
            </w:r>
          </w:p>
        </w:tc>
        <w:tc>
          <w:tcPr>
            <w:tcW w:w="3043" w:type="dxa"/>
            <w:shd w:val="clear" w:color="auto" w:fill="auto"/>
          </w:tcPr>
          <w:p w:rsidR="00CB1548" w:rsidRDefault="00CB1548" w:rsidP="007D0A9B">
            <w:pPr>
              <w:spacing w:line="315" w:lineRule="exact"/>
              <w:ind w:leftChars="50" w:left="316" w:rightChars="50" w:right="105" w:hangingChars="100" w:hanging="211"/>
              <w:rPr>
                <w:rFonts w:hint="eastAsia"/>
              </w:rPr>
            </w:pPr>
            <w:r>
              <w:rPr>
                <w:rFonts w:hint="eastAsia"/>
              </w:rPr>
              <w:lastRenderedPageBreak/>
              <w:t>一、依據民國（下同）</w:t>
            </w:r>
            <w:r>
              <w:rPr>
                <w:rFonts w:hint="eastAsia"/>
              </w:rPr>
              <w:t>111</w:t>
            </w:r>
            <w:r>
              <w:rPr>
                <w:rFonts w:hint="eastAsia"/>
              </w:rPr>
              <w:t>年內政部統計，房屋稅籍住宅類共</w:t>
            </w:r>
            <w:r>
              <w:rPr>
                <w:rFonts w:hint="eastAsia"/>
              </w:rPr>
              <w:t>919</w:t>
            </w:r>
            <w:r>
              <w:rPr>
                <w:rFonts w:hint="eastAsia"/>
              </w:rPr>
              <w:t>萬戶，</w:t>
            </w:r>
            <w:r w:rsidRPr="005578AD">
              <w:rPr>
                <w:rFonts w:hint="eastAsia"/>
              </w:rPr>
              <w:t>全</w:t>
            </w:r>
            <w:r w:rsidR="005578AD" w:rsidRPr="005578AD">
              <w:rPr>
                <w:rFonts w:hint="eastAsia"/>
              </w:rPr>
              <w:t>臺</w:t>
            </w:r>
            <w:r>
              <w:rPr>
                <w:rFonts w:hint="eastAsia"/>
              </w:rPr>
              <w:t>住宅平均屋齡為</w:t>
            </w:r>
            <w:r>
              <w:rPr>
                <w:rFonts w:hint="eastAsia"/>
              </w:rPr>
              <w:t>32</w:t>
            </w:r>
            <w:r>
              <w:rPr>
                <w:rFonts w:hint="eastAsia"/>
              </w:rPr>
              <w:t>年，其中超過</w:t>
            </w:r>
            <w:r>
              <w:rPr>
                <w:rFonts w:hint="eastAsia"/>
              </w:rPr>
              <w:t>30</w:t>
            </w:r>
            <w:r>
              <w:rPr>
                <w:rFonts w:hint="eastAsia"/>
              </w:rPr>
              <w:t>年屋齡之房屋佔</w:t>
            </w:r>
            <w:r>
              <w:rPr>
                <w:rFonts w:hint="eastAsia"/>
              </w:rPr>
              <w:t>52.59%</w:t>
            </w:r>
            <w:r>
              <w:rPr>
                <w:rFonts w:hint="eastAsia"/>
              </w:rPr>
              <w:t>，其中屋齡</w:t>
            </w:r>
            <w:r>
              <w:rPr>
                <w:rFonts w:hint="eastAsia"/>
              </w:rPr>
              <w:t>50</w:t>
            </w:r>
            <w:r>
              <w:rPr>
                <w:rFonts w:hint="eastAsia"/>
              </w:rPr>
              <w:t>年以上亦達</w:t>
            </w:r>
            <w:r>
              <w:rPr>
                <w:rFonts w:hint="eastAsia"/>
              </w:rPr>
              <w:t>12.13%</w:t>
            </w:r>
            <w:r>
              <w:rPr>
                <w:rFonts w:hint="eastAsia"/>
              </w:rPr>
              <w:t>，意即約有</w:t>
            </w:r>
            <w:r>
              <w:rPr>
                <w:rFonts w:hint="eastAsia"/>
              </w:rPr>
              <w:t>100</w:t>
            </w:r>
            <w:r>
              <w:rPr>
                <w:rFonts w:hint="eastAsia"/>
              </w:rPr>
              <w:t>萬戶之住宅屋齡已超過</w:t>
            </w:r>
            <w:r>
              <w:rPr>
                <w:rFonts w:hint="eastAsia"/>
              </w:rPr>
              <w:t>50</w:t>
            </w:r>
            <w:r>
              <w:rPr>
                <w:rFonts w:hint="eastAsia"/>
              </w:rPr>
              <w:t>年，故如何提高老舊房屋進行都更之意願實為當務之急。</w:t>
            </w:r>
          </w:p>
          <w:p w:rsidR="00CB1548" w:rsidRDefault="00CB1548" w:rsidP="007D0A9B">
            <w:pPr>
              <w:spacing w:line="315" w:lineRule="exact"/>
              <w:ind w:leftChars="50" w:left="316" w:rightChars="50" w:right="105" w:hangingChars="100" w:hanging="211"/>
              <w:rPr>
                <w:rFonts w:hint="eastAsia"/>
              </w:rPr>
            </w:pPr>
            <w:r>
              <w:rPr>
                <w:rFonts w:hint="eastAsia"/>
              </w:rPr>
              <w:t>二、我國於全面實施容積管制前，已申請建造執照之建築基地，係依申請當時之法規規劃設計並據以興建，且該等建築物並未適用九二一大地震後提高之建築耐震標準規定，若要求合法建築物原容積認定需符合實施容積管制前已興建完成之要件，不僅造成民眾權益受損，影響參與推動都更意願，亦未能全面落實修法增訂多元獎勵核算上限供自由選擇辦理之美意，致使居住安全與加速都更推動目標未竟全功。</w:t>
            </w:r>
          </w:p>
          <w:p w:rsidR="00CB1548" w:rsidRDefault="00CB1548" w:rsidP="007D0A9B">
            <w:pPr>
              <w:spacing w:line="315" w:lineRule="exact"/>
              <w:ind w:leftChars="50" w:left="316" w:rightChars="50" w:right="105" w:hangingChars="100" w:hanging="211"/>
              <w:rPr>
                <w:rFonts w:hint="eastAsia"/>
              </w:rPr>
            </w:pPr>
            <w:r>
              <w:rPr>
                <w:rFonts w:hint="eastAsia"/>
              </w:rPr>
              <w:t>三、配合第二項第一款修正合法建築物認定範圍，爰併同修正第九項後段規定，明定都市更新事業計畫於本次修正之條文施行前已擬訂報核者，仍得適用第二項第一款修正後之規定，以保障民眾權益。</w:t>
            </w:r>
          </w:p>
        </w:tc>
      </w:tr>
    </w:tbl>
    <w:p w:rsidR="00CB1548" w:rsidRDefault="00B6504F" w:rsidP="00CB1548">
      <w:pPr>
        <w:rPr>
          <w:rFonts w:hint="eastAsia"/>
        </w:rPr>
      </w:pPr>
      <w:r>
        <w:rPr>
          <w:rFonts w:hint="eastAsia"/>
        </w:rPr>
        <w:lastRenderedPageBreak/>
        <mc:AlternateContent>
          <mc:Choice Requires="wps">
            <w:drawing>
              <wp:anchor distT="0" distB="0" distL="114300" distR="114300" simplePos="0" relativeHeight="251657216" behindDoc="0" locked="0" layoutInCell="1" allowOverlap="1">
                <wp:simplePos x="0" y="0"/>
                <wp:positionH relativeFrom="column">
                  <wp:posOffset>-29845</wp:posOffset>
                </wp:positionH>
                <wp:positionV relativeFrom="paragraph">
                  <wp:posOffset>-1270</wp:posOffset>
                </wp:positionV>
                <wp:extent cx="5814060" cy="0"/>
                <wp:effectExtent l="12700" t="17780" r="12065" b="10795"/>
                <wp:wrapNone/>
                <wp:docPr id="1" name="DW26388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A17CE7" id="DW2638818"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1pt" to="455.4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" strokeweight="1.5pt"/>
            </w:pict>
          </mc:Fallback>
        </mc:AlternateContent>
      </w:r>
    </w:p>
    <w:p w:rsidR="00CB1548" w:rsidRPr="00CB1548" w:rsidRDefault="001414E7" w:rsidP="00CB1548">
      <w:pPr>
        <w:rPr>
          <w:rFonts w:hint="eastAsia"/>
        </w:rPr>
      </w:pPr>
      <w:r>
        <w:br w:type="page"/>
      </w:r>
    </w:p>
    <w:sectPr w:rsidR="00CB1548" w:rsidRPr="00CB1548" w:rsidSect="00CB1548">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0884" w:rsidRDefault="00520884">
      <w:r>
        <w:separator/>
      </w:r>
    </w:p>
  </w:endnote>
  <w:endnote w:type="continuationSeparator" w:id="0">
    <w:p w:rsidR="00520884" w:rsidRDefault="005208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14E7" w:rsidRPr="00EC6673" w:rsidRDefault="00EC6673" w:rsidP="00EC6673">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B6504F">
      <w:t>74</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14E7" w:rsidRPr="00EC6673" w:rsidRDefault="00EC6673" w:rsidP="00EC6673">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B6504F">
      <w:t>73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0884" w:rsidRDefault="00520884">
      <w:r>
        <w:separator/>
      </w:r>
    </w:p>
  </w:footnote>
  <w:footnote w:type="continuationSeparator" w:id="0">
    <w:p w:rsidR="00520884" w:rsidRDefault="005208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14E7" w:rsidRPr="00EC6673" w:rsidRDefault="00EC6673" w:rsidP="00EC6673">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20</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14E7" w:rsidRPr="00EC6673" w:rsidRDefault="00EC6673" w:rsidP="00EC6673">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20</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1548"/>
    <w:rsid w:val="00021974"/>
    <w:rsid w:val="000322E4"/>
    <w:rsid w:val="00034179"/>
    <w:rsid w:val="0006260D"/>
    <w:rsid w:val="0007483B"/>
    <w:rsid w:val="000807F7"/>
    <w:rsid w:val="00092EFA"/>
    <w:rsid w:val="000B190B"/>
    <w:rsid w:val="000C6344"/>
    <w:rsid w:val="000D2076"/>
    <w:rsid w:val="000E3372"/>
    <w:rsid w:val="000E772F"/>
    <w:rsid w:val="000E7F7F"/>
    <w:rsid w:val="000F48AA"/>
    <w:rsid w:val="001132D3"/>
    <w:rsid w:val="001166AB"/>
    <w:rsid w:val="00123301"/>
    <w:rsid w:val="00130626"/>
    <w:rsid w:val="001346DF"/>
    <w:rsid w:val="001414E7"/>
    <w:rsid w:val="00152E55"/>
    <w:rsid w:val="00153AD0"/>
    <w:rsid w:val="00174DC3"/>
    <w:rsid w:val="001776A7"/>
    <w:rsid w:val="00192966"/>
    <w:rsid w:val="001A0A32"/>
    <w:rsid w:val="001A3D6E"/>
    <w:rsid w:val="001A5138"/>
    <w:rsid w:val="001A7C69"/>
    <w:rsid w:val="001E1A19"/>
    <w:rsid w:val="001E385A"/>
    <w:rsid w:val="00235073"/>
    <w:rsid w:val="00235BD9"/>
    <w:rsid w:val="00240FA3"/>
    <w:rsid w:val="0024333A"/>
    <w:rsid w:val="00243679"/>
    <w:rsid w:val="00252A12"/>
    <w:rsid w:val="00293B0A"/>
    <w:rsid w:val="002A04DC"/>
    <w:rsid w:val="002A45CD"/>
    <w:rsid w:val="002A509E"/>
    <w:rsid w:val="002C335B"/>
    <w:rsid w:val="003516B8"/>
    <w:rsid w:val="00355CB3"/>
    <w:rsid w:val="00360394"/>
    <w:rsid w:val="00362E94"/>
    <w:rsid w:val="00372E8D"/>
    <w:rsid w:val="00387860"/>
    <w:rsid w:val="00395E18"/>
    <w:rsid w:val="003A00D7"/>
    <w:rsid w:val="003A6947"/>
    <w:rsid w:val="003B341B"/>
    <w:rsid w:val="004034F0"/>
    <w:rsid w:val="004047CB"/>
    <w:rsid w:val="00405CC1"/>
    <w:rsid w:val="0040655D"/>
    <w:rsid w:val="004126B4"/>
    <w:rsid w:val="0042704C"/>
    <w:rsid w:val="0044045C"/>
    <w:rsid w:val="00441B24"/>
    <w:rsid w:val="00443AB2"/>
    <w:rsid w:val="00453F8A"/>
    <w:rsid w:val="00473B4E"/>
    <w:rsid w:val="00485C17"/>
    <w:rsid w:val="004860A9"/>
    <w:rsid w:val="00496CDA"/>
    <w:rsid w:val="004C459D"/>
    <w:rsid w:val="004D78BA"/>
    <w:rsid w:val="004E74DF"/>
    <w:rsid w:val="004F17A8"/>
    <w:rsid w:val="00520884"/>
    <w:rsid w:val="00542984"/>
    <w:rsid w:val="00552448"/>
    <w:rsid w:val="005578AD"/>
    <w:rsid w:val="00572D70"/>
    <w:rsid w:val="005B1DB0"/>
    <w:rsid w:val="005E1B94"/>
    <w:rsid w:val="00632430"/>
    <w:rsid w:val="00655703"/>
    <w:rsid w:val="006873C4"/>
    <w:rsid w:val="006B2CB0"/>
    <w:rsid w:val="006C7F9F"/>
    <w:rsid w:val="006D7D23"/>
    <w:rsid w:val="006E2402"/>
    <w:rsid w:val="006E3C20"/>
    <w:rsid w:val="006F10CF"/>
    <w:rsid w:val="006F5861"/>
    <w:rsid w:val="00722A05"/>
    <w:rsid w:val="00732BD2"/>
    <w:rsid w:val="00735FD8"/>
    <w:rsid w:val="007776A4"/>
    <w:rsid w:val="00781901"/>
    <w:rsid w:val="007908D5"/>
    <w:rsid w:val="00794FA3"/>
    <w:rsid w:val="007A1C27"/>
    <w:rsid w:val="007A4599"/>
    <w:rsid w:val="007C4084"/>
    <w:rsid w:val="007D04A0"/>
    <w:rsid w:val="007D0A9B"/>
    <w:rsid w:val="007E74DC"/>
    <w:rsid w:val="007F060D"/>
    <w:rsid w:val="007F7A16"/>
    <w:rsid w:val="00861B21"/>
    <w:rsid w:val="00863C32"/>
    <w:rsid w:val="00864C67"/>
    <w:rsid w:val="00877B64"/>
    <w:rsid w:val="00883D74"/>
    <w:rsid w:val="008A0C5D"/>
    <w:rsid w:val="008B4209"/>
    <w:rsid w:val="008E326C"/>
    <w:rsid w:val="008E5D88"/>
    <w:rsid w:val="0090241A"/>
    <w:rsid w:val="00926F56"/>
    <w:rsid w:val="00963798"/>
    <w:rsid w:val="00992003"/>
    <w:rsid w:val="009C16B2"/>
    <w:rsid w:val="009C3904"/>
    <w:rsid w:val="009D3F34"/>
    <w:rsid w:val="009E10F6"/>
    <w:rsid w:val="009E3C01"/>
    <w:rsid w:val="009F6F51"/>
    <w:rsid w:val="00A043BB"/>
    <w:rsid w:val="00A05B7F"/>
    <w:rsid w:val="00A0600A"/>
    <w:rsid w:val="00A13020"/>
    <w:rsid w:val="00A13259"/>
    <w:rsid w:val="00A32A9C"/>
    <w:rsid w:val="00A678DC"/>
    <w:rsid w:val="00A80A44"/>
    <w:rsid w:val="00A86BD4"/>
    <w:rsid w:val="00A876DC"/>
    <w:rsid w:val="00AA2ADF"/>
    <w:rsid w:val="00AC5512"/>
    <w:rsid w:val="00AC692A"/>
    <w:rsid w:val="00AC6A09"/>
    <w:rsid w:val="00AD6810"/>
    <w:rsid w:val="00AF1CCC"/>
    <w:rsid w:val="00B15BB5"/>
    <w:rsid w:val="00B278AB"/>
    <w:rsid w:val="00B40364"/>
    <w:rsid w:val="00B6504F"/>
    <w:rsid w:val="00BA57BA"/>
    <w:rsid w:val="00BA71D7"/>
    <w:rsid w:val="00BB5684"/>
    <w:rsid w:val="00BE0A55"/>
    <w:rsid w:val="00BE0D17"/>
    <w:rsid w:val="00BF63AF"/>
    <w:rsid w:val="00C201E0"/>
    <w:rsid w:val="00C216C6"/>
    <w:rsid w:val="00C50091"/>
    <w:rsid w:val="00C56D95"/>
    <w:rsid w:val="00C76C06"/>
    <w:rsid w:val="00C84B2E"/>
    <w:rsid w:val="00C9556F"/>
    <w:rsid w:val="00C9653B"/>
    <w:rsid w:val="00CB1548"/>
    <w:rsid w:val="00CD541C"/>
    <w:rsid w:val="00CE016C"/>
    <w:rsid w:val="00CF12AE"/>
    <w:rsid w:val="00CF6866"/>
    <w:rsid w:val="00D03570"/>
    <w:rsid w:val="00D05F85"/>
    <w:rsid w:val="00D07EA1"/>
    <w:rsid w:val="00D22A25"/>
    <w:rsid w:val="00D24211"/>
    <w:rsid w:val="00D32121"/>
    <w:rsid w:val="00D542A5"/>
    <w:rsid w:val="00D65F9F"/>
    <w:rsid w:val="00D84D2B"/>
    <w:rsid w:val="00D922B6"/>
    <w:rsid w:val="00DA65B7"/>
    <w:rsid w:val="00DA6A2B"/>
    <w:rsid w:val="00DA7D72"/>
    <w:rsid w:val="00DC1C3F"/>
    <w:rsid w:val="00DC2697"/>
    <w:rsid w:val="00DE0D1A"/>
    <w:rsid w:val="00DF37C2"/>
    <w:rsid w:val="00DF389A"/>
    <w:rsid w:val="00E01D1A"/>
    <w:rsid w:val="00E049FB"/>
    <w:rsid w:val="00E10D3F"/>
    <w:rsid w:val="00E174AB"/>
    <w:rsid w:val="00E20354"/>
    <w:rsid w:val="00E21EEE"/>
    <w:rsid w:val="00E42982"/>
    <w:rsid w:val="00E51C63"/>
    <w:rsid w:val="00E62000"/>
    <w:rsid w:val="00E67FFE"/>
    <w:rsid w:val="00E72EE7"/>
    <w:rsid w:val="00EA02A7"/>
    <w:rsid w:val="00EC145C"/>
    <w:rsid w:val="00EC6673"/>
    <w:rsid w:val="00ED580D"/>
    <w:rsid w:val="00ED5C0E"/>
    <w:rsid w:val="00ED5E9D"/>
    <w:rsid w:val="00F1464A"/>
    <w:rsid w:val="00F30B58"/>
    <w:rsid w:val="00F474B2"/>
    <w:rsid w:val="00F61EC1"/>
    <w:rsid w:val="00F71E07"/>
    <w:rsid w:val="00F82284"/>
    <w:rsid w:val="00F85C4D"/>
    <w:rsid w:val="00F92C63"/>
    <w:rsid w:val="00FA2348"/>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E4BE6616-B0BB-4A20-BC86-568745756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E15187-22A0-4AD2-8EAD-8CEF81174E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0</TotalTime>
  <Pages>6</Pages>
  <Words>494</Words>
  <Characters>2819</Characters>
  <Application>Microsoft Office Word</Application>
  <DocSecurity>0</DocSecurity>
  <Lines>23</Lines>
  <Paragraphs>6</Paragraphs>
  <ScaleCrop>false</ScaleCrop>
  <Company/>
  <LinksUpToDate>false</LinksUpToDate>
  <CharactersWithSpaces>3307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24號</dc:creator>
  <cp:keywords>11;1;20</cp:keywords>
  <dc:description>委73;委78;6;議案202110058510000</dc:description>
  <cp:lastModifiedBy>Windows 使用者</cp:lastModifiedBy>
  <cp:revision>2</cp:revision>
  <cp:lastPrinted>2004-10-07T02:24:00Z</cp:lastPrinted>
  <dcterms:created xsi:type="dcterms:W3CDTF">2024-07-10T06:50:00Z</dcterms:created>
  <dcterms:modified xsi:type="dcterms:W3CDTF">2024-07-10T06:50:00Z</dcterms:modified>
</cp:coreProperties>
</file>