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6CA8" w:rsidRDefault="007F6CA8" w:rsidP="007F6CA8">
      <w:pPr>
        <w:spacing w:afterLines="50" w:after="167"/>
        <w:rPr>
          <w:rFonts w:hint="eastAsia"/>
        </w:rPr>
      </w:pPr>
      <w:bookmarkStart w:id="0" w:name="_GoBack"/>
      <w:bookmarkEnd w:id="0"/>
      <w:r>
        <w:rPr>
          <w:rFonts w:hint="eastAsia"/>
        </w:rPr>
        <w:t xml:space="preserve">　　　　　　　　　　　　　　　　　　　　　　　　　　　　　</w:t>
      </w:r>
      <w:r w:rsidR="005C3320">
        <w:rPr>
          <w:rFonts w:hint="eastAsia"/>
        </w:rPr>
        <w:t>議案編號：</w:t>
      </w:r>
      <w:r w:rsidR="005C3320">
        <w:rPr>
          <w:rFonts w:hint="eastAsia"/>
        </w:rPr>
        <w:t>202110030530000</w:t>
      </w:r>
    </w:p>
    <w:p w:rsidR="007F6CA8" w:rsidRDefault="007F6CA8" w:rsidP="007F6CA8">
      <w:pPr>
        <w:snapToGrid w:val="0"/>
        <w:ind w:leftChars="400" w:left="844"/>
        <w:rPr>
          <w:rFonts w:ascii="細明體" w:hAnsi="細明體" w:hint="eastAsia"/>
        </w:rPr>
      </w:pPr>
      <w:r w:rsidRPr="007F6CA8">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\o\ad(\s\up5(（中華民國41年9月起編號）),\s\do5(中華民國113年4月17日印發))</w:instrText>
      </w:r>
      <w:r>
        <w:rPr>
          <w:rFonts w:ascii="細明體" w:hAnsi="細明體"/>
        </w:rPr>
        <w:fldChar w:fldCharType="end"/>
      </w:r>
    </w:p>
    <w:p w:rsidR="007F6CA8" w:rsidRDefault="007F6CA8" w:rsidP="007F6CA8">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7F6CA8" w:rsidTr="001F7464">
        <w:tc>
          <w:tcPr>
            <w:tcW w:w="0" w:type="auto"/>
            <w:shd w:val="clear" w:color="auto" w:fill="auto"/>
            <w:vAlign w:val="center"/>
          </w:tcPr>
          <w:p w:rsidR="007F6CA8" w:rsidRDefault="007F6CA8" w:rsidP="001F7464">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7F6CA8" w:rsidRDefault="007F6CA8" w:rsidP="001F7464">
            <w:pPr>
              <w:pStyle w:val="affff5"/>
              <w:ind w:leftChars="200" w:left="422"/>
              <w:rPr>
                <w:rFonts w:hint="eastAsia"/>
              </w:rPr>
            </w:pPr>
            <w:r>
              <w:rPr>
                <w:rFonts w:hint="eastAsia"/>
              </w:rPr>
              <w:t>委員</w:t>
            </w:r>
          </w:p>
        </w:tc>
        <w:tc>
          <w:tcPr>
            <w:tcW w:w="0" w:type="auto"/>
            <w:shd w:val="clear" w:color="auto" w:fill="auto"/>
            <w:vAlign w:val="center"/>
          </w:tcPr>
          <w:p w:rsidR="007F6CA8" w:rsidRDefault="007F6CA8" w:rsidP="001F7464">
            <w:pPr>
              <w:pStyle w:val="affff5"/>
              <w:rPr>
                <w:rFonts w:hint="eastAsia"/>
              </w:rPr>
            </w:pPr>
            <w:r>
              <w:rPr>
                <w:rFonts w:hint="eastAsia"/>
              </w:rPr>
              <w:t>提案第</w:t>
            </w:r>
          </w:p>
        </w:tc>
        <w:tc>
          <w:tcPr>
            <w:tcW w:w="0" w:type="auto"/>
            <w:shd w:val="clear" w:color="auto" w:fill="auto"/>
            <w:tcMar>
              <w:left w:w="113" w:type="dxa"/>
              <w:right w:w="113" w:type="dxa"/>
            </w:tcMar>
            <w:vAlign w:val="center"/>
          </w:tcPr>
          <w:p w:rsidR="007F6CA8" w:rsidRDefault="007F6CA8" w:rsidP="001F7464">
            <w:pPr>
              <w:pStyle w:val="affff5"/>
              <w:jc w:val="distribute"/>
              <w:rPr>
                <w:rFonts w:hint="eastAsia"/>
              </w:rPr>
            </w:pPr>
            <w:r>
              <w:t>11003053</w:t>
            </w:r>
          </w:p>
        </w:tc>
        <w:tc>
          <w:tcPr>
            <w:tcW w:w="0" w:type="auto"/>
            <w:shd w:val="clear" w:color="auto" w:fill="auto"/>
            <w:vAlign w:val="center"/>
          </w:tcPr>
          <w:p w:rsidR="007F6CA8" w:rsidRDefault="007F6CA8" w:rsidP="001F7464">
            <w:pPr>
              <w:pStyle w:val="affff5"/>
              <w:rPr>
                <w:rFonts w:hint="eastAsia"/>
              </w:rPr>
            </w:pPr>
            <w:r>
              <w:rPr>
                <w:rFonts w:hint="eastAsia"/>
              </w:rPr>
              <w:t>號</w:t>
            </w:r>
          </w:p>
        </w:tc>
        <w:tc>
          <w:tcPr>
            <w:tcW w:w="0" w:type="auto"/>
            <w:shd w:val="clear" w:color="auto" w:fill="auto"/>
            <w:vAlign w:val="center"/>
          </w:tcPr>
          <w:p w:rsidR="007F6CA8" w:rsidRDefault="007F6CA8" w:rsidP="001F7464">
            <w:pPr>
              <w:pStyle w:val="affff5"/>
              <w:rPr>
                <w:rFonts w:hint="eastAsia"/>
              </w:rPr>
            </w:pPr>
          </w:p>
        </w:tc>
        <w:tc>
          <w:tcPr>
            <w:tcW w:w="0" w:type="auto"/>
            <w:shd w:val="clear" w:color="auto" w:fill="auto"/>
            <w:tcMar>
              <w:left w:w="113" w:type="dxa"/>
            </w:tcMar>
            <w:vAlign w:val="center"/>
          </w:tcPr>
          <w:p w:rsidR="007F6CA8" w:rsidRDefault="007F6CA8" w:rsidP="001F7464">
            <w:pPr>
              <w:pStyle w:val="affff5"/>
              <w:rPr>
                <w:rFonts w:hint="eastAsia"/>
              </w:rPr>
            </w:pPr>
          </w:p>
        </w:tc>
      </w:tr>
    </w:tbl>
    <w:p w:rsidR="007F6CA8" w:rsidRDefault="007F6CA8" w:rsidP="007F6CA8">
      <w:pPr>
        <w:pStyle w:val="afb"/>
        <w:spacing w:line="600" w:lineRule="exact"/>
        <w:ind w:left="1382" w:hanging="855"/>
        <w:rPr>
          <w:rFonts w:hint="eastAsia"/>
        </w:rPr>
      </w:pPr>
    </w:p>
    <w:p w:rsidR="007F6CA8" w:rsidRDefault="007F6CA8" w:rsidP="00E77212">
      <w:pPr>
        <w:pStyle w:val="afb"/>
        <w:spacing w:line="500" w:lineRule="exact"/>
        <w:ind w:left="1382" w:hanging="855"/>
        <w:rPr>
          <w:rFonts w:hint="eastAsia"/>
        </w:rPr>
      </w:pPr>
      <w:r>
        <w:rPr>
          <w:rFonts w:hint="eastAsia"/>
        </w:rPr>
        <w:t>案由：本院委員王育敏等</w:t>
      </w:r>
      <w:r>
        <w:rPr>
          <w:rFonts w:hint="eastAsia"/>
        </w:rPr>
        <w:t>17</w:t>
      </w:r>
      <w:r>
        <w:rPr>
          <w:rFonts w:hint="eastAsia"/>
        </w:rPr>
        <w:t>人，有鑑於公共建設係為增進民眾活動之便利，及確保良好之都市生活環境，為使容積移轉制度可有效提昇都市公共設施服務水準，並使公共設施保留地取得同時能完成興闢，以避免增加地方政府用地管理維護之成本及</w:t>
      </w:r>
      <w:r w:rsidRPr="00C95EB0">
        <w:rPr>
          <w:rFonts w:hint="eastAsia"/>
          <w:spacing w:val="0"/>
        </w:rPr>
        <w:t>衍生治安、環境死角。爰擬具「都市計畫法第八十三條之</w:t>
      </w:r>
      <w:r>
        <w:rPr>
          <w:rFonts w:hint="eastAsia"/>
        </w:rPr>
        <w:t>一條</w:t>
      </w:r>
      <w:r w:rsidRPr="00C95EB0">
        <w:rPr>
          <w:rFonts w:hint="eastAsia"/>
          <w:spacing w:val="8"/>
        </w:rPr>
        <w:t>文修正草案」，將公共設施保留地之興闢納入容積移轉制</w:t>
      </w:r>
      <w:r>
        <w:rPr>
          <w:rFonts w:hint="eastAsia"/>
        </w:rPr>
        <w:t>度之範疇，以促進公共建設之興闢供民眾使用，完善都市機能，降低公共環境衝擊。是否有當？敬請公決。</w:t>
      </w:r>
    </w:p>
    <w:p w:rsidR="007F6CA8" w:rsidRPr="007F6CA8" w:rsidRDefault="007F6CA8" w:rsidP="007F6CA8">
      <w:pPr>
        <w:pStyle w:val="afb"/>
        <w:ind w:left="1382" w:hanging="855"/>
        <w:rPr>
          <w:rFonts w:hint="eastAsia"/>
        </w:rPr>
      </w:pPr>
    </w:p>
    <w:p w:rsidR="007F6CA8" w:rsidRDefault="007F6CA8" w:rsidP="005C3320">
      <w:pPr>
        <w:pStyle w:val="a4"/>
        <w:spacing w:line="470" w:lineRule="exact"/>
        <w:ind w:left="633" w:hanging="633"/>
        <w:rPr>
          <w:rFonts w:hint="eastAsia"/>
        </w:rPr>
      </w:pPr>
      <w:r>
        <w:rPr>
          <w:rFonts w:hint="eastAsia"/>
        </w:rPr>
        <w:t>說明：</w:t>
      </w:r>
    </w:p>
    <w:p w:rsidR="007F6CA8" w:rsidRDefault="007F6CA8" w:rsidP="005C3320">
      <w:pPr>
        <w:pStyle w:val="afffff0"/>
        <w:spacing w:line="470" w:lineRule="exact"/>
        <w:ind w:left="633" w:hanging="422"/>
        <w:rPr>
          <w:rFonts w:hint="eastAsia"/>
        </w:rPr>
      </w:pPr>
      <w:r>
        <w:rPr>
          <w:rFonts w:hint="eastAsia"/>
        </w:rPr>
        <w:t>一、現行容積移轉制度僅可減輕公共設施保留地之取得成本，但未能負擔政府開闢公共設施之財政支出，容積增額利益直接獲利係因建築物之樓地板增加，故收取之容積代金。容積移轉制度除了補償私有公共保留地之地主權益，如能用於公共建設用地取得，並完成公共設施保留地之開闢，既可減輕政府興闢公共設施之財政支出負擔，亦能提升民眾生活品質。</w:t>
      </w:r>
    </w:p>
    <w:p w:rsidR="007F6CA8" w:rsidRDefault="007F6CA8" w:rsidP="005C3320">
      <w:pPr>
        <w:pStyle w:val="afffff0"/>
        <w:spacing w:line="470" w:lineRule="exact"/>
        <w:ind w:left="633" w:hanging="422"/>
        <w:rPr>
          <w:rFonts w:hint="eastAsia"/>
        </w:rPr>
      </w:pPr>
      <w:r>
        <w:rPr>
          <w:rFonts w:hint="eastAsia"/>
        </w:rPr>
        <w:t>二、各地都市發展歷程及條件不同，部分直轄市及縣（市）劃分多處主要計畫區。部分主要計畫區囿於市場因素，容積移轉及採折繳代金移入方式案件較少，致該地區公共設施保留地取得有限。由於地方政府未能統籌容積代金支應區位，對於具跨區服務之公共設施無法同時取得，造成公共設施服務斷裂，加劇都市核心與邊陲發展落差。</w:t>
      </w:r>
    </w:p>
    <w:p w:rsidR="007F6CA8" w:rsidRDefault="007F6CA8" w:rsidP="005C3320">
      <w:pPr>
        <w:pStyle w:val="afffff0"/>
        <w:spacing w:line="470" w:lineRule="exact"/>
        <w:ind w:left="633" w:hanging="422"/>
        <w:rPr>
          <w:rFonts w:hint="eastAsia"/>
        </w:rPr>
      </w:pPr>
      <w:r>
        <w:rPr>
          <w:rFonts w:hint="eastAsia"/>
        </w:rPr>
        <w:t>三、爰提案修正「都市計畫法第八十三條之一」，將公共設施保留地之興闢納入容積移轉制度之範疇，並授權地方政府訂定容積代金收支保管及運用方式，以促進公共建設之興闢供民眾使用，完善都市機能，降低公共環境衝擊。</w:t>
      </w:r>
    </w:p>
    <w:p w:rsidR="007F6CA8" w:rsidRDefault="007F6CA8" w:rsidP="007F6CA8"/>
    <w:p w:rsidR="007F6CA8" w:rsidRDefault="007F6CA8" w:rsidP="007F6CA8">
      <w:pPr>
        <w:pStyle w:val="-"/>
        <w:ind w:left="3165" w:right="633" w:hanging="844"/>
        <w:rPr>
          <w:rFonts w:hint="eastAsia"/>
        </w:rPr>
      </w:pPr>
      <w:r>
        <w:rPr>
          <w:rFonts w:hint="eastAsia"/>
        </w:rPr>
        <w:lastRenderedPageBreak/>
        <w:t xml:space="preserve">提案人：王育敏　　</w:t>
      </w:r>
    </w:p>
    <w:p w:rsidR="007F6CA8" w:rsidRDefault="007F6CA8" w:rsidP="007F6CA8">
      <w:pPr>
        <w:pStyle w:val="-"/>
        <w:ind w:left="3165" w:right="633" w:hanging="844"/>
        <w:rPr>
          <w:rFonts w:hint="eastAsia"/>
        </w:rPr>
      </w:pPr>
      <w:r>
        <w:rPr>
          <w:rFonts w:hint="eastAsia"/>
        </w:rPr>
        <w:t xml:space="preserve">連署人：林沛祥　　邱若華　　邱鎮軍　　洪孟楷　　徐巧芯　　徐欣瑩　　翁曉玲　　高金素梅　張嘉郡　　陳永康　　陳玉珍　　傅崐萁　　游　顥　　楊瓊瓔　　鄭正鈐　　羅智強　　</w:t>
      </w:r>
    </w:p>
    <w:p w:rsidR="007F6CA8" w:rsidRDefault="007F6CA8" w:rsidP="007F6CA8">
      <w:pPr>
        <w:pStyle w:val="affffe"/>
        <w:ind w:firstLine="422"/>
        <w:sectPr w:rsidR="007F6CA8" w:rsidSect="00F41B9E">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61"/>
          <w:cols w:space="720"/>
          <w:docGrid w:type="linesAndChars" w:linePitch="335" w:charSpace="200"/>
        </w:sectPr>
      </w:pPr>
    </w:p>
    <w:p w:rsidR="007F6CA8" w:rsidRDefault="007F6CA8" w:rsidP="005C3320">
      <w:pPr>
        <w:spacing w:line="14" w:lineRule="exact"/>
        <w:sectPr w:rsidR="007F6CA8" w:rsidSect="007F6CA8">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7F6CA8" w:rsidTr="001F7464">
        <w:tc>
          <w:tcPr>
            <w:tcW w:w="9128" w:type="dxa"/>
            <w:gridSpan w:val="3"/>
            <w:tcBorders>
              <w:top w:val="nil"/>
              <w:left w:val="nil"/>
              <w:bottom w:val="nil"/>
              <w:right w:val="nil"/>
            </w:tcBorders>
            <w:shd w:val="clear" w:color="auto" w:fill="auto"/>
          </w:tcPr>
          <w:p w:rsidR="007F6CA8" w:rsidRPr="001F7464" w:rsidRDefault="007F6CA8" w:rsidP="001F7464">
            <w:pPr>
              <w:spacing w:before="105" w:after="105" w:line="480" w:lineRule="exact"/>
              <w:ind w:leftChars="500" w:left="1055"/>
              <w:rPr>
                <w:rFonts w:ascii="標楷體" w:eastAsia="標楷體" w:hAnsi="標楷體" w:hint="eastAsia"/>
                <w:sz w:val="28"/>
              </w:rPr>
            </w:pPr>
            <w:r w:rsidRPr="001F7464">
              <w:rPr>
                <w:rFonts w:ascii="標楷體" w:eastAsia="標楷體" w:hAnsi="標楷體"/>
                <w:sz w:val="28"/>
              </w:rPr>
              <w:br w:type="page"/>
              <w:t>都市計畫法第八十三條之一條文修正草案對照表</w:t>
            </w:r>
            <w:bookmarkStart w:id="1" w:name="TA1717035"/>
            <w:bookmarkEnd w:id="1"/>
          </w:p>
        </w:tc>
      </w:tr>
      <w:tr w:rsidR="007F6CA8" w:rsidTr="001F7464">
        <w:tc>
          <w:tcPr>
            <w:tcW w:w="3042" w:type="dxa"/>
            <w:tcBorders>
              <w:top w:val="nil"/>
            </w:tcBorders>
            <w:shd w:val="clear" w:color="auto" w:fill="auto"/>
          </w:tcPr>
          <w:p w:rsidR="007F6CA8" w:rsidRDefault="00A65CAB" w:rsidP="001F7464">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7830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E7BFC8" id="DW78300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DmelkhGAIAACsEAAAOAAAAAAAAAAAAAAAAAC4CAABkcnMvZTJvRG9jLnhtbFBLAQItABQABgAI&#10;AAAAIQDzdpd93AAAAAgBAAAPAAAAAAAAAAAAAAAAAHIEAABkcnMvZG93bnJldi54bWxQSwUGAAAA&#10;AAQABADzAAAAewUAAAAA&#10;" strokeweight="1.5pt"/>
                  </w:pict>
                </mc:Fallback>
              </mc:AlternateContent>
            </w:r>
            <w:r w:rsidR="007F6CA8">
              <w:rPr>
                <w:rFonts w:hint="eastAsia"/>
              </w:rPr>
              <w:t>修正</w:t>
            </w:r>
            <w:r w:rsidR="00607B47">
              <w:rPr>
                <w:rFonts w:hint="eastAsia"/>
              </w:rPr>
              <w:t>條文</w:t>
            </w:r>
          </w:p>
        </w:tc>
        <w:tc>
          <w:tcPr>
            <w:tcW w:w="3043" w:type="dxa"/>
            <w:tcBorders>
              <w:top w:val="nil"/>
            </w:tcBorders>
            <w:shd w:val="clear" w:color="auto" w:fill="auto"/>
          </w:tcPr>
          <w:p w:rsidR="007F6CA8" w:rsidRDefault="007F6CA8" w:rsidP="001F7464">
            <w:pPr>
              <w:pStyle w:val="aff8"/>
              <w:ind w:left="105" w:right="105"/>
              <w:rPr>
                <w:rFonts w:hint="eastAsia"/>
              </w:rPr>
            </w:pPr>
            <w:r>
              <w:rPr>
                <w:rFonts w:hint="eastAsia"/>
              </w:rPr>
              <w:t>現行條文</w:t>
            </w:r>
          </w:p>
        </w:tc>
        <w:tc>
          <w:tcPr>
            <w:tcW w:w="3043" w:type="dxa"/>
            <w:tcBorders>
              <w:top w:val="nil"/>
            </w:tcBorders>
            <w:shd w:val="clear" w:color="auto" w:fill="auto"/>
          </w:tcPr>
          <w:p w:rsidR="007F6CA8" w:rsidRDefault="007F6CA8" w:rsidP="001F7464">
            <w:pPr>
              <w:pStyle w:val="aff8"/>
              <w:ind w:left="105" w:right="105"/>
              <w:rPr>
                <w:rFonts w:hint="eastAsia"/>
              </w:rPr>
            </w:pPr>
            <w:r>
              <w:rPr>
                <w:rFonts w:hint="eastAsia"/>
              </w:rPr>
              <w:t>說明</w:t>
            </w:r>
          </w:p>
        </w:tc>
      </w:tr>
      <w:tr w:rsidR="007F6CA8" w:rsidTr="001F7464">
        <w:tc>
          <w:tcPr>
            <w:tcW w:w="3042" w:type="dxa"/>
            <w:shd w:val="clear" w:color="auto" w:fill="auto"/>
          </w:tcPr>
          <w:p w:rsidR="007F6CA8" w:rsidRDefault="00A65CAB" w:rsidP="001F7464">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4618355</wp:posOffset>
                      </wp:positionV>
                      <wp:extent cx="5814060" cy="0"/>
                      <wp:effectExtent l="14605" t="10160" r="10160" b="18415"/>
                      <wp:wrapNone/>
                      <wp:docPr id="1" name="DW3652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B99871" id="DW36525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363.65pt" to="455.6pt,36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PssFgIAACsEAAAOAAAAZHJzL2Uyb0RvYy54bWysU8GO2jAQvVfqP1i+QxI2U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" strokeweight="1.5pt"/>
                  </w:pict>
                </mc:Fallback>
              </mc:AlternateContent>
            </w:r>
            <w:r w:rsidR="007F6CA8">
              <w:rPr>
                <w:rFonts w:hint="eastAsia"/>
              </w:rPr>
              <w:t>第八十三條之一　公共設施保留地之取得</w:t>
            </w:r>
            <w:r w:rsidR="007F6CA8" w:rsidRPr="001F7464">
              <w:rPr>
                <w:rFonts w:hint="eastAsia"/>
                <w:u w:val="single"/>
              </w:rPr>
              <w:t>及興闢</w:t>
            </w:r>
            <w:r w:rsidR="007F6CA8">
              <w:rPr>
                <w:rFonts w:hint="eastAsia"/>
              </w:rPr>
              <w:t>、具有紀念性或藝術價值之建築與歷史建築之保存維護及公共開放空間之提供，得以容積移轉方式辦理。</w:t>
            </w:r>
          </w:p>
          <w:p w:rsidR="007F6CA8" w:rsidRDefault="007F6CA8" w:rsidP="001F7464">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p w:rsidR="007F6CA8" w:rsidRPr="001F7464" w:rsidRDefault="007F6CA8" w:rsidP="001F7464">
            <w:pPr>
              <w:spacing w:line="315" w:lineRule="exact"/>
              <w:ind w:leftChars="150" w:left="316" w:rightChars="50" w:right="105" w:firstLineChars="200" w:firstLine="422"/>
              <w:rPr>
                <w:rFonts w:hint="eastAsia"/>
                <w:u w:val="single"/>
              </w:rPr>
            </w:pPr>
            <w:r w:rsidRPr="001F7464">
              <w:rPr>
                <w:rFonts w:hint="eastAsia"/>
                <w:u w:val="single"/>
              </w:rPr>
              <w:t>第二項代金之用途，應專款專用於取得與接受基地同一直轄市、縣（市）都市計畫區之公共設施保留地及興辦工程與相關作業費用，相關收支保管及運用方式，由直轄市、縣（市）政府定之。</w:t>
            </w:r>
          </w:p>
        </w:tc>
        <w:tc>
          <w:tcPr>
            <w:tcW w:w="3043" w:type="dxa"/>
            <w:shd w:val="clear" w:color="auto" w:fill="auto"/>
          </w:tcPr>
          <w:p w:rsidR="007F6CA8" w:rsidRDefault="007F6CA8" w:rsidP="001F7464">
            <w:pPr>
              <w:spacing w:line="315" w:lineRule="exact"/>
              <w:ind w:leftChars="50" w:left="316" w:rightChars="50" w:right="105" w:hangingChars="100" w:hanging="211"/>
              <w:rPr>
                <w:rFonts w:hint="eastAsia"/>
              </w:rPr>
            </w:pPr>
            <w:r>
              <w:rPr>
                <w:rFonts w:hint="eastAsia"/>
              </w:rPr>
              <w:t>第八十三條之一　公共設施保留地之取得、具有紀念性或藝術價值之建築與歷史建築之保存維護及公共開放空間之提供，得以容積移轉方式辦理。</w:t>
            </w:r>
          </w:p>
          <w:p w:rsidR="007F6CA8" w:rsidRDefault="007F6CA8" w:rsidP="001F7464">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tc>
        <w:tc>
          <w:tcPr>
            <w:tcW w:w="3043" w:type="dxa"/>
            <w:shd w:val="clear" w:color="auto" w:fill="auto"/>
          </w:tcPr>
          <w:p w:rsidR="007F6CA8" w:rsidRDefault="007F6CA8" w:rsidP="001F7464">
            <w:pPr>
              <w:spacing w:line="315" w:lineRule="exact"/>
              <w:ind w:leftChars="50" w:left="316" w:rightChars="50" w:right="105" w:hangingChars="100" w:hanging="211"/>
              <w:rPr>
                <w:rFonts w:hint="eastAsia"/>
              </w:rPr>
            </w:pPr>
            <w:r>
              <w:rPr>
                <w:rFonts w:hint="eastAsia"/>
              </w:rPr>
              <w:t>一、考量容積移轉制度除了補償私有公共保留地之地主權益，如能用於公共建設用地取得，並完成公共設施保留地之開闢，既可減輕政府興闢公共設施之財政支出負擔，亦能提升民眾生活品質。</w:t>
            </w:r>
          </w:p>
          <w:p w:rsidR="007F6CA8" w:rsidRDefault="007F6CA8" w:rsidP="001F7464">
            <w:pPr>
              <w:spacing w:line="315" w:lineRule="exact"/>
              <w:ind w:leftChars="50" w:left="316" w:rightChars="50" w:right="105" w:hangingChars="100" w:hanging="211"/>
              <w:rPr>
                <w:rFonts w:hint="eastAsia"/>
              </w:rPr>
            </w:pPr>
            <w:r>
              <w:rPr>
                <w:rFonts w:hint="eastAsia"/>
              </w:rPr>
              <w:t>二、由於地方政府未能統籌容積代金支應區位，對於具跨區服務之公共設施無法同時取得，造成公共設施服務斷裂，加劇都市核心與邊陲發展落差。</w:t>
            </w:r>
          </w:p>
          <w:p w:rsidR="007F6CA8" w:rsidRDefault="007F6CA8" w:rsidP="001F7464">
            <w:pPr>
              <w:spacing w:line="315" w:lineRule="exact"/>
              <w:ind w:leftChars="50" w:left="316" w:rightChars="50" w:right="105" w:hangingChars="100" w:hanging="211"/>
              <w:rPr>
                <w:rFonts w:hint="eastAsia"/>
              </w:rPr>
            </w:pPr>
            <w:r>
              <w:rPr>
                <w:rFonts w:hint="eastAsia"/>
              </w:rPr>
              <w:t>三、爰修正本條第一項，將公共設施保留地之興闢納入容積移轉制度之範疇，俾利加速公共設施保留地之興闢。</w:t>
            </w:r>
          </w:p>
          <w:p w:rsidR="007F6CA8" w:rsidRDefault="007F6CA8" w:rsidP="001F7464">
            <w:pPr>
              <w:spacing w:line="315" w:lineRule="exact"/>
              <w:ind w:leftChars="50" w:left="316" w:rightChars="50" w:right="105" w:hangingChars="100" w:hanging="211"/>
              <w:rPr>
                <w:rFonts w:hint="eastAsia"/>
              </w:rPr>
            </w:pPr>
            <w:r>
              <w:rPr>
                <w:rFonts w:hint="eastAsia"/>
              </w:rPr>
              <w:t>四、新增第三項，授權地方政府訂定容積代金收支保管及</w:t>
            </w:r>
            <w:r w:rsidRPr="008E0C34">
              <w:rPr>
                <w:rFonts w:hint="eastAsia"/>
                <w:spacing w:val="2"/>
                <w:kern w:val="0"/>
              </w:rPr>
              <w:t>運用方式，以促進公共建設之興闢供民眾使用，完善都市機能，降低公共環境衝擊</w:t>
            </w:r>
            <w:r>
              <w:rPr>
                <w:rFonts w:hint="eastAsia"/>
              </w:rPr>
              <w:t>。</w:t>
            </w:r>
          </w:p>
        </w:tc>
      </w:tr>
    </w:tbl>
    <w:p w:rsidR="00D22A25" w:rsidRDefault="00D22A25" w:rsidP="007F6CA8">
      <w:pPr>
        <w:rPr>
          <w:rFonts w:hint="eastAsia"/>
        </w:rPr>
      </w:pPr>
    </w:p>
    <w:p w:rsidR="007F6CA8" w:rsidRPr="00441B24" w:rsidRDefault="005C3320" w:rsidP="007F6CA8">
      <w:pPr>
        <w:rPr>
          <w:rFonts w:hint="eastAsia"/>
        </w:rPr>
      </w:pPr>
      <w:r>
        <w:br w:type="page"/>
      </w:r>
    </w:p>
    <w:sectPr w:rsidR="007F6CA8" w:rsidRPr="00441B24" w:rsidSect="007F6CA8">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669D" w:rsidRDefault="00F9669D">
      <w:r>
        <w:separator/>
      </w:r>
    </w:p>
  </w:endnote>
  <w:endnote w:type="continuationSeparator" w:id="0">
    <w:p w:rsidR="00F9669D" w:rsidRDefault="00F966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EB0" w:rsidRPr="00F41B9E" w:rsidRDefault="00F41B9E" w:rsidP="00F41B9E">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A65CAB">
      <w:t>62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EB0" w:rsidRPr="00F41B9E" w:rsidRDefault="00F41B9E" w:rsidP="00F41B9E">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A65CAB">
      <w:t>61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669D" w:rsidRDefault="00F9669D">
      <w:r>
        <w:separator/>
      </w:r>
    </w:p>
  </w:footnote>
  <w:footnote w:type="continuationSeparator" w:id="0">
    <w:p w:rsidR="00F9669D" w:rsidRDefault="00F966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EB0" w:rsidRPr="00F41B9E" w:rsidRDefault="00F41B9E" w:rsidP="00F41B9E">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10</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EB0" w:rsidRPr="00F41B9E" w:rsidRDefault="00F41B9E" w:rsidP="00F41B9E">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10</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CA8"/>
    <w:rsid w:val="00021974"/>
    <w:rsid w:val="000322E4"/>
    <w:rsid w:val="00034179"/>
    <w:rsid w:val="0006260D"/>
    <w:rsid w:val="0007483B"/>
    <w:rsid w:val="00092EFA"/>
    <w:rsid w:val="000B190B"/>
    <w:rsid w:val="000C6344"/>
    <w:rsid w:val="000D2076"/>
    <w:rsid w:val="000E3372"/>
    <w:rsid w:val="000F48AA"/>
    <w:rsid w:val="001132D3"/>
    <w:rsid w:val="001166AB"/>
    <w:rsid w:val="00123301"/>
    <w:rsid w:val="00130626"/>
    <w:rsid w:val="001346DF"/>
    <w:rsid w:val="00152E55"/>
    <w:rsid w:val="00153AD0"/>
    <w:rsid w:val="00174DC3"/>
    <w:rsid w:val="001776A7"/>
    <w:rsid w:val="00192966"/>
    <w:rsid w:val="001A0A32"/>
    <w:rsid w:val="001A5138"/>
    <w:rsid w:val="001A7C69"/>
    <w:rsid w:val="001E1A19"/>
    <w:rsid w:val="001E385A"/>
    <w:rsid w:val="001F7464"/>
    <w:rsid w:val="00235073"/>
    <w:rsid w:val="00235BD9"/>
    <w:rsid w:val="00240FA3"/>
    <w:rsid w:val="0024333A"/>
    <w:rsid w:val="00243679"/>
    <w:rsid w:val="00252A12"/>
    <w:rsid w:val="00293B0A"/>
    <w:rsid w:val="002A04DC"/>
    <w:rsid w:val="002A509E"/>
    <w:rsid w:val="002C335B"/>
    <w:rsid w:val="002E59DA"/>
    <w:rsid w:val="0033768A"/>
    <w:rsid w:val="003516B8"/>
    <w:rsid w:val="00355CB3"/>
    <w:rsid w:val="00360394"/>
    <w:rsid w:val="00362E94"/>
    <w:rsid w:val="00372E8D"/>
    <w:rsid w:val="00387860"/>
    <w:rsid w:val="00395E18"/>
    <w:rsid w:val="003A00D7"/>
    <w:rsid w:val="003A6947"/>
    <w:rsid w:val="003B341B"/>
    <w:rsid w:val="003C7992"/>
    <w:rsid w:val="004034F0"/>
    <w:rsid w:val="004047CB"/>
    <w:rsid w:val="00405CC1"/>
    <w:rsid w:val="004126B4"/>
    <w:rsid w:val="0042704C"/>
    <w:rsid w:val="0044045C"/>
    <w:rsid w:val="00441B24"/>
    <w:rsid w:val="00443AB2"/>
    <w:rsid w:val="00453F8A"/>
    <w:rsid w:val="00473B4E"/>
    <w:rsid w:val="004840C8"/>
    <w:rsid w:val="00485C17"/>
    <w:rsid w:val="004B7E94"/>
    <w:rsid w:val="004C459D"/>
    <w:rsid w:val="004D78BA"/>
    <w:rsid w:val="004E74DF"/>
    <w:rsid w:val="004F17A8"/>
    <w:rsid w:val="0054122F"/>
    <w:rsid w:val="00542984"/>
    <w:rsid w:val="00552448"/>
    <w:rsid w:val="00572D70"/>
    <w:rsid w:val="005B1DB0"/>
    <w:rsid w:val="005C3320"/>
    <w:rsid w:val="005D1CA8"/>
    <w:rsid w:val="00607B47"/>
    <w:rsid w:val="00632430"/>
    <w:rsid w:val="00633179"/>
    <w:rsid w:val="00655703"/>
    <w:rsid w:val="006873C4"/>
    <w:rsid w:val="006B2CB0"/>
    <w:rsid w:val="006C7F9F"/>
    <w:rsid w:val="006D7D23"/>
    <w:rsid w:val="006E2402"/>
    <w:rsid w:val="006E3C20"/>
    <w:rsid w:val="006F10CF"/>
    <w:rsid w:val="006F1BE2"/>
    <w:rsid w:val="006F5861"/>
    <w:rsid w:val="00722A05"/>
    <w:rsid w:val="00732BD2"/>
    <w:rsid w:val="00735FD8"/>
    <w:rsid w:val="007776A4"/>
    <w:rsid w:val="00781901"/>
    <w:rsid w:val="007908D5"/>
    <w:rsid w:val="00794FA3"/>
    <w:rsid w:val="007A1C27"/>
    <w:rsid w:val="007A4599"/>
    <w:rsid w:val="007C4084"/>
    <w:rsid w:val="007D04A0"/>
    <w:rsid w:val="007E74DC"/>
    <w:rsid w:val="007F6CA8"/>
    <w:rsid w:val="007F7A16"/>
    <w:rsid w:val="00861B21"/>
    <w:rsid w:val="00863C32"/>
    <w:rsid w:val="00864C67"/>
    <w:rsid w:val="00883D74"/>
    <w:rsid w:val="008A0C5D"/>
    <w:rsid w:val="008B4209"/>
    <w:rsid w:val="008C6EC5"/>
    <w:rsid w:val="008E0C34"/>
    <w:rsid w:val="008E326C"/>
    <w:rsid w:val="008E5D88"/>
    <w:rsid w:val="0090241A"/>
    <w:rsid w:val="00926F56"/>
    <w:rsid w:val="00963798"/>
    <w:rsid w:val="00992003"/>
    <w:rsid w:val="009C16B2"/>
    <w:rsid w:val="009C3904"/>
    <w:rsid w:val="009D3F34"/>
    <w:rsid w:val="009E10F6"/>
    <w:rsid w:val="00A05B7F"/>
    <w:rsid w:val="00A0600A"/>
    <w:rsid w:val="00A13259"/>
    <w:rsid w:val="00A32A9C"/>
    <w:rsid w:val="00A65CAB"/>
    <w:rsid w:val="00A678DC"/>
    <w:rsid w:val="00A7125C"/>
    <w:rsid w:val="00A77664"/>
    <w:rsid w:val="00A80A44"/>
    <w:rsid w:val="00A86BD4"/>
    <w:rsid w:val="00A876DC"/>
    <w:rsid w:val="00AA2ADF"/>
    <w:rsid w:val="00AC692A"/>
    <w:rsid w:val="00AC6A09"/>
    <w:rsid w:val="00AD6810"/>
    <w:rsid w:val="00AF1CCC"/>
    <w:rsid w:val="00B02A26"/>
    <w:rsid w:val="00B15BB5"/>
    <w:rsid w:val="00B278AB"/>
    <w:rsid w:val="00B40364"/>
    <w:rsid w:val="00B479FC"/>
    <w:rsid w:val="00BA71D7"/>
    <w:rsid w:val="00BB5684"/>
    <w:rsid w:val="00BE0A55"/>
    <w:rsid w:val="00BF63AF"/>
    <w:rsid w:val="00C201E0"/>
    <w:rsid w:val="00C216C6"/>
    <w:rsid w:val="00C50091"/>
    <w:rsid w:val="00C56D95"/>
    <w:rsid w:val="00C84B2E"/>
    <w:rsid w:val="00C9556F"/>
    <w:rsid w:val="00C95EB0"/>
    <w:rsid w:val="00C9653B"/>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1C3F"/>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77212"/>
    <w:rsid w:val="00EA02A7"/>
    <w:rsid w:val="00EC145C"/>
    <w:rsid w:val="00ED580D"/>
    <w:rsid w:val="00ED5C0E"/>
    <w:rsid w:val="00ED5E9D"/>
    <w:rsid w:val="00F1464A"/>
    <w:rsid w:val="00F30B58"/>
    <w:rsid w:val="00F41B9E"/>
    <w:rsid w:val="00F474B2"/>
    <w:rsid w:val="00F61EC1"/>
    <w:rsid w:val="00F71E07"/>
    <w:rsid w:val="00F82284"/>
    <w:rsid w:val="00F85C4D"/>
    <w:rsid w:val="00F92C63"/>
    <w:rsid w:val="00F9669D"/>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FB17A01E-CEB3-4370-A87A-C4A64C978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F8CF73-11E4-4DC4-9908-77763F18A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4</Pages>
  <Words>235</Words>
  <Characters>1343</Characters>
  <Application>Microsoft Office Word</Application>
  <DocSecurity>0</DocSecurity>
  <Lines>11</Lines>
  <Paragraphs>3</Paragraphs>
  <ScaleCrop>false</ScaleCrop>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24號</dc:creator>
  <cp:keywords>11;1;10</cp:keywords>
  <dc:description>委61;委64;4;議案202110030530000</dc:description>
  <cp:lastModifiedBy>Windows 使用者</cp:lastModifiedBy>
  <cp:revision>2</cp:revision>
  <cp:lastPrinted>2004-10-07T02:24:00Z</cp:lastPrinted>
  <dcterms:created xsi:type="dcterms:W3CDTF">2024-05-02T09:24:00Z</dcterms:created>
  <dcterms:modified xsi:type="dcterms:W3CDTF">2024-05-02T09:24:00Z</dcterms:modified>
</cp:coreProperties>
</file>