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22F8F6C7" w14:textId="71DCE944" w:rsidR="004D58F2" w:rsidRPr="00EA1D4E" w:rsidRDefault="004D58F2" w:rsidP="00BF40F3">
      <w:pPr>
        <w:pStyle w:val="14"/>
        <w:ind w:left="425" w:hangingChars="150" w:hanging="425"/>
        <w:rPr>
          <w:rFonts w:hAnsi="標楷體"/>
        </w:rPr>
      </w:pPr>
      <w:bookmarkStart w:id="1" w:name="_Toc180412997"/>
      <w:r w:rsidRPr="00EA1D4E">
        <w:rPr>
          <w:rFonts w:hAnsi="標楷體" w:hint="eastAsia"/>
        </w:rPr>
        <w:t>二、中央大學近年收支短絀情形未見有效改善，</w:t>
      </w:r>
      <w:r w:rsidRPr="00490D05">
        <w:rPr>
          <w:rFonts w:hAnsi="標楷體" w:hint="eastAsia"/>
        </w:rPr>
        <w:t>建教合作收入近8成來自政府科研補助及委辦計畫</w:t>
      </w:r>
      <w:r>
        <w:rPr>
          <w:rFonts w:ascii="新細明體" w:eastAsia="新細明體" w:hAnsi="新細明體" w:hint="eastAsia"/>
        </w:rPr>
        <w:t>，</w:t>
      </w:r>
      <w:r w:rsidRPr="00EA1D4E">
        <w:rPr>
          <w:rFonts w:hAnsi="標楷體" w:hint="eastAsia"/>
        </w:rPr>
        <w:t>允宜持續強化各項開源節流措施，以達維持基金收支平衡或有賸餘之目標</w:t>
      </w:r>
      <w:bookmarkEnd w:id="1"/>
    </w:p>
    <w:p w14:paraId="441FEDE2" w14:textId="77777777" w:rsidR="004D58F2" w:rsidRPr="00EA1D4E" w:rsidRDefault="004D58F2" w:rsidP="00242042">
      <w:pPr>
        <w:ind w:left="566" w:firstLine="566"/>
        <w:rPr>
          <w:rFonts w:hAnsi="標楷體"/>
        </w:rPr>
      </w:pPr>
      <w:r>
        <w:rPr>
          <w:rFonts w:hAnsi="標楷體" w:hint="eastAsia"/>
        </w:rPr>
        <w:t>國立</w:t>
      </w:r>
      <w:r w:rsidRPr="00EA1D4E">
        <w:rPr>
          <w:rFonts w:hAnsi="標楷體" w:hint="eastAsia"/>
        </w:rPr>
        <w:t>中央大學校務基金114年度預算案編列收入50億1,891萬3千元，費用52億3,</w:t>
      </w:r>
      <w:r w:rsidRPr="00EA1D4E">
        <w:rPr>
          <w:rFonts w:hAnsi="標楷體"/>
        </w:rPr>
        <w:t>774</w:t>
      </w:r>
      <w:r w:rsidRPr="00EA1D4E">
        <w:rPr>
          <w:rFonts w:hAnsi="標楷體" w:hint="eastAsia"/>
        </w:rPr>
        <w:t>萬</w:t>
      </w:r>
      <w:r w:rsidRPr="00EA1D4E">
        <w:rPr>
          <w:rFonts w:hAnsi="標楷體"/>
        </w:rPr>
        <w:t>6</w:t>
      </w:r>
      <w:r w:rsidRPr="00EA1D4E">
        <w:rPr>
          <w:rFonts w:hAnsi="標楷體" w:hint="eastAsia"/>
        </w:rPr>
        <w:t>千元，收支相抵後，預計短絀2億1</w:t>
      </w:r>
      <w:r w:rsidRPr="00EA1D4E">
        <w:rPr>
          <w:rFonts w:hAnsi="標楷體"/>
        </w:rPr>
        <w:t>,883</w:t>
      </w:r>
      <w:r w:rsidRPr="00EA1D4E">
        <w:rPr>
          <w:rFonts w:hAnsi="標楷體" w:hint="eastAsia"/>
        </w:rPr>
        <w:t>萬</w:t>
      </w:r>
      <w:r w:rsidRPr="00EA1D4E">
        <w:rPr>
          <w:rFonts w:hAnsi="標楷體"/>
        </w:rPr>
        <w:t>3</w:t>
      </w:r>
      <w:r w:rsidRPr="00EA1D4E">
        <w:rPr>
          <w:rFonts w:hAnsi="標楷體" w:hint="eastAsia"/>
        </w:rPr>
        <w:t>千元，較11</w:t>
      </w:r>
      <w:r w:rsidRPr="00EA1D4E">
        <w:rPr>
          <w:rFonts w:hAnsi="標楷體"/>
        </w:rPr>
        <w:t>3</w:t>
      </w:r>
      <w:r w:rsidRPr="00EA1D4E">
        <w:rPr>
          <w:rFonts w:hAnsi="標楷體" w:hint="eastAsia"/>
        </w:rPr>
        <w:t>年度預算案本期短絀2億0,208萬7千元，增加1,674萬6千元(增幅8.29%)。經查：</w:t>
      </w:r>
    </w:p>
    <w:p w14:paraId="17F5DCC8" w14:textId="77777777" w:rsidR="004D58F2" w:rsidRPr="00EA1D4E" w:rsidRDefault="004D58F2" w:rsidP="00242042">
      <w:pPr>
        <w:pStyle w:val="a4"/>
        <w:ind w:left="849" w:hanging="283"/>
        <w:rPr>
          <w:rFonts w:hAnsi="標楷體"/>
          <w:b/>
          <w:bCs/>
        </w:rPr>
      </w:pPr>
      <w:r w:rsidRPr="00EA1D4E">
        <w:rPr>
          <w:rFonts w:hAnsi="標楷體" w:hint="eastAsia"/>
          <w:b/>
          <w:bCs/>
        </w:rPr>
        <w:t>(一)近年校務基金收支短絀情形未見有效改善，允宜持續強化各項開源節流措施，以達維持基金收支平衡或有賸餘之目標</w:t>
      </w:r>
    </w:p>
    <w:p w14:paraId="4E23AACA" w14:textId="77777777" w:rsidR="004D58F2" w:rsidRDefault="004D58F2" w:rsidP="00242042">
      <w:pPr>
        <w:pStyle w:val="2"/>
        <w:ind w:left="850" w:firstLine="566"/>
        <w:rPr>
          <w:rFonts w:hAnsi="標楷體"/>
        </w:rPr>
      </w:pPr>
      <w:r w:rsidRPr="00EA1D4E">
        <w:rPr>
          <w:rFonts w:hAnsi="標楷體" w:hint="eastAsia"/>
        </w:rPr>
        <w:t>經分析近年中央大學校務基金收支餘絀預算編列及執行情形，各年度營運結果皆持續發生短絀，就預算編列情形觀之，短絀數由110年度</w:t>
      </w:r>
      <w:r w:rsidRPr="00490D05">
        <w:rPr>
          <w:rFonts w:hAnsi="標楷體"/>
        </w:rPr>
        <w:t>1</w:t>
      </w:r>
      <w:r w:rsidRPr="00EA1D4E">
        <w:rPr>
          <w:rFonts w:hAnsi="標楷體" w:hint="eastAsia"/>
        </w:rPr>
        <w:t>億</w:t>
      </w:r>
      <w:r w:rsidRPr="00490D05">
        <w:rPr>
          <w:rFonts w:hAnsi="標楷體"/>
        </w:rPr>
        <w:t>4,491</w:t>
      </w:r>
      <w:r>
        <w:rPr>
          <w:rFonts w:hAnsi="標楷體" w:hint="eastAsia"/>
        </w:rPr>
        <w:t>萬</w:t>
      </w:r>
      <w:r w:rsidRPr="00490D05">
        <w:rPr>
          <w:rFonts w:hAnsi="標楷體"/>
        </w:rPr>
        <w:t>3</w:t>
      </w:r>
      <w:r>
        <w:rPr>
          <w:rFonts w:hAnsi="標楷體" w:hint="eastAsia"/>
        </w:rPr>
        <w:t>千</w:t>
      </w:r>
      <w:r w:rsidRPr="00EA1D4E">
        <w:rPr>
          <w:rFonts w:hAnsi="標楷體" w:hint="eastAsia"/>
        </w:rPr>
        <w:t>元</w:t>
      </w:r>
      <w:r>
        <w:rPr>
          <w:rFonts w:hAnsi="標楷體" w:hint="eastAsia"/>
        </w:rPr>
        <w:t>至</w:t>
      </w:r>
      <w:r w:rsidRPr="00EA1D4E">
        <w:rPr>
          <w:rFonts w:hAnsi="標楷體" w:hint="eastAsia"/>
        </w:rPr>
        <w:t>114年度預計</w:t>
      </w:r>
      <w:r w:rsidRPr="00490D05">
        <w:rPr>
          <w:rFonts w:hAnsi="標楷體"/>
        </w:rPr>
        <w:t>2</w:t>
      </w:r>
      <w:r w:rsidRPr="00EA1D4E">
        <w:rPr>
          <w:rFonts w:hAnsi="標楷體" w:hint="eastAsia"/>
        </w:rPr>
        <w:t>億</w:t>
      </w:r>
      <w:r w:rsidRPr="00490D05">
        <w:rPr>
          <w:rFonts w:hAnsi="標楷體"/>
        </w:rPr>
        <w:t>1,883</w:t>
      </w:r>
      <w:r>
        <w:rPr>
          <w:rFonts w:hAnsi="標楷體" w:hint="eastAsia"/>
        </w:rPr>
        <w:t>萬</w:t>
      </w:r>
      <w:r w:rsidRPr="00490D05">
        <w:rPr>
          <w:rFonts w:hAnsi="標楷體"/>
        </w:rPr>
        <w:t>3</w:t>
      </w:r>
      <w:r>
        <w:rPr>
          <w:rFonts w:hAnsi="標楷體" w:hint="eastAsia"/>
        </w:rPr>
        <w:t>千</w:t>
      </w:r>
      <w:r w:rsidRPr="00EA1D4E">
        <w:rPr>
          <w:rFonts w:hAnsi="標楷體" w:hint="eastAsia"/>
        </w:rPr>
        <w:t>元</w:t>
      </w:r>
      <w:r>
        <w:rPr>
          <w:rFonts w:ascii="新細明體" w:eastAsia="新細明體" w:hAnsi="新細明體" w:hint="eastAsia"/>
        </w:rPr>
        <w:t>，</w:t>
      </w:r>
      <w:r>
        <w:rPr>
          <w:rFonts w:hAnsi="標楷體" w:hint="eastAsia"/>
        </w:rPr>
        <w:t>概呈</w:t>
      </w:r>
      <w:r w:rsidRPr="00EA1D4E">
        <w:rPr>
          <w:rFonts w:hAnsi="標楷體" w:hint="eastAsia"/>
        </w:rPr>
        <w:t>增加趨勢，增幅高達51%；另就實際執行情形觀之，110至112年度執行結果未如預期，決算審定短絀數分別為</w:t>
      </w:r>
      <w:r w:rsidRPr="00EA1D4E">
        <w:rPr>
          <w:rFonts w:hAnsi="標楷體"/>
        </w:rPr>
        <w:t>1</w:t>
      </w:r>
      <w:r w:rsidRPr="00EA1D4E">
        <w:rPr>
          <w:rFonts w:hAnsi="標楷體" w:hint="eastAsia"/>
        </w:rPr>
        <w:t>億</w:t>
      </w:r>
      <w:r w:rsidRPr="00EA1D4E">
        <w:rPr>
          <w:rFonts w:hAnsi="標楷體"/>
        </w:rPr>
        <w:t>7,424</w:t>
      </w:r>
      <w:r w:rsidRPr="00EA1D4E">
        <w:rPr>
          <w:rFonts w:hAnsi="標楷體" w:hint="eastAsia"/>
        </w:rPr>
        <w:t>萬</w:t>
      </w:r>
      <w:r w:rsidRPr="00EA1D4E">
        <w:rPr>
          <w:rFonts w:hAnsi="標楷體"/>
        </w:rPr>
        <w:t>3</w:t>
      </w:r>
      <w:r w:rsidRPr="00EA1D4E">
        <w:rPr>
          <w:rFonts w:hAnsi="標楷體" w:hint="eastAsia"/>
        </w:rPr>
        <w:t>千元、</w:t>
      </w:r>
      <w:r w:rsidRPr="00EA1D4E">
        <w:rPr>
          <w:rFonts w:hAnsi="標楷體"/>
        </w:rPr>
        <w:t>1</w:t>
      </w:r>
      <w:r w:rsidRPr="00EA1D4E">
        <w:rPr>
          <w:rFonts w:hAnsi="標楷體" w:hint="eastAsia"/>
        </w:rPr>
        <w:t>億</w:t>
      </w:r>
      <w:r w:rsidRPr="00EA1D4E">
        <w:rPr>
          <w:rFonts w:hAnsi="標楷體"/>
        </w:rPr>
        <w:t>7,4</w:t>
      </w:r>
      <w:r w:rsidRPr="00EA1D4E">
        <w:rPr>
          <w:rFonts w:hAnsi="標楷體" w:hint="eastAsia"/>
        </w:rPr>
        <w:t>18萬1千元及</w:t>
      </w:r>
      <w:r w:rsidRPr="00EA1D4E">
        <w:rPr>
          <w:rFonts w:hAnsi="標楷體"/>
        </w:rPr>
        <w:t>1</w:t>
      </w:r>
      <w:r w:rsidRPr="00EA1D4E">
        <w:rPr>
          <w:rFonts w:hAnsi="標楷體" w:hint="eastAsia"/>
        </w:rPr>
        <w:t>億</w:t>
      </w:r>
      <w:r w:rsidRPr="00EA1D4E">
        <w:rPr>
          <w:rFonts w:hAnsi="標楷體"/>
        </w:rPr>
        <w:t>9,840</w:t>
      </w:r>
      <w:r w:rsidRPr="00EA1D4E">
        <w:rPr>
          <w:rFonts w:hAnsi="標楷體" w:hint="eastAsia"/>
        </w:rPr>
        <w:t>萬</w:t>
      </w:r>
      <w:r w:rsidRPr="00EA1D4E">
        <w:rPr>
          <w:rFonts w:hAnsi="標楷體"/>
        </w:rPr>
        <w:t>1</w:t>
      </w:r>
      <w:r w:rsidRPr="00EA1D4E">
        <w:rPr>
          <w:rFonts w:hAnsi="標楷體" w:hint="eastAsia"/>
        </w:rPr>
        <w:t>千元，整體而言亦</w:t>
      </w:r>
      <w:r>
        <w:rPr>
          <w:rFonts w:hAnsi="標楷體" w:hint="eastAsia"/>
        </w:rPr>
        <w:t>概</w:t>
      </w:r>
      <w:r w:rsidRPr="00EA1D4E">
        <w:rPr>
          <w:rFonts w:hAnsi="標楷體" w:hint="eastAsia"/>
        </w:rPr>
        <w:t>呈增加趨勢，顯示近年該校整體營運狀況未見</w:t>
      </w:r>
      <w:r>
        <w:rPr>
          <w:rFonts w:hAnsi="標楷體" w:hint="eastAsia"/>
        </w:rPr>
        <w:t>有效</w:t>
      </w:r>
      <w:r w:rsidRPr="00EA1D4E">
        <w:rPr>
          <w:rFonts w:hAnsi="標楷體" w:hint="eastAsia"/>
        </w:rPr>
        <w:t>改善(詳表1)，</w:t>
      </w:r>
      <w:r>
        <w:rPr>
          <w:rFonts w:hAnsi="標楷體" w:hint="eastAsia"/>
        </w:rPr>
        <w:t>據該校說明</w:t>
      </w:r>
      <w:r>
        <w:rPr>
          <w:rFonts w:ascii="新細明體" w:eastAsia="新細明體" w:hAnsi="新細明體" w:hint="eastAsia"/>
        </w:rPr>
        <w:t>，</w:t>
      </w:r>
      <w:r w:rsidRPr="0068107E">
        <w:rPr>
          <w:rFonts w:hAnsi="標楷體" w:hint="eastAsia"/>
        </w:rPr>
        <w:t>已規劃相關開源節流措施，包括研議調整學雜費、吸引外籍生就讀、爭取政府機關補助或委辦計畫、設置太陽光電發電設備增加售電回饋金、積極推動募款等以增加收入；另同時建立工程開口契約及堪用財物交流資訊平台、推行無紙化與節能措施等以撙節支出</w:t>
      </w:r>
      <w:r w:rsidRPr="00EA1D4E">
        <w:rPr>
          <w:rFonts w:hAnsi="標楷體" w:hint="eastAsia"/>
        </w:rPr>
        <w:t>，允宜持續強化各項開源節流措施，以達維持基金收支平衡或有賸餘之目標</w:t>
      </w:r>
      <w:r w:rsidRPr="00EA1D4E">
        <w:rPr>
          <w:rStyle w:val="af2"/>
          <w:rFonts w:hAnsi="標楷體"/>
        </w:rPr>
        <w:footnoteReference w:id="1"/>
      </w:r>
      <w:r w:rsidRPr="00EA1D4E">
        <w:rPr>
          <w:rFonts w:hAnsi="標楷體" w:hint="eastAsia"/>
        </w:rPr>
        <w:t>。</w:t>
      </w:r>
    </w:p>
    <w:p w14:paraId="495BE1D2" w14:textId="77777777" w:rsidR="004D58F2" w:rsidRPr="00EA1D4E" w:rsidRDefault="004D58F2" w:rsidP="001B2E10">
      <w:pPr>
        <w:pStyle w:val="20"/>
        <w:ind w:left="780" w:hangingChars="275" w:hanging="780"/>
        <w:rPr>
          <w:rFonts w:hAnsi="標楷體"/>
        </w:rPr>
      </w:pPr>
      <w:r w:rsidRPr="00EA1D4E">
        <w:rPr>
          <w:rStyle w:val="200"/>
          <w:rFonts w:hAnsi="標楷體" w:hint="eastAsia"/>
          <w:b/>
          <w:bCs/>
          <w:sz w:val="28"/>
        </w:rPr>
        <w:lastRenderedPageBreak/>
        <w:t>表1　中央大學1</w:t>
      </w:r>
      <w:r w:rsidRPr="00EA1D4E">
        <w:rPr>
          <w:rStyle w:val="200"/>
          <w:rFonts w:hAnsi="標楷體"/>
          <w:b/>
          <w:bCs/>
          <w:sz w:val="28"/>
        </w:rPr>
        <w:t>10</w:t>
      </w:r>
      <w:r w:rsidRPr="00EA1D4E">
        <w:rPr>
          <w:rStyle w:val="200"/>
          <w:rFonts w:hAnsi="標楷體" w:hint="eastAsia"/>
          <w:b/>
          <w:bCs/>
          <w:sz w:val="28"/>
        </w:rPr>
        <w:t>至11</w:t>
      </w:r>
      <w:r w:rsidRPr="00EA1D4E">
        <w:rPr>
          <w:rStyle w:val="200"/>
          <w:rFonts w:hAnsi="標楷體"/>
          <w:b/>
          <w:bCs/>
          <w:sz w:val="28"/>
        </w:rPr>
        <w:t>4</w:t>
      </w:r>
      <w:r w:rsidRPr="00EA1D4E">
        <w:rPr>
          <w:rStyle w:val="200"/>
          <w:rFonts w:hAnsi="標楷體" w:hint="eastAsia"/>
          <w:b/>
          <w:bCs/>
          <w:sz w:val="28"/>
        </w:rPr>
        <w:t>年度校務基金收支餘絀預算編列及執行情形</w:t>
      </w:r>
      <w:r>
        <w:rPr>
          <w:rStyle w:val="200"/>
          <w:rFonts w:hAnsi="標楷體" w:hint="eastAsia"/>
          <w:b/>
          <w:bCs/>
          <w:sz w:val="28"/>
        </w:rPr>
        <w:t>概況</w:t>
      </w:r>
      <w:r w:rsidRPr="00EA1D4E">
        <w:rPr>
          <w:rStyle w:val="200"/>
          <w:rFonts w:hAnsi="標楷體" w:hint="eastAsia"/>
          <w:b/>
          <w:bCs/>
          <w:sz w:val="28"/>
        </w:rPr>
        <w:t>表</w:t>
      </w:r>
      <w:r w:rsidRPr="00EA1D4E">
        <w:rPr>
          <w:rStyle w:val="200"/>
          <w:rFonts w:hAnsi="標楷體" w:hint="eastAsia"/>
          <w:szCs w:val="24"/>
        </w:rPr>
        <w:t xml:space="preserve">　　　　　　　　　　　　　　　　　　　</w:t>
      </w:r>
      <w:r w:rsidRPr="00EA1D4E">
        <w:rPr>
          <w:rFonts w:hAnsi="標楷體" w:hint="eastAsia"/>
        </w:rPr>
        <w:t>單位：新臺幣千元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152"/>
        <w:gridCol w:w="917"/>
        <w:gridCol w:w="899"/>
        <w:gridCol w:w="910"/>
        <w:gridCol w:w="938"/>
        <w:gridCol w:w="923"/>
        <w:gridCol w:w="924"/>
        <w:gridCol w:w="896"/>
        <w:gridCol w:w="938"/>
      </w:tblGrid>
      <w:tr w:rsidR="004D58F2" w:rsidRPr="00EA1D4E" w14:paraId="3D3E0F5C" w14:textId="77777777" w:rsidTr="00690198">
        <w:trPr>
          <w:cantSplit/>
          <w:tblHeader/>
        </w:trPr>
        <w:tc>
          <w:tcPr>
            <w:tcW w:w="1152" w:type="dxa"/>
            <w:vMerge w:val="restart"/>
            <w:tcBorders>
              <w:top w:val="single" w:sz="12" w:space="0" w:color="auto"/>
              <w:left w:val="single" w:sz="12" w:space="0" w:color="auto"/>
              <w:bottom w:val="single" w:sz="4" w:space="0" w:color="auto"/>
              <w:right w:val="single" w:sz="4" w:space="0" w:color="auto"/>
            </w:tcBorders>
            <w:vAlign w:val="center"/>
            <w:hideMark/>
          </w:tcPr>
          <w:p w14:paraId="64F31858"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22"/>
                <w:kern w:val="0"/>
                <w:sz w:val="24"/>
                <w:szCs w:val="24"/>
              </w:rPr>
            </w:pPr>
            <w:r w:rsidRPr="00EA1D4E">
              <w:rPr>
                <w:rFonts w:hAnsi="標楷體" w:hint="eastAsia"/>
                <w:spacing w:val="-22"/>
                <w:kern w:val="0"/>
                <w:sz w:val="24"/>
                <w:szCs w:val="24"/>
              </w:rPr>
              <w:t>項目</w:t>
            </w:r>
          </w:p>
        </w:tc>
        <w:tc>
          <w:tcPr>
            <w:tcW w:w="1816" w:type="dxa"/>
            <w:gridSpan w:val="2"/>
            <w:tcBorders>
              <w:top w:val="single" w:sz="12" w:space="0" w:color="auto"/>
              <w:left w:val="single" w:sz="4" w:space="0" w:color="auto"/>
              <w:bottom w:val="single" w:sz="4" w:space="0" w:color="auto"/>
              <w:right w:val="single" w:sz="4" w:space="0" w:color="auto"/>
            </w:tcBorders>
            <w:vAlign w:val="center"/>
            <w:hideMark/>
          </w:tcPr>
          <w:p w14:paraId="5CF9C6C0"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110年度</w:t>
            </w:r>
          </w:p>
        </w:tc>
        <w:tc>
          <w:tcPr>
            <w:tcW w:w="1848" w:type="dxa"/>
            <w:gridSpan w:val="2"/>
            <w:tcBorders>
              <w:top w:val="single" w:sz="12" w:space="0" w:color="auto"/>
              <w:left w:val="single" w:sz="4" w:space="0" w:color="auto"/>
              <w:bottom w:val="single" w:sz="4" w:space="0" w:color="auto"/>
              <w:right w:val="single" w:sz="4" w:space="0" w:color="auto"/>
            </w:tcBorders>
            <w:vAlign w:val="center"/>
            <w:hideMark/>
          </w:tcPr>
          <w:p w14:paraId="754AAB55"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111年度</w:t>
            </w:r>
          </w:p>
        </w:tc>
        <w:tc>
          <w:tcPr>
            <w:tcW w:w="1847" w:type="dxa"/>
            <w:gridSpan w:val="2"/>
            <w:tcBorders>
              <w:top w:val="single" w:sz="12" w:space="0" w:color="auto"/>
              <w:left w:val="single" w:sz="4" w:space="0" w:color="auto"/>
              <w:bottom w:val="single" w:sz="4" w:space="0" w:color="auto"/>
              <w:right w:val="single" w:sz="4" w:space="0" w:color="auto"/>
            </w:tcBorders>
            <w:vAlign w:val="center"/>
            <w:hideMark/>
          </w:tcPr>
          <w:p w14:paraId="4C9BD82F"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112年度</w:t>
            </w:r>
          </w:p>
        </w:tc>
        <w:tc>
          <w:tcPr>
            <w:tcW w:w="896" w:type="dxa"/>
            <w:tcBorders>
              <w:top w:val="single" w:sz="12" w:space="0" w:color="auto"/>
              <w:left w:val="single" w:sz="4" w:space="0" w:color="auto"/>
              <w:bottom w:val="single" w:sz="4" w:space="0" w:color="auto"/>
              <w:right w:val="single" w:sz="4" w:space="0" w:color="auto"/>
            </w:tcBorders>
            <w:vAlign w:val="center"/>
            <w:hideMark/>
          </w:tcPr>
          <w:p w14:paraId="11C16A1B"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113年度</w:t>
            </w:r>
          </w:p>
        </w:tc>
        <w:tc>
          <w:tcPr>
            <w:tcW w:w="938" w:type="dxa"/>
            <w:tcBorders>
              <w:top w:val="single" w:sz="12" w:space="0" w:color="auto"/>
              <w:left w:val="single" w:sz="4" w:space="0" w:color="auto"/>
              <w:bottom w:val="single" w:sz="4" w:space="0" w:color="auto"/>
              <w:right w:val="single" w:sz="12" w:space="0" w:color="auto"/>
            </w:tcBorders>
            <w:vAlign w:val="center"/>
            <w:hideMark/>
          </w:tcPr>
          <w:p w14:paraId="441037EB"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114年度</w:t>
            </w:r>
          </w:p>
        </w:tc>
      </w:tr>
      <w:tr w:rsidR="004D58F2" w:rsidRPr="00EA1D4E" w14:paraId="1F53A98E" w14:textId="77777777" w:rsidTr="00690198">
        <w:trPr>
          <w:cantSplit/>
          <w:tblHeader/>
        </w:trPr>
        <w:tc>
          <w:tcPr>
            <w:tcW w:w="1152" w:type="dxa"/>
            <w:vMerge/>
            <w:tcBorders>
              <w:top w:val="single" w:sz="12" w:space="0" w:color="auto"/>
              <w:left w:val="single" w:sz="12" w:space="0" w:color="auto"/>
              <w:bottom w:val="double" w:sz="4" w:space="0" w:color="auto"/>
              <w:right w:val="single" w:sz="4" w:space="0" w:color="auto"/>
            </w:tcBorders>
            <w:vAlign w:val="center"/>
            <w:hideMark/>
          </w:tcPr>
          <w:p w14:paraId="10DFFFDC" w14:textId="77777777" w:rsidR="004D58F2" w:rsidRPr="00EA1D4E" w:rsidRDefault="004D58F2" w:rsidP="00C41C57">
            <w:pPr>
              <w:widowControl/>
              <w:adjustRightInd w:val="0"/>
              <w:snapToGrid w:val="0"/>
              <w:spacing w:line="400" w:lineRule="exact"/>
              <w:ind w:leftChars="-25" w:left="-71" w:rightChars="-25" w:right="-71" w:firstLineChars="0" w:firstLine="0"/>
              <w:jc w:val="left"/>
              <w:rPr>
                <w:rFonts w:hAnsi="標楷體"/>
                <w:spacing w:val="-22"/>
                <w:kern w:val="0"/>
                <w:sz w:val="24"/>
                <w:szCs w:val="24"/>
              </w:rPr>
            </w:pPr>
          </w:p>
        </w:tc>
        <w:tc>
          <w:tcPr>
            <w:tcW w:w="917" w:type="dxa"/>
            <w:tcBorders>
              <w:top w:val="single" w:sz="4" w:space="0" w:color="auto"/>
              <w:left w:val="single" w:sz="4" w:space="0" w:color="auto"/>
              <w:bottom w:val="double" w:sz="4" w:space="0" w:color="auto"/>
              <w:right w:val="single" w:sz="4" w:space="0" w:color="auto"/>
            </w:tcBorders>
            <w:vAlign w:val="center"/>
            <w:hideMark/>
          </w:tcPr>
          <w:p w14:paraId="7C6760AD"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預算數</w:t>
            </w:r>
          </w:p>
        </w:tc>
        <w:tc>
          <w:tcPr>
            <w:tcW w:w="899" w:type="dxa"/>
            <w:tcBorders>
              <w:top w:val="single" w:sz="4" w:space="0" w:color="auto"/>
              <w:left w:val="single" w:sz="4" w:space="0" w:color="auto"/>
              <w:bottom w:val="double" w:sz="4" w:space="0" w:color="auto"/>
              <w:right w:val="single" w:sz="4" w:space="0" w:color="auto"/>
            </w:tcBorders>
            <w:vAlign w:val="center"/>
            <w:hideMark/>
          </w:tcPr>
          <w:p w14:paraId="24F4D12C"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決算數</w:t>
            </w:r>
          </w:p>
        </w:tc>
        <w:tc>
          <w:tcPr>
            <w:tcW w:w="910" w:type="dxa"/>
            <w:tcBorders>
              <w:top w:val="single" w:sz="4" w:space="0" w:color="auto"/>
              <w:left w:val="single" w:sz="4" w:space="0" w:color="auto"/>
              <w:bottom w:val="double" w:sz="4" w:space="0" w:color="auto"/>
              <w:right w:val="single" w:sz="4" w:space="0" w:color="auto"/>
            </w:tcBorders>
            <w:vAlign w:val="center"/>
            <w:hideMark/>
          </w:tcPr>
          <w:p w14:paraId="5F09566E"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預算數</w:t>
            </w:r>
          </w:p>
        </w:tc>
        <w:tc>
          <w:tcPr>
            <w:tcW w:w="938" w:type="dxa"/>
            <w:tcBorders>
              <w:top w:val="single" w:sz="4" w:space="0" w:color="auto"/>
              <w:left w:val="single" w:sz="4" w:space="0" w:color="auto"/>
              <w:bottom w:val="double" w:sz="4" w:space="0" w:color="auto"/>
              <w:right w:val="single" w:sz="4" w:space="0" w:color="auto"/>
            </w:tcBorders>
            <w:vAlign w:val="center"/>
            <w:hideMark/>
          </w:tcPr>
          <w:p w14:paraId="0445A4D0"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決算數</w:t>
            </w:r>
          </w:p>
        </w:tc>
        <w:tc>
          <w:tcPr>
            <w:tcW w:w="923" w:type="dxa"/>
            <w:tcBorders>
              <w:top w:val="single" w:sz="4" w:space="0" w:color="auto"/>
              <w:left w:val="single" w:sz="4" w:space="0" w:color="auto"/>
              <w:bottom w:val="double" w:sz="4" w:space="0" w:color="auto"/>
              <w:right w:val="single" w:sz="4" w:space="0" w:color="auto"/>
            </w:tcBorders>
            <w:vAlign w:val="center"/>
            <w:hideMark/>
          </w:tcPr>
          <w:p w14:paraId="7ED073C9"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預算數</w:t>
            </w:r>
          </w:p>
        </w:tc>
        <w:tc>
          <w:tcPr>
            <w:tcW w:w="924" w:type="dxa"/>
            <w:tcBorders>
              <w:top w:val="single" w:sz="4" w:space="0" w:color="auto"/>
              <w:left w:val="single" w:sz="4" w:space="0" w:color="auto"/>
              <w:bottom w:val="double" w:sz="4" w:space="0" w:color="auto"/>
              <w:right w:val="single" w:sz="4" w:space="0" w:color="auto"/>
            </w:tcBorders>
            <w:vAlign w:val="center"/>
            <w:hideMark/>
          </w:tcPr>
          <w:p w14:paraId="1DF6D704"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決算數</w:t>
            </w:r>
          </w:p>
        </w:tc>
        <w:tc>
          <w:tcPr>
            <w:tcW w:w="896" w:type="dxa"/>
            <w:tcBorders>
              <w:top w:val="single" w:sz="4" w:space="0" w:color="auto"/>
              <w:left w:val="single" w:sz="4" w:space="0" w:color="auto"/>
              <w:bottom w:val="double" w:sz="4" w:space="0" w:color="auto"/>
              <w:right w:val="single" w:sz="4" w:space="0" w:color="auto"/>
            </w:tcBorders>
            <w:vAlign w:val="center"/>
            <w:hideMark/>
          </w:tcPr>
          <w:p w14:paraId="21A364A2"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預算案數</w:t>
            </w:r>
          </w:p>
        </w:tc>
        <w:tc>
          <w:tcPr>
            <w:tcW w:w="938" w:type="dxa"/>
            <w:tcBorders>
              <w:top w:val="single" w:sz="4" w:space="0" w:color="auto"/>
              <w:left w:val="single" w:sz="4" w:space="0" w:color="auto"/>
              <w:bottom w:val="double" w:sz="4" w:space="0" w:color="auto"/>
              <w:right w:val="single" w:sz="12" w:space="0" w:color="auto"/>
            </w:tcBorders>
            <w:vAlign w:val="center"/>
            <w:hideMark/>
          </w:tcPr>
          <w:p w14:paraId="14586CD3"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預算案數</w:t>
            </w:r>
          </w:p>
        </w:tc>
      </w:tr>
      <w:tr w:rsidR="004D58F2" w:rsidRPr="00EA1D4E" w14:paraId="01FCAA15" w14:textId="77777777" w:rsidTr="00690198">
        <w:trPr>
          <w:cantSplit/>
          <w:trHeight w:val="334"/>
        </w:trPr>
        <w:tc>
          <w:tcPr>
            <w:tcW w:w="1152" w:type="dxa"/>
            <w:tcBorders>
              <w:top w:val="doub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679C6A53"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業務收入</w:t>
            </w:r>
          </w:p>
        </w:tc>
        <w:tc>
          <w:tcPr>
            <w:tcW w:w="917" w:type="dxa"/>
            <w:tcBorders>
              <w:top w:val="double" w:sz="4" w:space="0" w:color="auto"/>
              <w:left w:val="single" w:sz="4" w:space="0" w:color="auto"/>
              <w:bottom w:val="single" w:sz="4" w:space="0" w:color="auto"/>
              <w:right w:val="single" w:sz="4" w:space="0" w:color="auto"/>
            </w:tcBorders>
            <w:vAlign w:val="center"/>
            <w:hideMark/>
          </w:tcPr>
          <w:p w14:paraId="76A7E5C4"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4,501,554 </w:t>
            </w:r>
          </w:p>
        </w:tc>
        <w:tc>
          <w:tcPr>
            <w:tcW w:w="899" w:type="dxa"/>
            <w:tcBorders>
              <w:top w:val="double" w:sz="4" w:space="0" w:color="auto"/>
              <w:left w:val="single" w:sz="4" w:space="0" w:color="auto"/>
              <w:bottom w:val="single" w:sz="4" w:space="0" w:color="auto"/>
              <w:right w:val="single" w:sz="4" w:space="0" w:color="auto"/>
            </w:tcBorders>
            <w:vAlign w:val="center"/>
            <w:hideMark/>
          </w:tcPr>
          <w:p w14:paraId="2226747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4,588,536 </w:t>
            </w:r>
          </w:p>
        </w:tc>
        <w:tc>
          <w:tcPr>
            <w:tcW w:w="910" w:type="dxa"/>
            <w:tcBorders>
              <w:top w:val="double" w:sz="4" w:space="0" w:color="auto"/>
              <w:left w:val="single" w:sz="4" w:space="0" w:color="auto"/>
              <w:bottom w:val="single" w:sz="4" w:space="0" w:color="auto"/>
              <w:right w:val="single" w:sz="4" w:space="0" w:color="auto"/>
            </w:tcBorders>
            <w:vAlign w:val="center"/>
            <w:hideMark/>
          </w:tcPr>
          <w:p w14:paraId="384E87D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4,619,396 </w:t>
            </w:r>
          </w:p>
        </w:tc>
        <w:tc>
          <w:tcPr>
            <w:tcW w:w="938" w:type="dxa"/>
            <w:tcBorders>
              <w:top w:val="double" w:sz="4" w:space="0" w:color="auto"/>
              <w:left w:val="single" w:sz="4" w:space="0" w:color="auto"/>
              <w:bottom w:val="single" w:sz="4" w:space="0" w:color="auto"/>
              <w:right w:val="single" w:sz="4" w:space="0" w:color="auto"/>
            </w:tcBorders>
            <w:vAlign w:val="center"/>
            <w:hideMark/>
          </w:tcPr>
          <w:p w14:paraId="37BE2D0E"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4,876,701 </w:t>
            </w:r>
          </w:p>
        </w:tc>
        <w:tc>
          <w:tcPr>
            <w:tcW w:w="923" w:type="dxa"/>
            <w:tcBorders>
              <w:top w:val="double" w:sz="4" w:space="0" w:color="auto"/>
              <w:left w:val="single" w:sz="4" w:space="0" w:color="auto"/>
              <w:bottom w:val="single" w:sz="4" w:space="0" w:color="auto"/>
              <w:right w:val="single" w:sz="4" w:space="0" w:color="auto"/>
            </w:tcBorders>
            <w:vAlign w:val="center"/>
            <w:hideMark/>
          </w:tcPr>
          <w:p w14:paraId="15D345C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4,567,525 </w:t>
            </w:r>
          </w:p>
        </w:tc>
        <w:tc>
          <w:tcPr>
            <w:tcW w:w="924" w:type="dxa"/>
            <w:tcBorders>
              <w:top w:val="double" w:sz="4" w:space="0" w:color="auto"/>
              <w:left w:val="single" w:sz="4" w:space="0" w:color="auto"/>
              <w:bottom w:val="single" w:sz="4" w:space="0" w:color="auto"/>
              <w:right w:val="single" w:sz="4" w:space="0" w:color="auto"/>
            </w:tcBorders>
            <w:vAlign w:val="center"/>
            <w:hideMark/>
          </w:tcPr>
          <w:p w14:paraId="6528DF5F"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4,829,443 </w:t>
            </w:r>
          </w:p>
        </w:tc>
        <w:tc>
          <w:tcPr>
            <w:tcW w:w="896" w:type="dxa"/>
            <w:tcBorders>
              <w:top w:val="double" w:sz="4" w:space="0" w:color="auto"/>
              <w:left w:val="single" w:sz="4" w:space="0" w:color="auto"/>
              <w:bottom w:val="single" w:sz="4" w:space="0" w:color="auto"/>
              <w:right w:val="single" w:sz="4" w:space="0" w:color="auto"/>
            </w:tcBorders>
            <w:vAlign w:val="center"/>
            <w:hideMark/>
          </w:tcPr>
          <w:p w14:paraId="6C0E37E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4,829,762 </w:t>
            </w:r>
          </w:p>
        </w:tc>
        <w:tc>
          <w:tcPr>
            <w:tcW w:w="938" w:type="dxa"/>
            <w:tcBorders>
              <w:top w:val="double" w:sz="4" w:space="0" w:color="auto"/>
              <w:left w:val="single" w:sz="4" w:space="0" w:color="auto"/>
              <w:bottom w:val="single" w:sz="4" w:space="0" w:color="auto"/>
              <w:right w:val="single" w:sz="12" w:space="0" w:color="auto"/>
            </w:tcBorders>
            <w:vAlign w:val="center"/>
            <w:hideMark/>
          </w:tcPr>
          <w:p w14:paraId="78842E9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4,740,741 </w:t>
            </w:r>
          </w:p>
        </w:tc>
      </w:tr>
      <w:tr w:rsidR="004D58F2" w:rsidRPr="00EA1D4E" w14:paraId="6F93A3A9" w14:textId="77777777" w:rsidTr="00690198">
        <w:trPr>
          <w:cantSplit/>
          <w:trHeight w:val="334"/>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55159CE7"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業務外收入</w:t>
            </w:r>
          </w:p>
        </w:tc>
        <w:tc>
          <w:tcPr>
            <w:tcW w:w="917" w:type="dxa"/>
            <w:tcBorders>
              <w:top w:val="single" w:sz="4" w:space="0" w:color="auto"/>
              <w:left w:val="single" w:sz="4" w:space="0" w:color="auto"/>
              <w:bottom w:val="single" w:sz="4" w:space="0" w:color="auto"/>
              <w:right w:val="single" w:sz="4" w:space="0" w:color="auto"/>
            </w:tcBorders>
            <w:vAlign w:val="center"/>
            <w:hideMark/>
          </w:tcPr>
          <w:p w14:paraId="3931296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228,633 </w:t>
            </w:r>
          </w:p>
        </w:tc>
        <w:tc>
          <w:tcPr>
            <w:tcW w:w="899" w:type="dxa"/>
            <w:tcBorders>
              <w:top w:val="single" w:sz="4" w:space="0" w:color="auto"/>
              <w:left w:val="single" w:sz="4" w:space="0" w:color="auto"/>
              <w:bottom w:val="single" w:sz="4" w:space="0" w:color="auto"/>
              <w:right w:val="single" w:sz="4" w:space="0" w:color="auto"/>
            </w:tcBorders>
            <w:vAlign w:val="center"/>
            <w:hideMark/>
          </w:tcPr>
          <w:p w14:paraId="2E0D4874"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321,281 </w:t>
            </w:r>
          </w:p>
        </w:tc>
        <w:tc>
          <w:tcPr>
            <w:tcW w:w="910" w:type="dxa"/>
            <w:tcBorders>
              <w:top w:val="single" w:sz="4" w:space="0" w:color="auto"/>
              <w:left w:val="single" w:sz="4" w:space="0" w:color="auto"/>
              <w:bottom w:val="single" w:sz="4" w:space="0" w:color="auto"/>
              <w:right w:val="single" w:sz="4" w:space="0" w:color="auto"/>
            </w:tcBorders>
            <w:vAlign w:val="center"/>
            <w:hideMark/>
          </w:tcPr>
          <w:p w14:paraId="4EA1584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222,003 </w:t>
            </w:r>
          </w:p>
        </w:tc>
        <w:tc>
          <w:tcPr>
            <w:tcW w:w="938" w:type="dxa"/>
            <w:tcBorders>
              <w:top w:val="single" w:sz="4" w:space="0" w:color="auto"/>
              <w:left w:val="single" w:sz="4" w:space="0" w:color="auto"/>
              <w:bottom w:val="single" w:sz="4" w:space="0" w:color="auto"/>
              <w:right w:val="single" w:sz="4" w:space="0" w:color="auto"/>
            </w:tcBorders>
            <w:vAlign w:val="center"/>
            <w:hideMark/>
          </w:tcPr>
          <w:p w14:paraId="1EC4FA0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300,371 </w:t>
            </w:r>
          </w:p>
        </w:tc>
        <w:tc>
          <w:tcPr>
            <w:tcW w:w="923" w:type="dxa"/>
            <w:tcBorders>
              <w:top w:val="single" w:sz="4" w:space="0" w:color="auto"/>
              <w:left w:val="single" w:sz="4" w:space="0" w:color="auto"/>
              <w:bottom w:val="single" w:sz="4" w:space="0" w:color="auto"/>
              <w:right w:val="single" w:sz="4" w:space="0" w:color="auto"/>
            </w:tcBorders>
            <w:vAlign w:val="center"/>
            <w:hideMark/>
          </w:tcPr>
          <w:p w14:paraId="05B8D50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218,075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ED067E0"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335,881 </w:t>
            </w:r>
          </w:p>
        </w:tc>
        <w:tc>
          <w:tcPr>
            <w:tcW w:w="896" w:type="dxa"/>
            <w:tcBorders>
              <w:top w:val="single" w:sz="4" w:space="0" w:color="auto"/>
              <w:left w:val="single" w:sz="4" w:space="0" w:color="auto"/>
              <w:bottom w:val="single" w:sz="4" w:space="0" w:color="auto"/>
              <w:right w:val="single" w:sz="4" w:space="0" w:color="auto"/>
            </w:tcBorders>
            <w:vAlign w:val="center"/>
            <w:hideMark/>
          </w:tcPr>
          <w:p w14:paraId="3C2DAE0E"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275,735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3F7B12F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278,172 </w:t>
            </w:r>
          </w:p>
        </w:tc>
      </w:tr>
      <w:tr w:rsidR="004D58F2" w:rsidRPr="00EA1D4E" w14:paraId="36F532A5" w14:textId="77777777" w:rsidTr="00690198">
        <w:trPr>
          <w:cantSplit/>
          <w:trHeight w:val="334"/>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0DFA75FF"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b/>
                <w:spacing w:val="-22"/>
                <w:kern w:val="0"/>
                <w:sz w:val="24"/>
                <w:szCs w:val="24"/>
              </w:rPr>
            </w:pPr>
            <w:r w:rsidRPr="00EA1D4E">
              <w:rPr>
                <w:rFonts w:hAnsi="標楷體" w:hint="eastAsia"/>
                <w:b/>
                <w:spacing w:val="-22"/>
                <w:kern w:val="0"/>
                <w:sz w:val="24"/>
                <w:szCs w:val="24"/>
              </w:rPr>
              <w:t>收入合計</w:t>
            </w:r>
          </w:p>
        </w:tc>
        <w:tc>
          <w:tcPr>
            <w:tcW w:w="917" w:type="dxa"/>
            <w:tcBorders>
              <w:top w:val="single" w:sz="4" w:space="0" w:color="auto"/>
              <w:left w:val="single" w:sz="4" w:space="0" w:color="auto"/>
              <w:bottom w:val="single" w:sz="4" w:space="0" w:color="auto"/>
              <w:right w:val="single" w:sz="4" w:space="0" w:color="auto"/>
            </w:tcBorders>
            <w:vAlign w:val="center"/>
            <w:hideMark/>
          </w:tcPr>
          <w:p w14:paraId="5C8D64D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4,730,187 </w:t>
            </w:r>
          </w:p>
        </w:tc>
        <w:tc>
          <w:tcPr>
            <w:tcW w:w="899" w:type="dxa"/>
            <w:tcBorders>
              <w:top w:val="single" w:sz="4" w:space="0" w:color="auto"/>
              <w:left w:val="single" w:sz="4" w:space="0" w:color="auto"/>
              <w:bottom w:val="single" w:sz="4" w:space="0" w:color="auto"/>
              <w:right w:val="single" w:sz="4" w:space="0" w:color="auto"/>
            </w:tcBorders>
            <w:vAlign w:val="center"/>
            <w:hideMark/>
          </w:tcPr>
          <w:p w14:paraId="3761941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4,909,817 </w:t>
            </w:r>
          </w:p>
        </w:tc>
        <w:tc>
          <w:tcPr>
            <w:tcW w:w="910" w:type="dxa"/>
            <w:tcBorders>
              <w:top w:val="single" w:sz="4" w:space="0" w:color="auto"/>
              <w:left w:val="single" w:sz="4" w:space="0" w:color="auto"/>
              <w:bottom w:val="single" w:sz="4" w:space="0" w:color="auto"/>
              <w:right w:val="single" w:sz="4" w:space="0" w:color="auto"/>
            </w:tcBorders>
            <w:vAlign w:val="center"/>
            <w:hideMark/>
          </w:tcPr>
          <w:p w14:paraId="357A50D4"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4,841,399 </w:t>
            </w:r>
          </w:p>
        </w:tc>
        <w:tc>
          <w:tcPr>
            <w:tcW w:w="938" w:type="dxa"/>
            <w:tcBorders>
              <w:top w:val="single" w:sz="4" w:space="0" w:color="auto"/>
              <w:left w:val="single" w:sz="4" w:space="0" w:color="auto"/>
              <w:bottom w:val="single" w:sz="4" w:space="0" w:color="auto"/>
              <w:right w:val="single" w:sz="4" w:space="0" w:color="auto"/>
            </w:tcBorders>
            <w:vAlign w:val="center"/>
            <w:hideMark/>
          </w:tcPr>
          <w:p w14:paraId="307BAA23"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5,177,072 </w:t>
            </w:r>
          </w:p>
        </w:tc>
        <w:tc>
          <w:tcPr>
            <w:tcW w:w="923" w:type="dxa"/>
            <w:tcBorders>
              <w:top w:val="single" w:sz="4" w:space="0" w:color="auto"/>
              <w:left w:val="single" w:sz="4" w:space="0" w:color="auto"/>
              <w:bottom w:val="single" w:sz="4" w:space="0" w:color="auto"/>
              <w:right w:val="single" w:sz="4" w:space="0" w:color="auto"/>
            </w:tcBorders>
            <w:vAlign w:val="center"/>
            <w:hideMark/>
          </w:tcPr>
          <w:p w14:paraId="133AC16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4,785,600 </w:t>
            </w:r>
          </w:p>
        </w:tc>
        <w:tc>
          <w:tcPr>
            <w:tcW w:w="924" w:type="dxa"/>
            <w:tcBorders>
              <w:top w:val="single" w:sz="4" w:space="0" w:color="auto"/>
              <w:left w:val="single" w:sz="4" w:space="0" w:color="auto"/>
              <w:bottom w:val="single" w:sz="4" w:space="0" w:color="auto"/>
              <w:right w:val="single" w:sz="4" w:space="0" w:color="auto"/>
            </w:tcBorders>
            <w:vAlign w:val="center"/>
            <w:hideMark/>
          </w:tcPr>
          <w:p w14:paraId="501976B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5,165,324 </w:t>
            </w:r>
          </w:p>
        </w:tc>
        <w:tc>
          <w:tcPr>
            <w:tcW w:w="896" w:type="dxa"/>
            <w:tcBorders>
              <w:top w:val="single" w:sz="4" w:space="0" w:color="auto"/>
              <w:left w:val="single" w:sz="4" w:space="0" w:color="auto"/>
              <w:bottom w:val="single" w:sz="4" w:space="0" w:color="auto"/>
              <w:right w:val="single" w:sz="4" w:space="0" w:color="auto"/>
            </w:tcBorders>
            <w:vAlign w:val="center"/>
            <w:hideMark/>
          </w:tcPr>
          <w:p w14:paraId="7BEC011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5,105,497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27F32C3F"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5,018,913 </w:t>
            </w:r>
          </w:p>
        </w:tc>
      </w:tr>
      <w:tr w:rsidR="004D58F2" w:rsidRPr="00EA1D4E" w14:paraId="5D64C44B" w14:textId="77777777" w:rsidTr="00690198">
        <w:trPr>
          <w:cantSplit/>
          <w:trHeight w:val="307"/>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77A4C1E6"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業務成本與費用</w:t>
            </w:r>
          </w:p>
        </w:tc>
        <w:tc>
          <w:tcPr>
            <w:tcW w:w="917" w:type="dxa"/>
            <w:tcBorders>
              <w:top w:val="single" w:sz="4" w:space="0" w:color="auto"/>
              <w:left w:val="single" w:sz="4" w:space="0" w:color="auto"/>
              <w:bottom w:val="single" w:sz="4" w:space="0" w:color="auto"/>
              <w:right w:val="single" w:sz="4" w:space="0" w:color="auto"/>
            </w:tcBorders>
            <w:vAlign w:val="center"/>
            <w:hideMark/>
          </w:tcPr>
          <w:p w14:paraId="06AF8C3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4,694,415 </w:t>
            </w:r>
          </w:p>
        </w:tc>
        <w:tc>
          <w:tcPr>
            <w:tcW w:w="899" w:type="dxa"/>
            <w:tcBorders>
              <w:top w:val="single" w:sz="4" w:space="0" w:color="auto"/>
              <w:left w:val="single" w:sz="4" w:space="0" w:color="auto"/>
              <w:bottom w:val="single" w:sz="4" w:space="0" w:color="auto"/>
              <w:right w:val="single" w:sz="4" w:space="0" w:color="auto"/>
            </w:tcBorders>
            <w:vAlign w:val="center"/>
            <w:hideMark/>
          </w:tcPr>
          <w:p w14:paraId="17A2F6F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4,887,226 </w:t>
            </w:r>
          </w:p>
        </w:tc>
        <w:tc>
          <w:tcPr>
            <w:tcW w:w="910" w:type="dxa"/>
            <w:tcBorders>
              <w:top w:val="single" w:sz="4" w:space="0" w:color="auto"/>
              <w:left w:val="single" w:sz="4" w:space="0" w:color="auto"/>
              <w:bottom w:val="single" w:sz="4" w:space="0" w:color="auto"/>
              <w:right w:val="single" w:sz="4" w:space="0" w:color="auto"/>
            </w:tcBorders>
            <w:vAlign w:val="center"/>
            <w:hideMark/>
          </w:tcPr>
          <w:p w14:paraId="61E94B87"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4,829,309 </w:t>
            </w:r>
          </w:p>
        </w:tc>
        <w:tc>
          <w:tcPr>
            <w:tcW w:w="938" w:type="dxa"/>
            <w:tcBorders>
              <w:top w:val="single" w:sz="4" w:space="0" w:color="auto"/>
              <w:left w:val="single" w:sz="4" w:space="0" w:color="auto"/>
              <w:bottom w:val="single" w:sz="4" w:space="0" w:color="auto"/>
              <w:right w:val="single" w:sz="4" w:space="0" w:color="auto"/>
            </w:tcBorders>
            <w:vAlign w:val="center"/>
            <w:hideMark/>
          </w:tcPr>
          <w:p w14:paraId="4E03662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5,145,299 </w:t>
            </w:r>
          </w:p>
        </w:tc>
        <w:tc>
          <w:tcPr>
            <w:tcW w:w="923" w:type="dxa"/>
            <w:tcBorders>
              <w:top w:val="single" w:sz="4" w:space="0" w:color="auto"/>
              <w:left w:val="single" w:sz="4" w:space="0" w:color="auto"/>
              <w:bottom w:val="single" w:sz="4" w:space="0" w:color="auto"/>
              <w:right w:val="single" w:sz="4" w:space="0" w:color="auto"/>
            </w:tcBorders>
            <w:vAlign w:val="center"/>
            <w:hideMark/>
          </w:tcPr>
          <w:p w14:paraId="73733737"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4,815,384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61A30A5"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5,155,726 </w:t>
            </w:r>
          </w:p>
        </w:tc>
        <w:tc>
          <w:tcPr>
            <w:tcW w:w="896" w:type="dxa"/>
            <w:tcBorders>
              <w:top w:val="single" w:sz="4" w:space="0" w:color="auto"/>
              <w:left w:val="single" w:sz="4" w:space="0" w:color="auto"/>
              <w:bottom w:val="single" w:sz="4" w:space="0" w:color="auto"/>
              <w:right w:val="single" w:sz="4" w:space="0" w:color="auto"/>
            </w:tcBorders>
            <w:vAlign w:val="center"/>
            <w:hideMark/>
          </w:tcPr>
          <w:p w14:paraId="55C8E090"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5,109,899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165BDE1D"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5,043,025 </w:t>
            </w:r>
          </w:p>
        </w:tc>
      </w:tr>
      <w:tr w:rsidR="004D58F2" w:rsidRPr="00EA1D4E" w14:paraId="3D12B9D9" w14:textId="77777777" w:rsidTr="00690198">
        <w:trPr>
          <w:cantSplit/>
          <w:trHeight w:val="307"/>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7DCB4F34"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業務外費用</w:t>
            </w:r>
          </w:p>
        </w:tc>
        <w:tc>
          <w:tcPr>
            <w:tcW w:w="917" w:type="dxa"/>
            <w:tcBorders>
              <w:top w:val="single" w:sz="4" w:space="0" w:color="auto"/>
              <w:left w:val="single" w:sz="4" w:space="0" w:color="auto"/>
              <w:bottom w:val="single" w:sz="4" w:space="0" w:color="auto"/>
              <w:right w:val="single" w:sz="4" w:space="0" w:color="auto"/>
            </w:tcBorders>
            <w:vAlign w:val="center"/>
            <w:hideMark/>
          </w:tcPr>
          <w:p w14:paraId="7BAA758C"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180,685 </w:t>
            </w:r>
          </w:p>
        </w:tc>
        <w:tc>
          <w:tcPr>
            <w:tcW w:w="899" w:type="dxa"/>
            <w:tcBorders>
              <w:top w:val="single" w:sz="4" w:space="0" w:color="auto"/>
              <w:left w:val="single" w:sz="4" w:space="0" w:color="auto"/>
              <w:bottom w:val="single" w:sz="4" w:space="0" w:color="auto"/>
              <w:right w:val="single" w:sz="4" w:space="0" w:color="auto"/>
            </w:tcBorders>
            <w:vAlign w:val="center"/>
            <w:hideMark/>
          </w:tcPr>
          <w:p w14:paraId="556C7F35"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196,834 </w:t>
            </w:r>
          </w:p>
        </w:tc>
        <w:tc>
          <w:tcPr>
            <w:tcW w:w="910" w:type="dxa"/>
            <w:tcBorders>
              <w:top w:val="single" w:sz="4" w:space="0" w:color="auto"/>
              <w:left w:val="single" w:sz="4" w:space="0" w:color="auto"/>
              <w:bottom w:val="single" w:sz="4" w:space="0" w:color="auto"/>
              <w:right w:val="single" w:sz="4" w:space="0" w:color="auto"/>
            </w:tcBorders>
            <w:vAlign w:val="center"/>
            <w:hideMark/>
          </w:tcPr>
          <w:p w14:paraId="3E58FE2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180,693 </w:t>
            </w:r>
          </w:p>
        </w:tc>
        <w:tc>
          <w:tcPr>
            <w:tcW w:w="938" w:type="dxa"/>
            <w:tcBorders>
              <w:top w:val="single" w:sz="4" w:space="0" w:color="auto"/>
              <w:left w:val="single" w:sz="4" w:space="0" w:color="auto"/>
              <w:bottom w:val="single" w:sz="4" w:space="0" w:color="auto"/>
              <w:right w:val="single" w:sz="4" w:space="0" w:color="auto"/>
            </w:tcBorders>
            <w:vAlign w:val="center"/>
            <w:hideMark/>
          </w:tcPr>
          <w:p w14:paraId="771A04B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205,954 </w:t>
            </w:r>
          </w:p>
        </w:tc>
        <w:tc>
          <w:tcPr>
            <w:tcW w:w="923" w:type="dxa"/>
            <w:tcBorders>
              <w:top w:val="single" w:sz="4" w:space="0" w:color="auto"/>
              <w:left w:val="single" w:sz="4" w:space="0" w:color="auto"/>
              <w:bottom w:val="single" w:sz="4" w:space="0" w:color="auto"/>
              <w:right w:val="single" w:sz="4" w:space="0" w:color="auto"/>
            </w:tcBorders>
            <w:vAlign w:val="center"/>
            <w:hideMark/>
          </w:tcPr>
          <w:p w14:paraId="3C33BA5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175,812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77FAD8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207,999 </w:t>
            </w:r>
          </w:p>
        </w:tc>
        <w:tc>
          <w:tcPr>
            <w:tcW w:w="896" w:type="dxa"/>
            <w:tcBorders>
              <w:top w:val="single" w:sz="4" w:space="0" w:color="auto"/>
              <w:left w:val="single" w:sz="4" w:space="0" w:color="auto"/>
              <w:bottom w:val="single" w:sz="4" w:space="0" w:color="auto"/>
              <w:right w:val="single" w:sz="4" w:space="0" w:color="auto"/>
            </w:tcBorders>
            <w:vAlign w:val="center"/>
            <w:hideMark/>
          </w:tcPr>
          <w:p w14:paraId="68314120"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197,685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449C591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194,721 </w:t>
            </w:r>
          </w:p>
        </w:tc>
      </w:tr>
      <w:tr w:rsidR="004D58F2" w:rsidRPr="00EA1D4E" w14:paraId="6039A28E" w14:textId="77777777" w:rsidTr="00690198">
        <w:trPr>
          <w:cantSplit/>
          <w:trHeight w:val="307"/>
        </w:trPr>
        <w:tc>
          <w:tcPr>
            <w:tcW w:w="1152" w:type="dxa"/>
            <w:tcBorders>
              <w:top w:val="single" w:sz="4" w:space="0" w:color="auto"/>
              <w:left w:val="single" w:sz="12" w:space="0" w:color="auto"/>
              <w:bottom w:val="double" w:sz="4" w:space="0" w:color="auto"/>
              <w:right w:val="single" w:sz="4" w:space="0" w:color="auto"/>
            </w:tcBorders>
            <w:tcMar>
              <w:top w:w="0" w:type="dxa"/>
              <w:left w:w="113" w:type="dxa"/>
              <w:bottom w:w="0" w:type="dxa"/>
              <w:right w:w="113" w:type="dxa"/>
            </w:tcMar>
            <w:vAlign w:val="center"/>
            <w:hideMark/>
          </w:tcPr>
          <w:p w14:paraId="1270824A"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b/>
                <w:spacing w:val="-22"/>
                <w:kern w:val="0"/>
                <w:sz w:val="24"/>
                <w:szCs w:val="24"/>
              </w:rPr>
            </w:pPr>
            <w:r w:rsidRPr="00EA1D4E">
              <w:rPr>
                <w:rFonts w:hAnsi="標楷體" w:hint="eastAsia"/>
                <w:b/>
                <w:spacing w:val="-22"/>
                <w:kern w:val="0"/>
                <w:sz w:val="24"/>
                <w:szCs w:val="24"/>
              </w:rPr>
              <w:t>支出合計</w:t>
            </w:r>
          </w:p>
        </w:tc>
        <w:tc>
          <w:tcPr>
            <w:tcW w:w="917" w:type="dxa"/>
            <w:tcBorders>
              <w:top w:val="single" w:sz="4" w:space="0" w:color="auto"/>
              <w:left w:val="single" w:sz="4" w:space="0" w:color="auto"/>
              <w:bottom w:val="double" w:sz="4" w:space="0" w:color="auto"/>
              <w:right w:val="single" w:sz="4" w:space="0" w:color="auto"/>
            </w:tcBorders>
            <w:vAlign w:val="center"/>
            <w:hideMark/>
          </w:tcPr>
          <w:p w14:paraId="01431D2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4,875,100 </w:t>
            </w:r>
          </w:p>
        </w:tc>
        <w:tc>
          <w:tcPr>
            <w:tcW w:w="899" w:type="dxa"/>
            <w:tcBorders>
              <w:top w:val="single" w:sz="4" w:space="0" w:color="auto"/>
              <w:left w:val="single" w:sz="4" w:space="0" w:color="auto"/>
              <w:bottom w:val="double" w:sz="4" w:space="0" w:color="auto"/>
              <w:right w:val="single" w:sz="4" w:space="0" w:color="auto"/>
            </w:tcBorders>
            <w:vAlign w:val="center"/>
            <w:hideMark/>
          </w:tcPr>
          <w:p w14:paraId="06C2844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5,084,060 </w:t>
            </w:r>
          </w:p>
        </w:tc>
        <w:tc>
          <w:tcPr>
            <w:tcW w:w="910" w:type="dxa"/>
            <w:tcBorders>
              <w:top w:val="single" w:sz="4" w:space="0" w:color="auto"/>
              <w:left w:val="single" w:sz="4" w:space="0" w:color="auto"/>
              <w:bottom w:val="double" w:sz="4" w:space="0" w:color="auto"/>
              <w:right w:val="single" w:sz="4" w:space="0" w:color="auto"/>
            </w:tcBorders>
            <w:vAlign w:val="center"/>
            <w:hideMark/>
          </w:tcPr>
          <w:p w14:paraId="6F59CEE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5,010,002 </w:t>
            </w:r>
          </w:p>
        </w:tc>
        <w:tc>
          <w:tcPr>
            <w:tcW w:w="938" w:type="dxa"/>
            <w:tcBorders>
              <w:top w:val="single" w:sz="4" w:space="0" w:color="auto"/>
              <w:left w:val="single" w:sz="4" w:space="0" w:color="auto"/>
              <w:bottom w:val="double" w:sz="4" w:space="0" w:color="auto"/>
              <w:right w:val="single" w:sz="4" w:space="0" w:color="auto"/>
            </w:tcBorders>
            <w:vAlign w:val="center"/>
            <w:hideMark/>
          </w:tcPr>
          <w:p w14:paraId="6363F003"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5,351,253 </w:t>
            </w:r>
          </w:p>
        </w:tc>
        <w:tc>
          <w:tcPr>
            <w:tcW w:w="923" w:type="dxa"/>
            <w:tcBorders>
              <w:top w:val="single" w:sz="4" w:space="0" w:color="auto"/>
              <w:left w:val="single" w:sz="4" w:space="0" w:color="auto"/>
              <w:bottom w:val="double" w:sz="4" w:space="0" w:color="auto"/>
              <w:right w:val="single" w:sz="4" w:space="0" w:color="auto"/>
            </w:tcBorders>
            <w:vAlign w:val="center"/>
            <w:hideMark/>
          </w:tcPr>
          <w:p w14:paraId="0BFB953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4,991,196 </w:t>
            </w:r>
          </w:p>
        </w:tc>
        <w:tc>
          <w:tcPr>
            <w:tcW w:w="924" w:type="dxa"/>
            <w:tcBorders>
              <w:top w:val="single" w:sz="4" w:space="0" w:color="auto"/>
              <w:left w:val="single" w:sz="4" w:space="0" w:color="auto"/>
              <w:bottom w:val="double" w:sz="4" w:space="0" w:color="auto"/>
              <w:right w:val="single" w:sz="4" w:space="0" w:color="auto"/>
            </w:tcBorders>
            <w:vAlign w:val="center"/>
            <w:hideMark/>
          </w:tcPr>
          <w:p w14:paraId="4D97DE3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5,363,725 </w:t>
            </w:r>
          </w:p>
        </w:tc>
        <w:tc>
          <w:tcPr>
            <w:tcW w:w="896" w:type="dxa"/>
            <w:tcBorders>
              <w:top w:val="single" w:sz="4" w:space="0" w:color="auto"/>
              <w:left w:val="single" w:sz="4" w:space="0" w:color="auto"/>
              <w:bottom w:val="double" w:sz="4" w:space="0" w:color="auto"/>
              <w:right w:val="single" w:sz="4" w:space="0" w:color="auto"/>
            </w:tcBorders>
            <w:vAlign w:val="center"/>
            <w:hideMark/>
          </w:tcPr>
          <w:p w14:paraId="56355E5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5,307,584 </w:t>
            </w:r>
          </w:p>
        </w:tc>
        <w:tc>
          <w:tcPr>
            <w:tcW w:w="938" w:type="dxa"/>
            <w:tcBorders>
              <w:top w:val="single" w:sz="4" w:space="0" w:color="auto"/>
              <w:left w:val="single" w:sz="4" w:space="0" w:color="auto"/>
              <w:bottom w:val="double" w:sz="4" w:space="0" w:color="auto"/>
              <w:right w:val="single" w:sz="12" w:space="0" w:color="auto"/>
            </w:tcBorders>
            <w:vAlign w:val="center"/>
            <w:hideMark/>
          </w:tcPr>
          <w:p w14:paraId="58701DF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5,237,746 </w:t>
            </w:r>
          </w:p>
        </w:tc>
      </w:tr>
      <w:tr w:rsidR="004D58F2" w:rsidRPr="00EA1D4E" w14:paraId="694DF7B1" w14:textId="77777777" w:rsidTr="00690198">
        <w:trPr>
          <w:cantSplit/>
          <w:trHeight w:val="306"/>
        </w:trPr>
        <w:tc>
          <w:tcPr>
            <w:tcW w:w="1152" w:type="dxa"/>
            <w:tcBorders>
              <w:top w:val="double" w:sz="4" w:space="0" w:color="auto"/>
              <w:left w:val="single" w:sz="12" w:space="0" w:color="auto"/>
              <w:bottom w:val="single" w:sz="12" w:space="0" w:color="auto"/>
              <w:right w:val="single" w:sz="4" w:space="0" w:color="auto"/>
            </w:tcBorders>
            <w:tcMar>
              <w:top w:w="0" w:type="dxa"/>
              <w:left w:w="113" w:type="dxa"/>
              <w:bottom w:w="0" w:type="dxa"/>
              <w:right w:w="113" w:type="dxa"/>
            </w:tcMar>
            <w:vAlign w:val="center"/>
            <w:hideMark/>
          </w:tcPr>
          <w:p w14:paraId="1E1E1308"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b/>
                <w:spacing w:val="-22"/>
                <w:kern w:val="0"/>
                <w:sz w:val="24"/>
                <w:szCs w:val="24"/>
              </w:rPr>
            </w:pPr>
            <w:r w:rsidRPr="00EA1D4E">
              <w:rPr>
                <w:rFonts w:hAnsi="標楷體" w:hint="eastAsia"/>
                <w:b/>
                <w:spacing w:val="-22"/>
                <w:kern w:val="0"/>
                <w:sz w:val="24"/>
                <w:szCs w:val="24"/>
              </w:rPr>
              <w:t>本期餘絀</w:t>
            </w:r>
          </w:p>
        </w:tc>
        <w:tc>
          <w:tcPr>
            <w:tcW w:w="917" w:type="dxa"/>
            <w:tcBorders>
              <w:top w:val="double" w:sz="4" w:space="0" w:color="auto"/>
              <w:left w:val="single" w:sz="4" w:space="0" w:color="auto"/>
              <w:bottom w:val="single" w:sz="12" w:space="0" w:color="auto"/>
              <w:right w:val="single" w:sz="4" w:space="0" w:color="auto"/>
            </w:tcBorders>
            <w:vAlign w:val="center"/>
            <w:hideMark/>
          </w:tcPr>
          <w:p w14:paraId="02CCCD8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-144,913 </w:t>
            </w:r>
          </w:p>
        </w:tc>
        <w:tc>
          <w:tcPr>
            <w:tcW w:w="899" w:type="dxa"/>
            <w:tcBorders>
              <w:top w:val="double" w:sz="4" w:space="0" w:color="auto"/>
              <w:left w:val="single" w:sz="4" w:space="0" w:color="auto"/>
              <w:bottom w:val="single" w:sz="12" w:space="0" w:color="auto"/>
              <w:right w:val="single" w:sz="4" w:space="0" w:color="auto"/>
            </w:tcBorders>
            <w:vAlign w:val="center"/>
            <w:hideMark/>
          </w:tcPr>
          <w:p w14:paraId="05F5BA05"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w:t>
            </w:r>
            <w:bookmarkStart w:id="2" w:name="_Hlk178762930"/>
            <w:r w:rsidRPr="00EA1D4E">
              <w:rPr>
                <w:rFonts w:hAnsi="標楷體"/>
                <w:b/>
                <w:spacing w:val="-30"/>
                <w:kern w:val="0"/>
                <w:sz w:val="24"/>
                <w:szCs w:val="24"/>
              </w:rPr>
              <w:t>174,243</w:t>
            </w:r>
            <w:bookmarkEnd w:id="2"/>
            <w:r w:rsidRPr="00EA1D4E">
              <w:rPr>
                <w:rFonts w:hAnsi="標楷體"/>
                <w:b/>
                <w:spacing w:val="-30"/>
                <w:kern w:val="0"/>
                <w:sz w:val="24"/>
                <w:szCs w:val="24"/>
              </w:rPr>
              <w:t xml:space="preserve"> </w:t>
            </w:r>
          </w:p>
        </w:tc>
        <w:tc>
          <w:tcPr>
            <w:tcW w:w="910" w:type="dxa"/>
            <w:tcBorders>
              <w:top w:val="double" w:sz="4" w:space="0" w:color="auto"/>
              <w:left w:val="single" w:sz="4" w:space="0" w:color="auto"/>
              <w:bottom w:val="single" w:sz="12" w:space="0" w:color="auto"/>
              <w:right w:val="single" w:sz="4" w:space="0" w:color="auto"/>
            </w:tcBorders>
            <w:vAlign w:val="center"/>
            <w:hideMark/>
          </w:tcPr>
          <w:p w14:paraId="3EEDFC9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-168,603 </w:t>
            </w:r>
          </w:p>
        </w:tc>
        <w:tc>
          <w:tcPr>
            <w:tcW w:w="938" w:type="dxa"/>
            <w:tcBorders>
              <w:top w:val="double" w:sz="4" w:space="0" w:color="auto"/>
              <w:left w:val="single" w:sz="4" w:space="0" w:color="auto"/>
              <w:bottom w:val="single" w:sz="12" w:space="0" w:color="auto"/>
              <w:right w:val="single" w:sz="4" w:space="0" w:color="auto"/>
            </w:tcBorders>
            <w:vAlign w:val="center"/>
            <w:hideMark/>
          </w:tcPr>
          <w:p w14:paraId="4B0085E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hint="eastAsia"/>
                <w:b/>
                <w:spacing w:val="-30"/>
                <w:kern w:val="0"/>
                <w:sz w:val="24"/>
                <w:szCs w:val="24"/>
              </w:rPr>
              <w:t>-</w:t>
            </w:r>
            <w:r w:rsidRPr="00EA1D4E">
              <w:rPr>
                <w:rFonts w:hAnsi="標楷體"/>
                <w:b/>
                <w:spacing w:val="-30"/>
                <w:kern w:val="0"/>
                <w:sz w:val="24"/>
                <w:szCs w:val="24"/>
              </w:rPr>
              <w:t>174,</w:t>
            </w:r>
            <w:r w:rsidRPr="00EA1D4E">
              <w:rPr>
                <w:rFonts w:hAnsi="標楷體" w:hint="eastAsia"/>
                <w:b/>
                <w:spacing w:val="-30"/>
                <w:kern w:val="0"/>
                <w:sz w:val="24"/>
                <w:szCs w:val="24"/>
              </w:rPr>
              <w:t>181</w:t>
            </w:r>
            <w:r w:rsidRPr="00EA1D4E">
              <w:rPr>
                <w:rFonts w:hAnsi="標楷體"/>
                <w:b/>
                <w:spacing w:val="-30"/>
                <w:kern w:val="0"/>
                <w:sz w:val="24"/>
                <w:szCs w:val="24"/>
              </w:rPr>
              <w:t xml:space="preserve"> </w:t>
            </w:r>
          </w:p>
        </w:tc>
        <w:tc>
          <w:tcPr>
            <w:tcW w:w="923" w:type="dxa"/>
            <w:tcBorders>
              <w:top w:val="double" w:sz="4" w:space="0" w:color="auto"/>
              <w:left w:val="single" w:sz="4" w:space="0" w:color="auto"/>
              <w:bottom w:val="single" w:sz="12" w:space="0" w:color="auto"/>
              <w:right w:val="single" w:sz="4" w:space="0" w:color="auto"/>
            </w:tcBorders>
            <w:vAlign w:val="center"/>
            <w:hideMark/>
          </w:tcPr>
          <w:p w14:paraId="6E1E34B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-205,596 </w:t>
            </w:r>
          </w:p>
        </w:tc>
        <w:tc>
          <w:tcPr>
            <w:tcW w:w="924" w:type="dxa"/>
            <w:tcBorders>
              <w:top w:val="double" w:sz="4" w:space="0" w:color="auto"/>
              <w:left w:val="single" w:sz="4" w:space="0" w:color="auto"/>
              <w:bottom w:val="single" w:sz="12" w:space="0" w:color="auto"/>
              <w:right w:val="single" w:sz="4" w:space="0" w:color="auto"/>
            </w:tcBorders>
            <w:vAlign w:val="center"/>
            <w:hideMark/>
          </w:tcPr>
          <w:p w14:paraId="17D9B1C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-198,401 </w:t>
            </w:r>
          </w:p>
        </w:tc>
        <w:tc>
          <w:tcPr>
            <w:tcW w:w="896" w:type="dxa"/>
            <w:tcBorders>
              <w:top w:val="double" w:sz="4" w:space="0" w:color="auto"/>
              <w:left w:val="single" w:sz="4" w:space="0" w:color="auto"/>
              <w:bottom w:val="single" w:sz="12" w:space="0" w:color="auto"/>
              <w:right w:val="single" w:sz="4" w:space="0" w:color="auto"/>
            </w:tcBorders>
            <w:vAlign w:val="center"/>
            <w:hideMark/>
          </w:tcPr>
          <w:p w14:paraId="158673B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-202,087 </w:t>
            </w:r>
          </w:p>
        </w:tc>
        <w:tc>
          <w:tcPr>
            <w:tcW w:w="938" w:type="dxa"/>
            <w:tcBorders>
              <w:top w:val="double" w:sz="4" w:space="0" w:color="auto"/>
              <w:left w:val="single" w:sz="4" w:space="0" w:color="auto"/>
              <w:bottom w:val="single" w:sz="12" w:space="0" w:color="auto"/>
              <w:right w:val="single" w:sz="12" w:space="0" w:color="auto"/>
            </w:tcBorders>
            <w:vAlign w:val="center"/>
            <w:hideMark/>
          </w:tcPr>
          <w:p w14:paraId="62120B7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w:t>
            </w:r>
            <w:bookmarkStart w:id="3" w:name="_Hlk180049358"/>
            <w:r w:rsidRPr="00EA1D4E">
              <w:rPr>
                <w:rFonts w:hAnsi="標楷體"/>
                <w:b/>
                <w:spacing w:val="-30"/>
                <w:kern w:val="0"/>
                <w:sz w:val="24"/>
                <w:szCs w:val="24"/>
              </w:rPr>
              <w:t>218,833</w:t>
            </w:r>
            <w:bookmarkEnd w:id="3"/>
            <w:r w:rsidRPr="00EA1D4E">
              <w:rPr>
                <w:rFonts w:hAnsi="標楷體"/>
                <w:b/>
                <w:spacing w:val="-30"/>
                <w:kern w:val="0"/>
                <w:sz w:val="24"/>
                <w:szCs w:val="24"/>
              </w:rPr>
              <w:t xml:space="preserve"> </w:t>
            </w:r>
          </w:p>
        </w:tc>
      </w:tr>
    </w:tbl>
    <w:p w14:paraId="6F2434FD" w14:textId="77777777" w:rsidR="004D58F2" w:rsidRDefault="004D58F2" w:rsidP="00444E12">
      <w:pPr>
        <w:pStyle w:val="142"/>
        <w:jc w:val="both"/>
        <w:rPr>
          <w:rFonts w:hAnsi="標楷體"/>
        </w:rPr>
      </w:pPr>
      <w:bookmarkStart w:id="4" w:name="_Hlk178764694"/>
      <w:r>
        <w:rPr>
          <w:rFonts w:hAnsi="標楷體" w:hint="eastAsia"/>
        </w:rPr>
        <w:t>說</w:t>
      </w:r>
      <w:r w:rsidRPr="00EA1D4E">
        <w:rPr>
          <w:rStyle w:val="200"/>
          <w:rFonts w:hAnsi="標楷體" w:hint="eastAsia"/>
          <w:szCs w:val="24"/>
        </w:rPr>
        <w:t xml:space="preserve">　　</w:t>
      </w:r>
      <w:r>
        <w:rPr>
          <w:rFonts w:hAnsi="標楷體" w:hint="eastAsia"/>
        </w:rPr>
        <w:t>明：</w:t>
      </w:r>
      <w:r w:rsidRPr="00FE4E8A">
        <w:rPr>
          <w:rFonts w:hAnsi="標楷體" w:hint="eastAsia"/>
        </w:rPr>
        <w:t>決算數細數之和與總數或略有出入，係</w:t>
      </w:r>
      <w:r>
        <w:rPr>
          <w:rFonts w:hAnsi="標楷體" w:hint="eastAsia"/>
        </w:rPr>
        <w:t>4</w:t>
      </w:r>
      <w:r w:rsidRPr="00FE4E8A">
        <w:rPr>
          <w:rFonts w:hAnsi="標楷體" w:hint="eastAsia"/>
        </w:rPr>
        <w:t>捨</w:t>
      </w:r>
      <w:r>
        <w:rPr>
          <w:rFonts w:hAnsi="標楷體" w:hint="eastAsia"/>
        </w:rPr>
        <w:t>5</w:t>
      </w:r>
      <w:r w:rsidRPr="00FE4E8A">
        <w:rPr>
          <w:rFonts w:hAnsi="標楷體" w:hint="eastAsia"/>
        </w:rPr>
        <w:t>入關係</w:t>
      </w:r>
      <w:r>
        <w:rPr>
          <w:rFonts w:ascii="新細明體" w:eastAsia="新細明體" w:hAnsi="新細明體" w:hint="eastAsia"/>
        </w:rPr>
        <w:t>，</w:t>
      </w:r>
      <w:r w:rsidRPr="00FE4E8A">
        <w:rPr>
          <w:rFonts w:hAnsi="標楷體" w:hint="eastAsia"/>
        </w:rPr>
        <w:t>下表同</w:t>
      </w:r>
      <w:r w:rsidRPr="00444E12">
        <w:rPr>
          <w:rFonts w:hAnsi="標楷體" w:hint="eastAsia"/>
        </w:rPr>
        <w:t>。</w:t>
      </w:r>
    </w:p>
    <w:p w14:paraId="5B11B922" w14:textId="77777777" w:rsidR="004D58F2" w:rsidRPr="00EA1D4E" w:rsidRDefault="004D58F2" w:rsidP="00233647">
      <w:pPr>
        <w:pStyle w:val="142"/>
        <w:ind w:left="1216" w:hangingChars="500" w:hanging="1216"/>
        <w:jc w:val="both"/>
        <w:rPr>
          <w:rFonts w:hAnsi="標楷體"/>
        </w:rPr>
      </w:pPr>
      <w:r w:rsidRPr="00EA1D4E">
        <w:rPr>
          <w:rFonts w:hAnsi="標楷體" w:hint="eastAsia"/>
        </w:rPr>
        <w:t>資料來源：整理自</w:t>
      </w:r>
      <w:r>
        <w:rPr>
          <w:rFonts w:hAnsi="標楷體" w:hint="eastAsia"/>
        </w:rPr>
        <w:t>國立</w:t>
      </w:r>
      <w:r w:rsidRPr="00EA1D4E">
        <w:rPr>
          <w:rFonts w:hAnsi="標楷體" w:hint="eastAsia"/>
        </w:rPr>
        <w:t>中央大學校務基金110至114年度附屬單位預算(案)、110至112年度附屬單位決算及該校提供資料；本中心製表。</w:t>
      </w:r>
    </w:p>
    <w:bookmarkEnd w:id="4"/>
    <w:p w14:paraId="51F8247E" w14:textId="77777777" w:rsidR="004D58F2" w:rsidRPr="00EA1D4E" w:rsidRDefault="004D58F2" w:rsidP="001B2E10">
      <w:pPr>
        <w:pStyle w:val="a4"/>
        <w:ind w:left="849" w:hanging="283"/>
        <w:rPr>
          <w:rFonts w:hAnsi="標楷體"/>
          <w:b/>
          <w:bCs/>
        </w:rPr>
      </w:pPr>
      <w:r w:rsidRPr="00EA1D4E">
        <w:rPr>
          <w:rFonts w:hAnsi="標楷體" w:hint="eastAsia"/>
          <w:b/>
          <w:bCs/>
        </w:rPr>
        <w:t>(二)近年建教合作收入近8成來自政府委辦及科研補助計畫，允宜研謀強化與民間之產學合作，以增裕基金收入</w:t>
      </w:r>
    </w:p>
    <w:p w14:paraId="379CD921" w14:textId="77777777" w:rsidR="004D58F2" w:rsidRDefault="004D58F2" w:rsidP="00F97E98">
      <w:pPr>
        <w:pStyle w:val="2"/>
        <w:ind w:left="850" w:firstLine="566"/>
        <w:rPr>
          <w:rFonts w:hAnsi="標楷體"/>
        </w:rPr>
      </w:pPr>
      <w:r w:rsidRPr="00EA1D4E">
        <w:rPr>
          <w:rFonts w:hAnsi="標楷體" w:hint="eastAsia"/>
        </w:rPr>
        <w:t>114年度整體財務收支預計短絀2億1,883萬3千元，為近5年最高，惟自籌收入受少子女化趨勢影響，學生人數及學雜費收入逐年減少，應積極開拓其他自籌收入財源，以降低對學校營運之衝擊。據中央大學提供資料顯示，目前自籌收入係以「建教合作收入」為主，其經費來源為辦理政府、民間與學術研究機構產學合作、專題研究及委託辦理等計畫之收入，查該項收入110至114年度介於</w:t>
      </w:r>
      <w:r>
        <w:rPr>
          <w:rFonts w:hAnsi="標楷體" w:hint="eastAsia"/>
        </w:rPr>
        <w:t>預計</w:t>
      </w:r>
      <w:r w:rsidRPr="00F97E98">
        <w:rPr>
          <w:rFonts w:hAnsi="標楷體"/>
        </w:rPr>
        <w:t>19</w:t>
      </w:r>
      <w:r w:rsidRPr="00EA1D4E">
        <w:rPr>
          <w:rFonts w:hAnsi="標楷體" w:hint="eastAsia"/>
        </w:rPr>
        <w:t>億</w:t>
      </w:r>
      <w:r w:rsidRPr="00F97E98">
        <w:rPr>
          <w:rFonts w:hAnsi="標楷體"/>
        </w:rPr>
        <w:t>5,798</w:t>
      </w:r>
      <w:r>
        <w:rPr>
          <w:rFonts w:hAnsi="標楷體" w:hint="eastAsia"/>
        </w:rPr>
        <w:t>萬</w:t>
      </w:r>
      <w:r w:rsidRPr="00F97E98">
        <w:rPr>
          <w:rFonts w:hAnsi="標楷體"/>
        </w:rPr>
        <w:t>9</w:t>
      </w:r>
      <w:r>
        <w:rPr>
          <w:rFonts w:hAnsi="標楷體" w:hint="eastAsia"/>
        </w:rPr>
        <w:t>千</w:t>
      </w:r>
      <w:r w:rsidRPr="00EA1D4E">
        <w:rPr>
          <w:rFonts w:hAnsi="標楷體" w:hint="eastAsia"/>
        </w:rPr>
        <w:t>元至</w:t>
      </w:r>
      <w:r w:rsidRPr="00F97E98">
        <w:rPr>
          <w:rFonts w:hAnsi="標楷體"/>
        </w:rPr>
        <w:t>22</w:t>
      </w:r>
      <w:r w:rsidRPr="00EA1D4E">
        <w:rPr>
          <w:rFonts w:hAnsi="標楷體" w:hint="eastAsia"/>
        </w:rPr>
        <w:t>億</w:t>
      </w:r>
      <w:r w:rsidRPr="00F97E98">
        <w:rPr>
          <w:rFonts w:hAnsi="標楷體"/>
        </w:rPr>
        <w:t>5,830</w:t>
      </w:r>
      <w:r>
        <w:rPr>
          <w:rFonts w:hAnsi="標楷體" w:hint="eastAsia"/>
        </w:rPr>
        <w:t>萬</w:t>
      </w:r>
      <w:r w:rsidRPr="00F97E98">
        <w:rPr>
          <w:rFonts w:hAnsi="標楷體"/>
        </w:rPr>
        <w:t>2</w:t>
      </w:r>
      <w:r>
        <w:rPr>
          <w:rFonts w:hAnsi="標楷體" w:hint="eastAsia"/>
        </w:rPr>
        <w:t>千</w:t>
      </w:r>
      <w:r w:rsidRPr="00EA1D4E">
        <w:rPr>
          <w:rFonts w:hAnsi="標楷體" w:hint="eastAsia"/>
        </w:rPr>
        <w:t>元間，其中產學合作收入介於</w:t>
      </w:r>
      <w:r w:rsidRPr="00F97E98">
        <w:rPr>
          <w:rFonts w:hAnsi="標楷體"/>
        </w:rPr>
        <w:t>2</w:t>
      </w:r>
      <w:r w:rsidRPr="00EA1D4E">
        <w:rPr>
          <w:rFonts w:hAnsi="標楷體" w:hint="eastAsia"/>
        </w:rPr>
        <w:t>億</w:t>
      </w:r>
      <w:r w:rsidRPr="00F97E98">
        <w:rPr>
          <w:rFonts w:hAnsi="標楷體"/>
        </w:rPr>
        <w:t>6,504</w:t>
      </w:r>
      <w:r>
        <w:rPr>
          <w:rFonts w:hAnsi="標楷體" w:hint="eastAsia"/>
        </w:rPr>
        <w:t>萬</w:t>
      </w:r>
      <w:r w:rsidRPr="00F97E98">
        <w:rPr>
          <w:rFonts w:hAnsi="標楷體"/>
        </w:rPr>
        <w:t>9</w:t>
      </w:r>
      <w:r>
        <w:rPr>
          <w:rFonts w:hAnsi="標楷體" w:hint="eastAsia"/>
        </w:rPr>
        <w:t>千</w:t>
      </w:r>
      <w:r w:rsidRPr="00EA1D4E">
        <w:rPr>
          <w:rFonts w:hAnsi="標楷體" w:hint="eastAsia"/>
        </w:rPr>
        <w:t>元</w:t>
      </w:r>
      <w:r>
        <w:rPr>
          <w:rFonts w:hAnsi="標楷體" w:hint="eastAsia"/>
        </w:rPr>
        <w:t>至</w:t>
      </w:r>
      <w:r w:rsidRPr="00F97E98">
        <w:rPr>
          <w:rFonts w:hAnsi="標楷體"/>
        </w:rPr>
        <w:t>4</w:t>
      </w:r>
      <w:r w:rsidRPr="00EA1D4E">
        <w:rPr>
          <w:rFonts w:hAnsi="標楷體" w:hint="eastAsia"/>
        </w:rPr>
        <w:lastRenderedPageBreak/>
        <w:t>億</w:t>
      </w:r>
      <w:r w:rsidRPr="00F97E98">
        <w:rPr>
          <w:rFonts w:hAnsi="標楷體"/>
        </w:rPr>
        <w:t>7,257</w:t>
      </w:r>
      <w:r>
        <w:rPr>
          <w:rFonts w:hAnsi="標楷體" w:hint="eastAsia"/>
        </w:rPr>
        <w:t>萬</w:t>
      </w:r>
      <w:r w:rsidRPr="00F97E98">
        <w:rPr>
          <w:rFonts w:hAnsi="標楷體"/>
        </w:rPr>
        <w:t>1</w:t>
      </w:r>
      <w:r>
        <w:rPr>
          <w:rFonts w:hAnsi="標楷體" w:hint="eastAsia"/>
        </w:rPr>
        <w:t>千</w:t>
      </w:r>
      <w:r w:rsidRPr="00EA1D4E">
        <w:rPr>
          <w:rFonts w:hAnsi="標楷體" w:hint="eastAsia"/>
        </w:rPr>
        <w:t>元間，占建教合作收入比率僅介於11.77%至</w:t>
      </w:r>
      <w:r>
        <w:rPr>
          <w:rFonts w:hAnsi="標楷體" w:hint="eastAsia"/>
        </w:rPr>
        <w:t>預計</w:t>
      </w:r>
      <w:r w:rsidRPr="00EA1D4E">
        <w:rPr>
          <w:rFonts w:hAnsi="標楷體" w:hint="eastAsia"/>
        </w:rPr>
        <w:t>21.81%，近8成收入源自政府科研補助</w:t>
      </w:r>
      <w:r>
        <w:rPr>
          <w:rFonts w:hAnsi="標楷體" w:hint="eastAsia"/>
        </w:rPr>
        <w:t>及</w:t>
      </w:r>
      <w:r w:rsidRPr="00EA1D4E">
        <w:rPr>
          <w:rFonts w:hAnsi="標楷體" w:hint="eastAsia"/>
        </w:rPr>
        <w:t>委辦計畫</w:t>
      </w:r>
      <w:r w:rsidRPr="00EA1D4E">
        <w:rPr>
          <w:rFonts w:hAnsi="標楷體"/>
        </w:rPr>
        <w:t>(</w:t>
      </w:r>
      <w:r w:rsidRPr="00EA1D4E">
        <w:rPr>
          <w:rFonts w:hAnsi="標楷體" w:hint="eastAsia"/>
        </w:rPr>
        <w:t>詳表2)，允宜研謀強化與民間之產學合作，以增裕基金收入。</w:t>
      </w:r>
    </w:p>
    <w:p w14:paraId="17429B49" w14:textId="77777777" w:rsidR="004D58F2" w:rsidRPr="00EA1D4E" w:rsidRDefault="004D58F2" w:rsidP="00F97E98">
      <w:pPr>
        <w:pStyle w:val="20"/>
        <w:ind w:left="780" w:hangingChars="275" w:hanging="780"/>
        <w:rPr>
          <w:rFonts w:hAnsi="標楷體"/>
        </w:rPr>
      </w:pPr>
      <w:r w:rsidRPr="00EA1D4E">
        <w:rPr>
          <w:rStyle w:val="200"/>
          <w:rFonts w:hAnsi="標楷體" w:hint="eastAsia"/>
          <w:b/>
          <w:bCs/>
          <w:sz w:val="28"/>
        </w:rPr>
        <w:t>表2　中央大學1</w:t>
      </w:r>
      <w:r w:rsidRPr="00EA1D4E">
        <w:rPr>
          <w:rStyle w:val="200"/>
          <w:rFonts w:hAnsi="標楷體"/>
          <w:b/>
          <w:bCs/>
          <w:sz w:val="28"/>
        </w:rPr>
        <w:t>10</w:t>
      </w:r>
      <w:r w:rsidRPr="00EA1D4E">
        <w:rPr>
          <w:rStyle w:val="200"/>
          <w:rFonts w:hAnsi="標楷體" w:hint="eastAsia"/>
          <w:b/>
          <w:bCs/>
          <w:sz w:val="28"/>
        </w:rPr>
        <w:t>至11</w:t>
      </w:r>
      <w:r w:rsidRPr="00EA1D4E">
        <w:rPr>
          <w:rStyle w:val="200"/>
          <w:rFonts w:hAnsi="標楷體"/>
          <w:b/>
          <w:bCs/>
          <w:sz w:val="28"/>
        </w:rPr>
        <w:t>4</w:t>
      </w:r>
      <w:r w:rsidRPr="00EA1D4E">
        <w:rPr>
          <w:rStyle w:val="200"/>
          <w:rFonts w:hAnsi="標楷體" w:hint="eastAsia"/>
          <w:b/>
          <w:bCs/>
          <w:sz w:val="28"/>
        </w:rPr>
        <w:t>年度建教合作收入概況表</w:t>
      </w:r>
      <w:r w:rsidRPr="00EA1D4E">
        <w:rPr>
          <w:rStyle w:val="200"/>
          <w:rFonts w:hAnsi="標楷體" w:hint="eastAsia"/>
          <w:szCs w:val="24"/>
        </w:rPr>
        <w:t xml:space="preserve">　</w:t>
      </w:r>
      <w:r w:rsidRPr="00EA1D4E">
        <w:rPr>
          <w:rFonts w:hAnsi="標楷體" w:hint="eastAsia"/>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1232"/>
        <w:gridCol w:w="1232"/>
        <w:gridCol w:w="1232"/>
        <w:gridCol w:w="1217"/>
        <w:gridCol w:w="1218"/>
        <w:gridCol w:w="1246"/>
      </w:tblGrid>
      <w:tr w:rsidR="004D58F2" w:rsidRPr="00EA1D4E" w14:paraId="0171C1BA" w14:textId="77777777" w:rsidTr="00B73BAA">
        <w:trPr>
          <w:trHeight w:val="420"/>
          <w:tblHeader/>
        </w:trPr>
        <w:tc>
          <w:tcPr>
            <w:tcW w:w="1134" w:type="dxa"/>
            <w:vMerge w:val="restart"/>
            <w:vAlign w:val="center"/>
            <w:hideMark/>
          </w:tcPr>
          <w:p w14:paraId="714C0041"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年度</w:t>
            </w:r>
          </w:p>
        </w:tc>
        <w:tc>
          <w:tcPr>
            <w:tcW w:w="4913" w:type="dxa"/>
            <w:gridSpan w:val="4"/>
            <w:vAlign w:val="center"/>
            <w:hideMark/>
          </w:tcPr>
          <w:p w14:paraId="0BB2BB6C"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建教合作收入</w:t>
            </w:r>
          </w:p>
        </w:tc>
        <w:tc>
          <w:tcPr>
            <w:tcW w:w="1218" w:type="dxa"/>
            <w:vMerge w:val="restart"/>
            <w:vAlign w:val="center"/>
            <w:hideMark/>
          </w:tcPr>
          <w:p w14:paraId="62CCD0CF"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sz w:val="24"/>
                <w:szCs w:val="24"/>
              </w:rPr>
            </w:pPr>
            <w:r w:rsidRPr="00EA1D4E">
              <w:rPr>
                <w:rFonts w:hAnsi="標楷體" w:hint="eastAsia"/>
                <w:spacing w:val="-26"/>
                <w:sz w:val="24"/>
                <w:szCs w:val="24"/>
              </w:rPr>
              <w:t>產學合作收入占比</w:t>
            </w:r>
          </w:p>
        </w:tc>
        <w:tc>
          <w:tcPr>
            <w:tcW w:w="1246" w:type="dxa"/>
            <w:vMerge w:val="restart"/>
            <w:vAlign w:val="center"/>
            <w:hideMark/>
          </w:tcPr>
          <w:p w14:paraId="66738657"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sz w:val="24"/>
                <w:szCs w:val="24"/>
              </w:rPr>
            </w:pPr>
            <w:r w:rsidRPr="00EA1D4E">
              <w:rPr>
                <w:rFonts w:hAnsi="標楷體" w:hint="eastAsia"/>
                <w:spacing w:val="-26"/>
                <w:sz w:val="24"/>
                <w:szCs w:val="24"/>
              </w:rPr>
              <w:t>政府科研及</w:t>
            </w:r>
          </w:p>
          <w:p w14:paraId="78F59C15"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sz w:val="24"/>
                <w:szCs w:val="24"/>
              </w:rPr>
            </w:pPr>
            <w:r w:rsidRPr="00EA1D4E">
              <w:rPr>
                <w:rFonts w:hAnsi="標楷體" w:hint="eastAsia"/>
                <w:spacing w:val="-26"/>
                <w:sz w:val="24"/>
                <w:szCs w:val="24"/>
              </w:rPr>
              <w:t>委辦收入占比</w:t>
            </w:r>
          </w:p>
        </w:tc>
      </w:tr>
      <w:tr w:rsidR="004D58F2" w:rsidRPr="00EA1D4E" w14:paraId="712181AD" w14:textId="77777777" w:rsidTr="00EC56BD">
        <w:trPr>
          <w:trHeight w:val="436"/>
        </w:trPr>
        <w:tc>
          <w:tcPr>
            <w:tcW w:w="1134" w:type="dxa"/>
            <w:vMerge/>
            <w:tcBorders>
              <w:bottom w:val="double" w:sz="4" w:space="0" w:color="auto"/>
            </w:tcBorders>
            <w:vAlign w:val="center"/>
            <w:hideMark/>
          </w:tcPr>
          <w:p w14:paraId="0421A5DC" w14:textId="77777777" w:rsidR="004D58F2" w:rsidRPr="00EA1D4E" w:rsidRDefault="004D58F2" w:rsidP="00E772D8">
            <w:pPr>
              <w:widowControl/>
              <w:adjustRightInd w:val="0"/>
              <w:snapToGrid w:val="0"/>
              <w:spacing w:line="280" w:lineRule="exact"/>
              <w:ind w:leftChars="0" w:left="0" w:firstLineChars="0" w:firstLine="0"/>
              <w:jc w:val="left"/>
              <w:rPr>
                <w:rFonts w:hAnsi="標楷體"/>
                <w:spacing w:val="-20"/>
                <w:sz w:val="24"/>
                <w:szCs w:val="24"/>
              </w:rPr>
            </w:pPr>
          </w:p>
        </w:tc>
        <w:tc>
          <w:tcPr>
            <w:tcW w:w="1232" w:type="dxa"/>
            <w:tcBorders>
              <w:bottom w:val="double" w:sz="4" w:space="0" w:color="auto"/>
            </w:tcBorders>
            <w:vAlign w:val="center"/>
            <w:hideMark/>
          </w:tcPr>
          <w:p w14:paraId="19E49FA0"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產學合作</w:t>
            </w:r>
          </w:p>
          <w:p w14:paraId="72CC6CA9"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收入</w:t>
            </w:r>
          </w:p>
        </w:tc>
        <w:tc>
          <w:tcPr>
            <w:tcW w:w="1232" w:type="dxa"/>
            <w:tcBorders>
              <w:bottom w:val="double" w:sz="4" w:space="0" w:color="auto"/>
            </w:tcBorders>
            <w:vAlign w:val="center"/>
            <w:hideMark/>
          </w:tcPr>
          <w:p w14:paraId="27717E6C"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政府科研補助</w:t>
            </w:r>
          </w:p>
          <w:p w14:paraId="480BB7FF"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收入</w:t>
            </w:r>
          </w:p>
        </w:tc>
        <w:tc>
          <w:tcPr>
            <w:tcW w:w="1232" w:type="dxa"/>
            <w:tcBorders>
              <w:bottom w:val="double" w:sz="4" w:space="0" w:color="auto"/>
            </w:tcBorders>
            <w:vAlign w:val="center"/>
            <w:hideMark/>
          </w:tcPr>
          <w:p w14:paraId="049E8569"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政府委託辦理</w:t>
            </w:r>
          </w:p>
          <w:p w14:paraId="5070C378"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收入</w:t>
            </w:r>
          </w:p>
        </w:tc>
        <w:tc>
          <w:tcPr>
            <w:tcW w:w="1217" w:type="dxa"/>
            <w:tcBorders>
              <w:bottom w:val="double" w:sz="4" w:space="0" w:color="auto"/>
            </w:tcBorders>
            <w:vAlign w:val="center"/>
            <w:hideMark/>
          </w:tcPr>
          <w:p w14:paraId="1107A086"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合計</w:t>
            </w:r>
          </w:p>
        </w:tc>
        <w:tc>
          <w:tcPr>
            <w:tcW w:w="1218" w:type="dxa"/>
            <w:vMerge/>
            <w:tcBorders>
              <w:bottom w:val="double" w:sz="4" w:space="0" w:color="auto"/>
            </w:tcBorders>
            <w:vAlign w:val="center"/>
            <w:hideMark/>
          </w:tcPr>
          <w:p w14:paraId="6CA5E48E" w14:textId="77777777" w:rsidR="004D58F2" w:rsidRPr="00EA1D4E" w:rsidRDefault="004D58F2" w:rsidP="00E772D8">
            <w:pPr>
              <w:widowControl/>
              <w:adjustRightInd w:val="0"/>
              <w:snapToGrid w:val="0"/>
              <w:spacing w:line="280" w:lineRule="exact"/>
              <w:ind w:leftChars="0" w:left="0" w:firstLineChars="0" w:firstLine="0"/>
              <w:jc w:val="left"/>
              <w:rPr>
                <w:rFonts w:hAnsi="標楷體"/>
                <w:spacing w:val="-26"/>
                <w:sz w:val="24"/>
                <w:szCs w:val="24"/>
              </w:rPr>
            </w:pPr>
          </w:p>
        </w:tc>
        <w:tc>
          <w:tcPr>
            <w:tcW w:w="1246" w:type="dxa"/>
            <w:vMerge/>
            <w:tcBorders>
              <w:bottom w:val="double" w:sz="4" w:space="0" w:color="auto"/>
            </w:tcBorders>
            <w:vAlign w:val="center"/>
            <w:hideMark/>
          </w:tcPr>
          <w:p w14:paraId="333E1E69" w14:textId="77777777" w:rsidR="004D58F2" w:rsidRPr="00EA1D4E" w:rsidRDefault="004D58F2" w:rsidP="00E772D8">
            <w:pPr>
              <w:widowControl/>
              <w:adjustRightInd w:val="0"/>
              <w:snapToGrid w:val="0"/>
              <w:spacing w:line="280" w:lineRule="exact"/>
              <w:ind w:leftChars="0" w:left="0" w:firstLineChars="0" w:firstLine="0"/>
              <w:jc w:val="left"/>
              <w:rPr>
                <w:rFonts w:hAnsi="標楷體"/>
                <w:spacing w:val="-26"/>
                <w:sz w:val="24"/>
                <w:szCs w:val="24"/>
              </w:rPr>
            </w:pPr>
          </w:p>
        </w:tc>
      </w:tr>
      <w:tr w:rsidR="004D58F2" w:rsidRPr="00EA1D4E" w14:paraId="638FF697" w14:textId="77777777" w:rsidTr="00EC56BD">
        <w:tc>
          <w:tcPr>
            <w:tcW w:w="1134" w:type="dxa"/>
            <w:tcBorders>
              <w:top w:val="double" w:sz="4" w:space="0" w:color="auto"/>
              <w:bottom w:val="single" w:sz="4" w:space="0" w:color="auto"/>
            </w:tcBorders>
            <w:vAlign w:val="center"/>
            <w:hideMark/>
          </w:tcPr>
          <w:p w14:paraId="2D78BA64"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110年度</w:t>
            </w:r>
          </w:p>
          <w:p w14:paraId="0B936194"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決算數</w:t>
            </w:r>
          </w:p>
        </w:tc>
        <w:tc>
          <w:tcPr>
            <w:tcW w:w="1232" w:type="dxa"/>
            <w:tcBorders>
              <w:top w:val="double" w:sz="4" w:space="0" w:color="auto"/>
              <w:bottom w:val="single" w:sz="4" w:space="0" w:color="auto"/>
            </w:tcBorders>
            <w:vAlign w:val="center"/>
            <w:hideMark/>
          </w:tcPr>
          <w:p w14:paraId="301316A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455,222 </w:t>
            </w:r>
          </w:p>
        </w:tc>
        <w:tc>
          <w:tcPr>
            <w:tcW w:w="1232" w:type="dxa"/>
            <w:tcBorders>
              <w:top w:val="double" w:sz="4" w:space="0" w:color="auto"/>
              <w:bottom w:val="single" w:sz="4" w:space="0" w:color="auto"/>
            </w:tcBorders>
            <w:vAlign w:val="center"/>
            <w:hideMark/>
          </w:tcPr>
          <w:p w14:paraId="6759AF41"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1,220,436 </w:t>
            </w:r>
          </w:p>
        </w:tc>
        <w:tc>
          <w:tcPr>
            <w:tcW w:w="1232" w:type="dxa"/>
            <w:tcBorders>
              <w:top w:val="double" w:sz="4" w:space="0" w:color="auto"/>
              <w:bottom w:val="single" w:sz="4" w:space="0" w:color="auto"/>
            </w:tcBorders>
            <w:vAlign w:val="center"/>
            <w:hideMark/>
          </w:tcPr>
          <w:p w14:paraId="76A54A9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436,989 </w:t>
            </w:r>
          </w:p>
        </w:tc>
        <w:tc>
          <w:tcPr>
            <w:tcW w:w="1217" w:type="dxa"/>
            <w:tcBorders>
              <w:top w:val="double" w:sz="4" w:space="0" w:color="auto"/>
              <w:bottom w:val="single" w:sz="4" w:space="0" w:color="auto"/>
            </w:tcBorders>
            <w:vAlign w:val="center"/>
            <w:hideMark/>
          </w:tcPr>
          <w:p w14:paraId="3E2B9E55"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2,112,647</w:t>
            </w:r>
          </w:p>
        </w:tc>
        <w:tc>
          <w:tcPr>
            <w:tcW w:w="1218" w:type="dxa"/>
            <w:tcBorders>
              <w:top w:val="double" w:sz="4" w:space="0" w:color="auto"/>
              <w:bottom w:val="single" w:sz="4" w:space="0" w:color="auto"/>
            </w:tcBorders>
            <w:vAlign w:val="center"/>
            <w:hideMark/>
          </w:tcPr>
          <w:p w14:paraId="2A65F91F"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21.55%</w:t>
            </w:r>
          </w:p>
        </w:tc>
        <w:tc>
          <w:tcPr>
            <w:tcW w:w="1246" w:type="dxa"/>
            <w:tcBorders>
              <w:top w:val="double" w:sz="4" w:space="0" w:color="auto"/>
              <w:bottom w:val="single" w:sz="4" w:space="0" w:color="auto"/>
            </w:tcBorders>
            <w:vAlign w:val="center"/>
            <w:hideMark/>
          </w:tcPr>
          <w:p w14:paraId="2512F6BA"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78.45</w:t>
            </w:r>
            <w:r w:rsidRPr="00EA1D4E">
              <w:rPr>
                <w:rFonts w:hAnsi="標楷體" w:hint="eastAsia"/>
                <w:snapToGrid/>
                <w:spacing w:val="-20"/>
                <w:sz w:val="24"/>
                <w:szCs w:val="24"/>
              </w:rPr>
              <w:t>%</w:t>
            </w:r>
          </w:p>
        </w:tc>
      </w:tr>
      <w:tr w:rsidR="004D58F2" w:rsidRPr="00EA1D4E" w14:paraId="77341A15" w14:textId="77777777" w:rsidTr="00EC56BD">
        <w:tc>
          <w:tcPr>
            <w:tcW w:w="1134" w:type="dxa"/>
            <w:tcBorders>
              <w:top w:val="single" w:sz="4" w:space="0" w:color="auto"/>
            </w:tcBorders>
            <w:vAlign w:val="center"/>
            <w:hideMark/>
          </w:tcPr>
          <w:p w14:paraId="24F3E177"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111年度</w:t>
            </w:r>
          </w:p>
          <w:p w14:paraId="3B1D4735"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決算數</w:t>
            </w:r>
          </w:p>
        </w:tc>
        <w:tc>
          <w:tcPr>
            <w:tcW w:w="1232" w:type="dxa"/>
            <w:tcBorders>
              <w:top w:val="single" w:sz="4" w:space="0" w:color="auto"/>
            </w:tcBorders>
            <w:vAlign w:val="center"/>
            <w:hideMark/>
          </w:tcPr>
          <w:p w14:paraId="6D417FD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265,049 </w:t>
            </w:r>
          </w:p>
        </w:tc>
        <w:tc>
          <w:tcPr>
            <w:tcW w:w="1232" w:type="dxa"/>
            <w:tcBorders>
              <w:top w:val="single" w:sz="4" w:space="0" w:color="auto"/>
            </w:tcBorders>
            <w:vAlign w:val="center"/>
            <w:hideMark/>
          </w:tcPr>
          <w:p w14:paraId="04D22ECE"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1,256,247 </w:t>
            </w:r>
          </w:p>
        </w:tc>
        <w:tc>
          <w:tcPr>
            <w:tcW w:w="1232" w:type="dxa"/>
            <w:tcBorders>
              <w:top w:val="single" w:sz="4" w:space="0" w:color="auto"/>
            </w:tcBorders>
            <w:vAlign w:val="center"/>
            <w:hideMark/>
          </w:tcPr>
          <w:p w14:paraId="0E5A4445"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730,007 </w:t>
            </w:r>
          </w:p>
        </w:tc>
        <w:tc>
          <w:tcPr>
            <w:tcW w:w="1217" w:type="dxa"/>
            <w:tcBorders>
              <w:top w:val="single" w:sz="4" w:space="0" w:color="auto"/>
            </w:tcBorders>
            <w:vAlign w:val="center"/>
            <w:hideMark/>
          </w:tcPr>
          <w:p w14:paraId="37F9BDB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2,251,303</w:t>
            </w:r>
          </w:p>
        </w:tc>
        <w:tc>
          <w:tcPr>
            <w:tcW w:w="1218" w:type="dxa"/>
            <w:tcBorders>
              <w:top w:val="single" w:sz="4" w:space="0" w:color="auto"/>
            </w:tcBorders>
            <w:vAlign w:val="center"/>
            <w:hideMark/>
          </w:tcPr>
          <w:p w14:paraId="02F00D9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11.77%</w:t>
            </w:r>
          </w:p>
        </w:tc>
        <w:tc>
          <w:tcPr>
            <w:tcW w:w="1246" w:type="dxa"/>
            <w:tcBorders>
              <w:top w:val="single" w:sz="4" w:space="0" w:color="auto"/>
            </w:tcBorders>
            <w:vAlign w:val="center"/>
            <w:hideMark/>
          </w:tcPr>
          <w:p w14:paraId="4E463A3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88.23%</w:t>
            </w:r>
          </w:p>
        </w:tc>
      </w:tr>
      <w:tr w:rsidR="004D58F2" w:rsidRPr="00EA1D4E" w14:paraId="5F1AF53C" w14:textId="77777777" w:rsidTr="00EC56BD">
        <w:tc>
          <w:tcPr>
            <w:tcW w:w="1134" w:type="dxa"/>
            <w:vAlign w:val="center"/>
            <w:hideMark/>
          </w:tcPr>
          <w:p w14:paraId="24D9A120"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112年度</w:t>
            </w:r>
          </w:p>
          <w:p w14:paraId="4C070817"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決算數</w:t>
            </w:r>
          </w:p>
        </w:tc>
        <w:tc>
          <w:tcPr>
            <w:tcW w:w="1232" w:type="dxa"/>
            <w:vAlign w:val="center"/>
            <w:hideMark/>
          </w:tcPr>
          <w:p w14:paraId="44CE2E6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bookmarkStart w:id="5" w:name="_Hlk180050119"/>
            <w:r w:rsidRPr="00EA1D4E">
              <w:rPr>
                <w:rFonts w:hAnsi="標楷體"/>
                <w:snapToGrid/>
                <w:spacing w:val="-20"/>
                <w:sz w:val="24"/>
                <w:szCs w:val="24"/>
              </w:rPr>
              <w:t>472,571</w:t>
            </w:r>
            <w:bookmarkEnd w:id="5"/>
            <w:r w:rsidRPr="00EA1D4E">
              <w:rPr>
                <w:rFonts w:hAnsi="標楷體"/>
                <w:snapToGrid/>
                <w:spacing w:val="-20"/>
                <w:sz w:val="24"/>
                <w:szCs w:val="24"/>
              </w:rPr>
              <w:t xml:space="preserve"> </w:t>
            </w:r>
          </w:p>
        </w:tc>
        <w:tc>
          <w:tcPr>
            <w:tcW w:w="1232" w:type="dxa"/>
            <w:vAlign w:val="center"/>
            <w:hideMark/>
          </w:tcPr>
          <w:p w14:paraId="34D7DDCC"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1,311,367 </w:t>
            </w:r>
          </w:p>
        </w:tc>
        <w:tc>
          <w:tcPr>
            <w:tcW w:w="1232" w:type="dxa"/>
            <w:vAlign w:val="center"/>
            <w:hideMark/>
          </w:tcPr>
          <w:p w14:paraId="5864988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474,364 </w:t>
            </w:r>
          </w:p>
        </w:tc>
        <w:tc>
          <w:tcPr>
            <w:tcW w:w="1217" w:type="dxa"/>
            <w:vAlign w:val="center"/>
            <w:hideMark/>
          </w:tcPr>
          <w:p w14:paraId="263D30F7"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bookmarkStart w:id="6" w:name="_Hlk180050003"/>
            <w:r w:rsidRPr="00EA1D4E">
              <w:rPr>
                <w:rFonts w:hAnsi="標楷體"/>
                <w:snapToGrid/>
                <w:spacing w:val="-20"/>
                <w:sz w:val="24"/>
                <w:szCs w:val="24"/>
              </w:rPr>
              <w:t>2,258,302</w:t>
            </w:r>
            <w:bookmarkEnd w:id="6"/>
          </w:p>
        </w:tc>
        <w:tc>
          <w:tcPr>
            <w:tcW w:w="1218" w:type="dxa"/>
            <w:vAlign w:val="center"/>
            <w:hideMark/>
          </w:tcPr>
          <w:p w14:paraId="148C421C"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20.93%</w:t>
            </w:r>
          </w:p>
        </w:tc>
        <w:tc>
          <w:tcPr>
            <w:tcW w:w="1246" w:type="dxa"/>
            <w:vAlign w:val="center"/>
            <w:hideMark/>
          </w:tcPr>
          <w:p w14:paraId="63D0DF7F"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79.07%</w:t>
            </w:r>
          </w:p>
        </w:tc>
      </w:tr>
      <w:tr w:rsidR="004D58F2" w:rsidRPr="00EA1D4E" w14:paraId="37C2E5E9" w14:textId="77777777" w:rsidTr="00EC56BD">
        <w:tc>
          <w:tcPr>
            <w:tcW w:w="1134" w:type="dxa"/>
            <w:vAlign w:val="center"/>
            <w:hideMark/>
          </w:tcPr>
          <w:p w14:paraId="283EE06E"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113年度</w:t>
            </w:r>
          </w:p>
          <w:p w14:paraId="0F34A971"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預算案數</w:t>
            </w:r>
          </w:p>
        </w:tc>
        <w:tc>
          <w:tcPr>
            <w:tcW w:w="1232" w:type="dxa"/>
            <w:vAlign w:val="center"/>
            <w:hideMark/>
          </w:tcPr>
          <w:p w14:paraId="7255007B"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412,494 </w:t>
            </w:r>
          </w:p>
        </w:tc>
        <w:tc>
          <w:tcPr>
            <w:tcW w:w="1232" w:type="dxa"/>
            <w:vAlign w:val="center"/>
            <w:hideMark/>
          </w:tcPr>
          <w:p w14:paraId="420063DF"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1,359,696 </w:t>
            </w:r>
          </w:p>
        </w:tc>
        <w:tc>
          <w:tcPr>
            <w:tcW w:w="1232" w:type="dxa"/>
            <w:vAlign w:val="center"/>
            <w:hideMark/>
          </w:tcPr>
          <w:p w14:paraId="24043F2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192,025 </w:t>
            </w:r>
          </w:p>
        </w:tc>
        <w:tc>
          <w:tcPr>
            <w:tcW w:w="1217" w:type="dxa"/>
            <w:vAlign w:val="center"/>
            <w:hideMark/>
          </w:tcPr>
          <w:p w14:paraId="51F7662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1,964,215</w:t>
            </w:r>
          </w:p>
        </w:tc>
        <w:tc>
          <w:tcPr>
            <w:tcW w:w="1218" w:type="dxa"/>
            <w:vAlign w:val="center"/>
            <w:hideMark/>
          </w:tcPr>
          <w:p w14:paraId="1B17B03B"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21.00%</w:t>
            </w:r>
          </w:p>
        </w:tc>
        <w:tc>
          <w:tcPr>
            <w:tcW w:w="1246" w:type="dxa"/>
            <w:vAlign w:val="center"/>
            <w:hideMark/>
          </w:tcPr>
          <w:p w14:paraId="76D07FC7"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79.00%</w:t>
            </w:r>
          </w:p>
        </w:tc>
      </w:tr>
      <w:tr w:rsidR="004D58F2" w:rsidRPr="00EA1D4E" w14:paraId="6F1C3261" w14:textId="77777777" w:rsidTr="00EC56BD">
        <w:tc>
          <w:tcPr>
            <w:tcW w:w="1134" w:type="dxa"/>
            <w:vAlign w:val="center"/>
            <w:hideMark/>
          </w:tcPr>
          <w:p w14:paraId="4AFAF5C8"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114年度</w:t>
            </w:r>
          </w:p>
          <w:p w14:paraId="18B3E734"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預算案數</w:t>
            </w:r>
          </w:p>
        </w:tc>
        <w:tc>
          <w:tcPr>
            <w:tcW w:w="1232" w:type="dxa"/>
            <w:vAlign w:val="center"/>
            <w:hideMark/>
          </w:tcPr>
          <w:p w14:paraId="48B97ECC"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427,044 </w:t>
            </w:r>
          </w:p>
        </w:tc>
        <w:tc>
          <w:tcPr>
            <w:tcW w:w="1232" w:type="dxa"/>
            <w:vAlign w:val="center"/>
            <w:hideMark/>
          </w:tcPr>
          <w:p w14:paraId="0F4227D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1,262,110 </w:t>
            </w:r>
          </w:p>
        </w:tc>
        <w:tc>
          <w:tcPr>
            <w:tcW w:w="1232" w:type="dxa"/>
            <w:vAlign w:val="center"/>
            <w:hideMark/>
          </w:tcPr>
          <w:p w14:paraId="77FEFA6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268,835 </w:t>
            </w:r>
          </w:p>
        </w:tc>
        <w:tc>
          <w:tcPr>
            <w:tcW w:w="1217" w:type="dxa"/>
            <w:vAlign w:val="center"/>
            <w:hideMark/>
          </w:tcPr>
          <w:p w14:paraId="0BD9546E"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bookmarkStart w:id="7" w:name="_Hlk180049958"/>
            <w:r w:rsidRPr="00EA1D4E">
              <w:rPr>
                <w:rFonts w:hAnsi="標楷體"/>
                <w:snapToGrid/>
                <w:spacing w:val="-20"/>
                <w:sz w:val="24"/>
                <w:szCs w:val="24"/>
              </w:rPr>
              <w:t>1,957,989</w:t>
            </w:r>
            <w:bookmarkEnd w:id="7"/>
          </w:p>
        </w:tc>
        <w:tc>
          <w:tcPr>
            <w:tcW w:w="1218" w:type="dxa"/>
            <w:vAlign w:val="center"/>
            <w:hideMark/>
          </w:tcPr>
          <w:p w14:paraId="2B88C220"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21.81%</w:t>
            </w:r>
          </w:p>
        </w:tc>
        <w:tc>
          <w:tcPr>
            <w:tcW w:w="1246" w:type="dxa"/>
            <w:vAlign w:val="center"/>
            <w:hideMark/>
          </w:tcPr>
          <w:p w14:paraId="388C0803"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78.19%</w:t>
            </w:r>
          </w:p>
        </w:tc>
      </w:tr>
    </w:tbl>
    <w:p w14:paraId="27C5A488" w14:textId="77777777" w:rsidR="004D58F2" w:rsidRPr="00EA1D4E" w:rsidRDefault="004D58F2" w:rsidP="00233647">
      <w:pPr>
        <w:pStyle w:val="142"/>
        <w:ind w:left="1216" w:hangingChars="500" w:hanging="1216"/>
        <w:jc w:val="both"/>
        <w:rPr>
          <w:rFonts w:hAnsi="標楷體"/>
        </w:rPr>
      </w:pPr>
      <w:r w:rsidRPr="00EA1D4E">
        <w:rPr>
          <w:rFonts w:hAnsi="標楷體" w:hint="eastAsia"/>
        </w:rPr>
        <w:t>資料來源：整理自</w:t>
      </w:r>
      <w:r>
        <w:rPr>
          <w:rFonts w:hAnsi="標楷體" w:hint="eastAsia"/>
        </w:rPr>
        <w:t>國立</w:t>
      </w:r>
      <w:r w:rsidRPr="00EA1D4E">
        <w:rPr>
          <w:rFonts w:hAnsi="標楷體" w:hint="eastAsia"/>
        </w:rPr>
        <w:t>中央大學校務基金110至114年度附屬單位預算(案)、110至112年度附屬單位決算及該校提供資料；本中心製表。</w:t>
      </w:r>
    </w:p>
    <w:p w14:paraId="6445C175" w14:textId="77777777" w:rsidR="004D58F2" w:rsidRPr="004B7FBC" w:rsidRDefault="004D58F2" w:rsidP="008A5897">
      <w:pPr>
        <w:ind w:left="566" w:firstLine="566"/>
        <w:rPr>
          <w:rFonts w:hAnsi="標楷體"/>
        </w:rPr>
      </w:pPr>
      <w:r w:rsidRPr="00EA1D4E">
        <w:rPr>
          <w:rFonts w:hAnsi="標楷體" w:hint="eastAsia"/>
        </w:rPr>
        <w:t>綜上，中央大學110至114年度「本期短絀」預算數由</w:t>
      </w:r>
      <w:r w:rsidRPr="00AF5D6E">
        <w:rPr>
          <w:rFonts w:hAnsi="標楷體" w:hint="eastAsia"/>
        </w:rPr>
        <w:t>1億4,491萬3千元</w:t>
      </w:r>
      <w:r>
        <w:rPr>
          <w:rFonts w:hAnsi="標楷體" w:hint="eastAsia"/>
        </w:rPr>
        <w:t>概</w:t>
      </w:r>
      <w:r w:rsidRPr="00EA1D4E">
        <w:rPr>
          <w:rFonts w:hAnsi="標楷體" w:hint="eastAsia"/>
        </w:rPr>
        <w:t>增為</w:t>
      </w:r>
      <w:r w:rsidRPr="00765102">
        <w:rPr>
          <w:rFonts w:hAnsi="標楷體" w:hint="eastAsia"/>
        </w:rPr>
        <w:t>2億1,883萬3千元</w:t>
      </w:r>
      <w:r w:rsidRPr="00EA1D4E">
        <w:rPr>
          <w:rFonts w:hAnsi="標楷體" w:hint="eastAsia"/>
        </w:rPr>
        <w:t>，增幅高達51%，顯示近年該校整體營運狀況未見</w:t>
      </w:r>
      <w:r>
        <w:rPr>
          <w:rFonts w:hAnsi="標楷體" w:hint="eastAsia"/>
        </w:rPr>
        <w:t>有效</w:t>
      </w:r>
      <w:r w:rsidRPr="00EA1D4E">
        <w:rPr>
          <w:rFonts w:hAnsi="標楷體" w:hint="eastAsia"/>
        </w:rPr>
        <w:t>改善，</w:t>
      </w:r>
      <w:r w:rsidRPr="002F3E82">
        <w:rPr>
          <w:rFonts w:hAnsi="標楷體" w:hint="eastAsia"/>
        </w:rPr>
        <w:t>允宜持續強化各項開源節流措施</w:t>
      </w:r>
      <w:r>
        <w:rPr>
          <w:rFonts w:ascii="新細明體" w:eastAsia="新細明體" w:hAnsi="新細明體" w:hint="eastAsia"/>
        </w:rPr>
        <w:t>，</w:t>
      </w:r>
      <w:r>
        <w:rPr>
          <w:rFonts w:hAnsi="標楷體" w:hint="eastAsia"/>
        </w:rPr>
        <w:t>另</w:t>
      </w:r>
      <w:r w:rsidRPr="00EA1D4E">
        <w:rPr>
          <w:rFonts w:hAnsi="標楷體" w:hint="eastAsia"/>
        </w:rPr>
        <w:t>近年建教合作收入近8成來自政府科研補助及委辦計畫，宜研謀強化與民間之產學合作，以增裕基金收入，以達維持基金收支平衡或有賸餘之目標。</w:t>
      </w:r>
    </w:p>
    <w:p w14:paraId="631B8D5A" w14:textId="77777777" w:rsidR="004D58F2" w:rsidRPr="004B7FBC" w:rsidRDefault="004D58F2" w:rsidP="00242042">
      <w:pPr>
        <w:pStyle w:val="ab"/>
        <w:rPr>
          <w:rFonts w:hAnsi="標楷體"/>
        </w:rPr>
      </w:pPr>
      <w:r w:rsidRPr="004B7FBC">
        <w:rPr>
          <w:rFonts w:hAnsi="標楷體" w:hint="eastAsia"/>
        </w:rPr>
        <w:t>（分機：1937鄧可容）</w:t>
      </w:r>
    </w:p>
    <w:sectPr w:rsidR="004D58F2" w:rsidRPr="004B7FBC"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1E661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04194C8"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1E661C">
      <w:rPr>
        <w:rStyle w:val="af6"/>
        <w:noProof/>
      </w:rPr>
      <w:t>3</w:t>
    </w:r>
    <w:r>
      <w:rPr>
        <w:rStyle w:val="af6"/>
      </w:rPr>
      <w:fldChar w:fldCharType="end"/>
    </w:r>
  </w:p>
  <w:p w14:paraId="44D11F74" w14:textId="77777777" w:rsidR="00D36F94" w:rsidRPr="001F2930" w:rsidRDefault="001E661C"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1E661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330AAC75" w14:textId="5131EF9B" w:rsidR="004D58F2" w:rsidRDefault="004D58F2" w:rsidP="00A715C1">
      <w:pPr>
        <w:pStyle w:val="142"/>
        <w:ind w:leftChars="1" w:left="98" w:hangingChars="39" w:hanging="95"/>
        <w:jc w:val="both"/>
      </w:pPr>
      <w:r>
        <w:rPr>
          <w:rStyle w:val="af2"/>
        </w:rPr>
        <w:footnoteRef/>
      </w:r>
      <w:r w:rsidRPr="00253B16">
        <w:rPr>
          <w:rFonts w:hint="eastAsia"/>
          <w:sz w:val="12"/>
          <w:szCs w:val="12"/>
        </w:rPr>
        <w:t xml:space="preserve">　</w:t>
      </w:r>
      <w:r w:rsidRPr="008E4F01">
        <w:rPr>
          <w:rFonts w:hint="eastAsia"/>
        </w:rPr>
        <w:t>依國立大學校院校務基金設置條例第</w:t>
      </w:r>
      <w:r w:rsidRPr="008E4F01">
        <w:t>11</w:t>
      </w:r>
      <w:r w:rsidRPr="008E4F01">
        <w:rPr>
          <w:rFonts w:hint="eastAsia"/>
        </w:rPr>
        <w:t>條第</w:t>
      </w:r>
      <w:r w:rsidRPr="008E4F01">
        <w:t>1</w:t>
      </w:r>
      <w:r w:rsidRPr="008E4F01">
        <w:rPr>
          <w:rFonts w:hint="eastAsia"/>
        </w:rPr>
        <w:t>項規定：「校務基金預算之編製，應以國立大學校院中長程發展計畫為基礎，審酌基金之財務及預估收支情形，在維持基金收支平衡或有賸餘之原則下，定明預估之教育績效目標，並納入年度財務規劃報告書，…。」，又依</w:t>
      </w:r>
      <w:r w:rsidRPr="008E4F01">
        <w:t>11</w:t>
      </w:r>
      <w:r w:rsidRPr="008E4F01">
        <w:rPr>
          <w:rFonts w:hint="eastAsia"/>
        </w:rPr>
        <w:t>4年度中央政府總預算附屬單位預算共同項目編列作業規範，對於作業基金之業務收支及賸餘規定：「（一）應依基金設立目的，考量其財務能力，本自給自足原則，…（二）各基金應力求有賸餘無短絀，年度賸餘應以逐年成長</w:t>
      </w:r>
      <w:r w:rsidRPr="008E4F01">
        <w:t>(</w:t>
      </w:r>
      <w:r w:rsidRPr="008E4F01">
        <w:rPr>
          <w:rFonts w:hint="eastAsia"/>
        </w:rPr>
        <w:t>短絀積極改善</w:t>
      </w:r>
      <w:r w:rsidRPr="008E4F01">
        <w:t>)</w:t>
      </w:r>
      <w:r w:rsidRPr="008E4F01">
        <w:rPr>
          <w:rFonts w:hint="eastAsia"/>
        </w:rPr>
        <w:t>為目標。…。」</w:t>
      </w:r>
      <w:r>
        <w:rPr>
          <w:rFonts w:hint="eastAsia"/>
        </w:rPr>
        <w:t>。</w:t>
      </w:r>
      <w:r w:rsidRPr="008E4F01">
        <w:rPr>
          <w:rFonts w:hint="eastAsia"/>
        </w:rPr>
        <w:t>準此，國立大學校院校務基金預算之編製，應於自給自足基礎下，以維持收支平衡或有賸餘為原則，並應力求有賸餘無短絀，年度賸餘應以逐年成長或積極改善短絀為目標。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1E661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1E661C"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1E661C">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E661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A7197-5CD3-4211-BAB4-316C5C10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385</Words>
  <Characters>2196</Characters>
  <Application>Microsoft Office Word</Application>
  <DocSecurity>0</DocSecurity>
  <Lines>18</Lines>
  <Paragraphs>5</Paragraphs>
  <ScaleCrop>false</ScaleCrop>
  <Company>HOME</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