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3CC96129" w14:textId="77777777" w:rsidR="004D58F2" w:rsidRDefault="004D58F2" w:rsidP="001F472E">
      <w:pPr>
        <w:pStyle w:val="14"/>
        <w:ind w:left="567" w:hanging="567"/>
        <w:rPr>
          <w:color w:val="000000"/>
          <w:lang w:eastAsia="zh-HK"/>
        </w:rPr>
      </w:pPr>
      <w:bookmarkStart w:id="1" w:name="_Toc528239394"/>
      <w:bookmarkStart w:id="2" w:name="_Toc21028177"/>
      <w:bookmarkStart w:id="3" w:name="_Toc180412998"/>
      <w:bookmarkStart w:id="4" w:name="_Toc466981698"/>
      <w:r>
        <w:rPr>
          <w:rFonts w:hint="eastAsia"/>
          <w:color w:val="000000"/>
          <w:lang w:eastAsia="zh-HK"/>
        </w:rPr>
        <w:t>三</w:t>
      </w:r>
      <w:r w:rsidRPr="003C0BC7">
        <w:rPr>
          <w:rFonts w:hint="eastAsia"/>
          <w:color w:val="000000"/>
        </w:rPr>
        <w:t>、</w:t>
      </w:r>
      <w:r>
        <w:rPr>
          <w:rFonts w:hint="eastAsia"/>
          <w:color w:val="000000"/>
          <w:lang w:eastAsia="zh-HK"/>
        </w:rPr>
        <w:t>中</w:t>
      </w:r>
      <w:bookmarkEnd w:id="1"/>
      <w:bookmarkEnd w:id="2"/>
      <w:r>
        <w:rPr>
          <w:rFonts w:hint="eastAsia"/>
          <w:color w:val="000000"/>
        </w:rPr>
        <w:t>山大學111及112年度決算短絀數皆較預算數增加，</w:t>
      </w:r>
      <w:r w:rsidRPr="003E77D4">
        <w:rPr>
          <w:rFonts w:hint="eastAsia"/>
          <w:color w:val="000000"/>
        </w:rPr>
        <w:t>「半導體及重點科技研究學院」</w:t>
      </w:r>
      <w:r>
        <w:rPr>
          <w:rFonts w:hint="eastAsia"/>
          <w:color w:val="000000"/>
        </w:rPr>
        <w:t>及</w:t>
      </w:r>
      <w:r>
        <w:rPr>
          <w:rFonts w:hAnsi="標楷體" w:hint="eastAsia"/>
          <w:color w:val="000000"/>
        </w:rPr>
        <w:t>「國際金融研究學院」部分系所招生率亦屬偏低，均待檢討改善</w:t>
      </w:r>
      <w:bookmarkEnd w:id="3"/>
    </w:p>
    <w:p w14:paraId="14A1476D" w14:textId="77777777" w:rsidR="004D58F2" w:rsidRPr="00062285" w:rsidRDefault="004D58F2" w:rsidP="00A60B46">
      <w:pPr>
        <w:ind w:left="566" w:firstLine="566"/>
        <w:rPr>
          <w:rFonts w:ascii="新細明體" w:eastAsia="新細明體" w:hAnsi="新細明體"/>
        </w:rPr>
      </w:pPr>
      <w:r w:rsidRPr="00062285">
        <w:rPr>
          <w:rFonts w:hint="eastAsia"/>
        </w:rPr>
        <w:t>中山大學校務基金11</w:t>
      </w:r>
      <w:r w:rsidRPr="00062285">
        <w:t>4</w:t>
      </w:r>
      <w:r w:rsidRPr="00062285">
        <w:rPr>
          <w:rFonts w:hint="eastAsia"/>
        </w:rPr>
        <w:t>年度預算案編列業務收入4</w:t>
      </w:r>
      <w:r w:rsidRPr="00062285">
        <w:t>6</w:t>
      </w:r>
      <w:r w:rsidRPr="00062285">
        <w:rPr>
          <w:rFonts w:hint="eastAsia"/>
        </w:rPr>
        <w:t>億9</w:t>
      </w:r>
      <w:r w:rsidRPr="00062285">
        <w:t>82</w:t>
      </w:r>
      <w:r w:rsidRPr="00062285">
        <w:rPr>
          <w:rFonts w:hint="eastAsia"/>
        </w:rPr>
        <w:t>萬4千元、業務成本與費用4</w:t>
      </w:r>
      <w:r w:rsidRPr="00062285">
        <w:t>9</w:t>
      </w:r>
      <w:r w:rsidRPr="00062285">
        <w:rPr>
          <w:rFonts w:hint="eastAsia"/>
        </w:rPr>
        <w:t>億9</w:t>
      </w:r>
      <w:r w:rsidRPr="00062285">
        <w:t>86</w:t>
      </w:r>
      <w:r w:rsidRPr="00062285">
        <w:rPr>
          <w:rFonts w:hint="eastAsia"/>
        </w:rPr>
        <w:t>萬1千元、加計業務外賸餘1億5</w:t>
      </w:r>
      <w:r w:rsidRPr="00062285">
        <w:t>,3</w:t>
      </w:r>
      <w:r w:rsidRPr="00062285">
        <w:rPr>
          <w:rFonts w:hint="eastAsia"/>
        </w:rPr>
        <w:t>30萬元，預計短絀1億</w:t>
      </w:r>
      <w:r w:rsidRPr="00062285">
        <w:t>4,</w:t>
      </w:r>
      <w:r w:rsidRPr="00062285">
        <w:rPr>
          <w:rFonts w:hint="eastAsia"/>
        </w:rPr>
        <w:t>673萬7千元。另該校務基金依「國家重點領域產學合作及人才培育創新條例」規定設立「半導體及重點科技研究學院」及「國際金融研究學院」，並於112年度起編列該校務基金之分預算。經查</w:t>
      </w:r>
      <w:r w:rsidRPr="00062285">
        <w:rPr>
          <w:rFonts w:ascii="新細明體" w:eastAsia="新細明體" w:hAnsi="新細明體" w:hint="eastAsia"/>
        </w:rPr>
        <w:t>：</w:t>
      </w:r>
    </w:p>
    <w:p w14:paraId="0A3DD8CC" w14:textId="77777777" w:rsidR="004D58F2" w:rsidRPr="0043475A" w:rsidRDefault="004D58F2" w:rsidP="002E67C3">
      <w:pPr>
        <w:pStyle w:val="a4"/>
        <w:ind w:left="849" w:hanging="283"/>
        <w:rPr>
          <w:b/>
          <w:color w:val="000000"/>
        </w:rPr>
      </w:pPr>
      <w:r w:rsidRPr="0043475A">
        <w:rPr>
          <w:rFonts w:hint="eastAsia"/>
          <w:b/>
          <w:color w:val="000000"/>
        </w:rPr>
        <w:t>(一)</w:t>
      </w:r>
      <w:r>
        <w:rPr>
          <w:rFonts w:hint="eastAsia"/>
          <w:b/>
          <w:color w:val="000000"/>
        </w:rPr>
        <w:t>中山大學111及112年度決算短絀數皆高於預算數，114年度預計短絀1億4</w:t>
      </w:r>
      <w:r>
        <w:rPr>
          <w:b/>
          <w:color w:val="000000"/>
        </w:rPr>
        <w:t>,</w:t>
      </w:r>
      <w:r>
        <w:rPr>
          <w:rFonts w:hint="eastAsia"/>
          <w:b/>
          <w:color w:val="000000"/>
        </w:rPr>
        <w:t>673萬7千元，較113年度預算短絀增加53.2%</w:t>
      </w:r>
    </w:p>
    <w:p w14:paraId="01B2C66E" w14:textId="77777777" w:rsidR="004D58F2" w:rsidRPr="00062285" w:rsidRDefault="004D58F2" w:rsidP="002E67C3">
      <w:pPr>
        <w:pStyle w:val="2"/>
        <w:ind w:left="850" w:firstLine="566"/>
        <w:rPr>
          <w:color w:val="000000"/>
        </w:rPr>
      </w:pPr>
      <w:r w:rsidRPr="00062285">
        <w:rPr>
          <w:rFonts w:hint="eastAsia"/>
          <w:color w:val="000000"/>
        </w:rPr>
        <w:t>檢視中山大學近年收支餘絀情形，111至112年度中山大學預算</w:t>
      </w:r>
      <w:r>
        <w:rPr>
          <w:rFonts w:hint="eastAsia"/>
          <w:color w:val="000000"/>
        </w:rPr>
        <w:t>各</w:t>
      </w:r>
      <w:r w:rsidRPr="00062285">
        <w:rPr>
          <w:rFonts w:hint="eastAsia"/>
          <w:color w:val="000000"/>
        </w:rPr>
        <w:t>編列短絀1億3</w:t>
      </w:r>
      <w:r w:rsidRPr="00062285">
        <w:rPr>
          <w:color w:val="000000"/>
        </w:rPr>
        <w:t>,</w:t>
      </w:r>
      <w:r w:rsidRPr="00062285">
        <w:rPr>
          <w:rFonts w:hint="eastAsia"/>
          <w:color w:val="000000"/>
        </w:rPr>
        <w:t>173萬</w:t>
      </w:r>
      <w:r>
        <w:rPr>
          <w:rFonts w:hint="eastAsia"/>
          <w:color w:val="000000"/>
        </w:rPr>
        <w:t>元</w:t>
      </w:r>
      <w:r w:rsidRPr="00062285">
        <w:rPr>
          <w:rFonts w:hint="eastAsia"/>
          <w:color w:val="000000"/>
        </w:rPr>
        <w:t>及9</w:t>
      </w:r>
      <w:r w:rsidRPr="00062285">
        <w:rPr>
          <w:color w:val="000000"/>
        </w:rPr>
        <w:t>,</w:t>
      </w:r>
      <w:r w:rsidRPr="00062285">
        <w:rPr>
          <w:rFonts w:hint="eastAsia"/>
          <w:color w:val="000000"/>
        </w:rPr>
        <w:t>315萬5千元，實際執行結果，該2年度決算短絀分別為1億5</w:t>
      </w:r>
      <w:r w:rsidRPr="00062285">
        <w:rPr>
          <w:color w:val="000000"/>
        </w:rPr>
        <w:t>,</w:t>
      </w:r>
      <w:r w:rsidRPr="00062285">
        <w:rPr>
          <w:rFonts w:hint="eastAsia"/>
          <w:color w:val="000000"/>
        </w:rPr>
        <w:t>294萬3千元及1億5</w:t>
      </w:r>
      <w:r w:rsidRPr="00062285">
        <w:rPr>
          <w:color w:val="000000"/>
        </w:rPr>
        <w:t>,</w:t>
      </w:r>
      <w:r w:rsidRPr="00062285">
        <w:rPr>
          <w:rFonts w:hint="eastAsia"/>
          <w:color w:val="000000"/>
        </w:rPr>
        <w:t>201萬6千元，短絀數皆較預算數增加(詳表1)。</w:t>
      </w:r>
    </w:p>
    <w:p w14:paraId="427325E7" w14:textId="77777777" w:rsidR="004D58F2" w:rsidRDefault="004D58F2" w:rsidP="002E67C3">
      <w:pPr>
        <w:pStyle w:val="2"/>
        <w:ind w:left="850" w:firstLine="566"/>
        <w:rPr>
          <w:color w:val="000000"/>
        </w:rPr>
      </w:pPr>
      <w:r>
        <w:rPr>
          <w:rFonts w:hint="eastAsia"/>
          <w:color w:val="000000"/>
        </w:rPr>
        <w:t>至於決算短絀高於預算原因，依其預、決算書，111及1</w:t>
      </w:r>
      <w:r>
        <w:rPr>
          <w:color w:val="000000"/>
        </w:rPr>
        <w:t>12</w:t>
      </w:r>
      <w:r>
        <w:rPr>
          <w:rFonts w:hint="eastAsia"/>
          <w:color w:val="000000"/>
        </w:rPr>
        <w:t>年度皆因提供教研優質環境及配合</w:t>
      </w:r>
      <w:r>
        <w:rPr>
          <w:rFonts w:hAnsi="標楷體" w:hint="eastAsia"/>
          <w:color w:val="000000"/>
        </w:rPr>
        <w:t>「2030雙語國家政策」</w:t>
      </w:r>
      <w:r>
        <w:rPr>
          <w:rFonts w:hint="eastAsia"/>
          <w:color w:val="000000"/>
        </w:rPr>
        <w:t>，積極延攬聘用各領域專業人士及外籍教師所致。另該校114年度預算案編列收支短絀1億4</w:t>
      </w:r>
      <w:r>
        <w:rPr>
          <w:color w:val="000000"/>
        </w:rPr>
        <w:t>,</w:t>
      </w:r>
      <w:r>
        <w:rPr>
          <w:rFonts w:hint="eastAsia"/>
          <w:color w:val="000000"/>
        </w:rPr>
        <w:t>673萬7千元，較113年度預算短絀增加5</w:t>
      </w:r>
      <w:r>
        <w:rPr>
          <w:color w:val="000000"/>
        </w:rPr>
        <w:t>,095</w:t>
      </w:r>
      <w:r>
        <w:rPr>
          <w:rFonts w:hint="eastAsia"/>
          <w:color w:val="000000"/>
        </w:rPr>
        <w:t>萬7千元(增幅5</w:t>
      </w:r>
      <w:r>
        <w:rPr>
          <w:color w:val="000000"/>
        </w:rPr>
        <w:t>3</w:t>
      </w:r>
      <w:r>
        <w:rPr>
          <w:rFonts w:hint="eastAsia"/>
          <w:color w:val="000000"/>
        </w:rPr>
        <w:t>.2</w:t>
      </w:r>
      <w:r>
        <w:rPr>
          <w:color w:val="000000"/>
        </w:rPr>
        <w:t>0</w:t>
      </w:r>
      <w:r>
        <w:rPr>
          <w:rFonts w:hint="eastAsia"/>
          <w:color w:val="000000"/>
        </w:rPr>
        <w:t>%)。</w:t>
      </w:r>
    </w:p>
    <w:p w14:paraId="5681F4BF" w14:textId="77777777" w:rsidR="004D58F2" w:rsidRDefault="004D58F2" w:rsidP="002C7159">
      <w:pPr>
        <w:spacing w:beforeLines="20" w:before="102" w:line="360" w:lineRule="exact"/>
        <w:ind w:leftChars="-10" w:left="295" w:rightChars="-150" w:right="-425" w:hangingChars="114" w:hanging="323"/>
        <w:rPr>
          <w:sz w:val="24"/>
          <w:szCs w:val="24"/>
        </w:rPr>
      </w:pPr>
      <w:r>
        <w:rPr>
          <w:rFonts w:hint="eastAsia"/>
          <w:b/>
          <w:color w:val="000000"/>
        </w:rPr>
        <w:t xml:space="preserve"> </w:t>
      </w:r>
      <w:r w:rsidRPr="008D774A">
        <w:rPr>
          <w:rFonts w:hint="eastAsia"/>
          <w:b/>
          <w:color w:val="000000"/>
        </w:rPr>
        <w:t>表</w:t>
      </w:r>
      <w:r>
        <w:rPr>
          <w:rFonts w:hint="eastAsia"/>
          <w:b/>
          <w:color w:val="000000"/>
        </w:rPr>
        <w:t>1</w:t>
      </w:r>
      <w:r w:rsidRPr="00552EFC">
        <w:rPr>
          <w:rFonts w:hAnsi="標楷體"/>
          <w:b/>
          <w:szCs w:val="22"/>
        </w:rPr>
        <w:t xml:space="preserve">  </w:t>
      </w:r>
      <w:r>
        <w:rPr>
          <w:rFonts w:hAnsi="標楷體" w:cs="新細明體" w:hint="eastAsia"/>
          <w:b/>
          <w:bCs/>
          <w:smallCaps/>
        </w:rPr>
        <w:t>中山大學111至114年度</w:t>
      </w:r>
      <w:r>
        <w:rPr>
          <w:rFonts w:hAnsi="標楷體" w:cs="新細明體" w:hint="eastAsia"/>
          <w:b/>
          <w:bCs/>
          <w:smallCaps/>
          <w:w w:val="95"/>
        </w:rPr>
        <w:t>收支餘絀情形表</w:t>
      </w:r>
      <w:r>
        <w:rPr>
          <w:rFonts w:hAnsi="標楷體" w:cs="新細明體" w:hint="eastAsia"/>
          <w:b/>
          <w:bCs/>
          <w:smallCaps/>
          <w:spacing w:val="-14"/>
        </w:rPr>
        <w:t xml:space="preserve">        </w:t>
      </w:r>
      <w:r w:rsidRPr="003A76C9">
        <w:rPr>
          <w:rFonts w:hint="eastAsia"/>
          <w:sz w:val="24"/>
          <w:szCs w:val="24"/>
        </w:rPr>
        <w:t>單位：新臺幣千</w:t>
      </w:r>
      <w:r>
        <w:rPr>
          <w:rFonts w:hint="eastAsia"/>
          <w:sz w:val="24"/>
          <w:szCs w:val="24"/>
        </w:rPr>
        <w:t>元</w:t>
      </w:r>
    </w:p>
    <w:tbl>
      <w:tblPr>
        <w:tblW w:w="8222"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086"/>
        <w:gridCol w:w="1087"/>
        <w:gridCol w:w="1087"/>
        <w:gridCol w:w="1087"/>
        <w:gridCol w:w="1087"/>
        <w:gridCol w:w="1087"/>
      </w:tblGrid>
      <w:tr w:rsidR="004D58F2" w14:paraId="7004B82E" w14:textId="77777777" w:rsidTr="004A174D">
        <w:trPr>
          <w:trHeight w:val="257"/>
          <w:tblHeader/>
        </w:trPr>
        <w:tc>
          <w:tcPr>
            <w:tcW w:w="1701" w:type="dxa"/>
            <w:vMerge w:val="restart"/>
            <w:tcBorders>
              <w:top w:val="single" w:sz="12" w:space="0" w:color="auto"/>
              <w:left w:val="single" w:sz="12" w:space="0" w:color="auto"/>
              <w:bottom w:val="single" w:sz="6" w:space="0" w:color="auto"/>
              <w:right w:val="single" w:sz="6" w:space="0" w:color="auto"/>
            </w:tcBorders>
            <w:vAlign w:val="center"/>
            <w:hideMark/>
          </w:tcPr>
          <w:p w14:paraId="52972E75" w14:textId="77777777" w:rsidR="004D58F2" w:rsidRPr="00010A8F" w:rsidRDefault="004D58F2" w:rsidP="004A174D">
            <w:pPr>
              <w:pStyle w:val="142"/>
              <w:spacing w:line="300" w:lineRule="exact"/>
              <w:ind w:left="446" w:hanging="446"/>
              <w:jc w:val="center"/>
              <w:rPr>
                <w:b/>
                <w:szCs w:val="24"/>
              </w:rPr>
            </w:pPr>
            <w:r w:rsidRPr="00010A8F">
              <w:rPr>
                <w:rFonts w:hint="eastAsia"/>
                <w:b/>
                <w:szCs w:val="24"/>
              </w:rPr>
              <w:t>項目\年度</w:t>
            </w:r>
          </w:p>
        </w:tc>
        <w:tc>
          <w:tcPr>
            <w:tcW w:w="2173" w:type="dxa"/>
            <w:gridSpan w:val="2"/>
            <w:tcBorders>
              <w:top w:val="single" w:sz="12" w:space="0" w:color="auto"/>
              <w:left w:val="single" w:sz="6" w:space="0" w:color="auto"/>
              <w:bottom w:val="single" w:sz="6" w:space="0" w:color="auto"/>
              <w:right w:val="single" w:sz="4" w:space="0" w:color="auto"/>
            </w:tcBorders>
            <w:hideMark/>
          </w:tcPr>
          <w:p w14:paraId="0CDE2E00" w14:textId="77777777" w:rsidR="004D58F2" w:rsidRPr="00010A8F" w:rsidRDefault="004D58F2" w:rsidP="00F145C6">
            <w:pPr>
              <w:pStyle w:val="142"/>
              <w:spacing w:line="300" w:lineRule="exact"/>
              <w:ind w:left="446" w:rightChars="-36" w:right="-102" w:hanging="446"/>
              <w:jc w:val="center"/>
              <w:rPr>
                <w:b/>
                <w:szCs w:val="24"/>
              </w:rPr>
            </w:pPr>
            <w:r w:rsidRPr="00010A8F">
              <w:rPr>
                <w:rFonts w:hint="eastAsia"/>
                <w:b/>
                <w:szCs w:val="24"/>
              </w:rPr>
              <w:t>111年度</w:t>
            </w:r>
          </w:p>
        </w:tc>
        <w:tc>
          <w:tcPr>
            <w:tcW w:w="2174" w:type="dxa"/>
            <w:gridSpan w:val="2"/>
            <w:tcBorders>
              <w:top w:val="single" w:sz="12" w:space="0" w:color="auto"/>
              <w:left w:val="single" w:sz="4" w:space="0" w:color="auto"/>
              <w:bottom w:val="single" w:sz="6" w:space="0" w:color="auto"/>
              <w:right w:val="single" w:sz="4" w:space="0" w:color="auto"/>
            </w:tcBorders>
          </w:tcPr>
          <w:p w14:paraId="42977444" w14:textId="77777777" w:rsidR="004D58F2" w:rsidRPr="00010A8F" w:rsidRDefault="004D58F2" w:rsidP="00F145C6">
            <w:pPr>
              <w:pStyle w:val="142"/>
              <w:spacing w:line="300" w:lineRule="exact"/>
              <w:ind w:left="446" w:rightChars="-36" w:right="-102" w:hanging="446"/>
              <w:jc w:val="center"/>
              <w:rPr>
                <w:b/>
                <w:szCs w:val="24"/>
              </w:rPr>
            </w:pPr>
            <w:r w:rsidRPr="00010A8F">
              <w:rPr>
                <w:rFonts w:hint="eastAsia"/>
                <w:b/>
                <w:szCs w:val="24"/>
              </w:rPr>
              <w:t>112年度</w:t>
            </w:r>
          </w:p>
        </w:tc>
        <w:tc>
          <w:tcPr>
            <w:tcW w:w="1087" w:type="dxa"/>
            <w:tcBorders>
              <w:top w:val="single" w:sz="12" w:space="0" w:color="auto"/>
              <w:left w:val="single" w:sz="4" w:space="0" w:color="auto"/>
              <w:bottom w:val="single" w:sz="6" w:space="0" w:color="auto"/>
              <w:right w:val="single" w:sz="4" w:space="0" w:color="auto"/>
            </w:tcBorders>
          </w:tcPr>
          <w:p w14:paraId="47542C5E" w14:textId="77777777" w:rsidR="004D58F2" w:rsidRPr="00010A8F" w:rsidRDefault="004D58F2" w:rsidP="00FA007D">
            <w:pPr>
              <w:pStyle w:val="142"/>
              <w:spacing w:line="300" w:lineRule="exact"/>
              <w:ind w:left="446" w:rightChars="-36" w:right="-102" w:hanging="446"/>
              <w:jc w:val="center"/>
              <w:rPr>
                <w:b/>
                <w:szCs w:val="24"/>
              </w:rPr>
            </w:pPr>
            <w:r w:rsidRPr="00010A8F">
              <w:rPr>
                <w:rFonts w:hint="eastAsia"/>
                <w:b/>
                <w:szCs w:val="24"/>
              </w:rPr>
              <w:t>113年度</w:t>
            </w:r>
          </w:p>
        </w:tc>
        <w:tc>
          <w:tcPr>
            <w:tcW w:w="1087" w:type="dxa"/>
            <w:tcBorders>
              <w:top w:val="single" w:sz="12" w:space="0" w:color="auto"/>
              <w:left w:val="single" w:sz="4" w:space="0" w:color="auto"/>
              <w:bottom w:val="single" w:sz="6" w:space="0" w:color="auto"/>
              <w:right w:val="single" w:sz="12" w:space="0" w:color="auto"/>
            </w:tcBorders>
          </w:tcPr>
          <w:p w14:paraId="0336FFEC" w14:textId="77777777" w:rsidR="004D58F2" w:rsidRPr="00010A8F" w:rsidRDefault="004D58F2" w:rsidP="0057495C">
            <w:pPr>
              <w:pStyle w:val="142"/>
              <w:spacing w:line="300" w:lineRule="exact"/>
              <w:ind w:left="446" w:rightChars="-36" w:right="-102" w:hanging="446"/>
              <w:jc w:val="center"/>
              <w:rPr>
                <w:b/>
                <w:szCs w:val="24"/>
              </w:rPr>
            </w:pPr>
            <w:r w:rsidRPr="00010A8F">
              <w:rPr>
                <w:rFonts w:hint="eastAsia"/>
                <w:b/>
                <w:szCs w:val="24"/>
              </w:rPr>
              <w:t>114年度</w:t>
            </w:r>
          </w:p>
        </w:tc>
      </w:tr>
      <w:tr w:rsidR="004D58F2" w14:paraId="06BE1226" w14:textId="77777777" w:rsidTr="004A174D">
        <w:trPr>
          <w:trHeight w:val="64"/>
          <w:tblHeader/>
        </w:trPr>
        <w:tc>
          <w:tcPr>
            <w:tcW w:w="1701" w:type="dxa"/>
            <w:vMerge/>
            <w:tcBorders>
              <w:top w:val="single" w:sz="12" w:space="0" w:color="auto"/>
              <w:left w:val="single" w:sz="12" w:space="0" w:color="auto"/>
              <w:bottom w:val="single" w:sz="6" w:space="0" w:color="auto"/>
              <w:right w:val="single" w:sz="6" w:space="0" w:color="auto"/>
            </w:tcBorders>
            <w:vAlign w:val="center"/>
            <w:hideMark/>
          </w:tcPr>
          <w:p w14:paraId="001AA671" w14:textId="77777777" w:rsidR="004D58F2" w:rsidRDefault="004D58F2" w:rsidP="004A174D">
            <w:pPr>
              <w:widowControl/>
              <w:spacing w:line="300" w:lineRule="exact"/>
              <w:ind w:leftChars="0" w:left="0" w:firstLineChars="0" w:firstLine="0"/>
              <w:jc w:val="left"/>
              <w:rPr>
                <w:b/>
                <w:sz w:val="22"/>
                <w:szCs w:val="22"/>
              </w:rPr>
            </w:pPr>
          </w:p>
        </w:tc>
        <w:tc>
          <w:tcPr>
            <w:tcW w:w="1086" w:type="dxa"/>
            <w:tcBorders>
              <w:top w:val="single" w:sz="6" w:space="0" w:color="auto"/>
              <w:left w:val="single" w:sz="6" w:space="0" w:color="auto"/>
              <w:bottom w:val="single" w:sz="6" w:space="0" w:color="auto"/>
              <w:right w:val="single" w:sz="4" w:space="0" w:color="auto"/>
            </w:tcBorders>
            <w:hideMark/>
          </w:tcPr>
          <w:p w14:paraId="196FEC7C" w14:textId="77777777" w:rsidR="004D58F2" w:rsidRPr="00010A8F" w:rsidRDefault="004D58F2" w:rsidP="004A174D">
            <w:pPr>
              <w:pStyle w:val="142"/>
              <w:spacing w:line="300" w:lineRule="exact"/>
              <w:ind w:left="406" w:rightChars="-37" w:right="-105" w:hanging="406"/>
              <w:jc w:val="center"/>
              <w:rPr>
                <w:b/>
                <w:spacing w:val="-10"/>
                <w:szCs w:val="24"/>
              </w:rPr>
            </w:pPr>
            <w:r w:rsidRPr="00010A8F">
              <w:rPr>
                <w:rFonts w:hint="eastAsia"/>
                <w:b/>
                <w:spacing w:val="-10"/>
                <w:szCs w:val="24"/>
              </w:rPr>
              <w:t>預算數</w:t>
            </w:r>
          </w:p>
        </w:tc>
        <w:tc>
          <w:tcPr>
            <w:tcW w:w="1087" w:type="dxa"/>
            <w:tcBorders>
              <w:top w:val="single" w:sz="6" w:space="0" w:color="auto"/>
              <w:left w:val="single" w:sz="4" w:space="0" w:color="auto"/>
              <w:bottom w:val="single" w:sz="6" w:space="0" w:color="auto"/>
              <w:right w:val="single" w:sz="4" w:space="0" w:color="auto"/>
            </w:tcBorders>
          </w:tcPr>
          <w:p w14:paraId="75D003B2" w14:textId="77777777" w:rsidR="004D58F2" w:rsidRPr="00010A8F" w:rsidRDefault="004D58F2" w:rsidP="004A174D">
            <w:pPr>
              <w:pStyle w:val="142"/>
              <w:tabs>
                <w:tab w:val="left" w:pos="849"/>
              </w:tabs>
              <w:spacing w:line="300" w:lineRule="exact"/>
              <w:ind w:left="406" w:rightChars="-37" w:right="-105" w:hanging="406"/>
              <w:jc w:val="center"/>
              <w:rPr>
                <w:b/>
                <w:spacing w:val="-10"/>
                <w:szCs w:val="24"/>
              </w:rPr>
            </w:pPr>
            <w:r w:rsidRPr="00010A8F">
              <w:rPr>
                <w:rFonts w:hint="eastAsia"/>
                <w:b/>
                <w:spacing w:val="-10"/>
                <w:szCs w:val="24"/>
              </w:rPr>
              <w:t>決算數</w:t>
            </w:r>
          </w:p>
        </w:tc>
        <w:tc>
          <w:tcPr>
            <w:tcW w:w="1087" w:type="dxa"/>
            <w:tcBorders>
              <w:top w:val="single" w:sz="6" w:space="0" w:color="auto"/>
              <w:left w:val="single" w:sz="4" w:space="0" w:color="auto"/>
              <w:bottom w:val="single" w:sz="6" w:space="0" w:color="auto"/>
              <w:right w:val="single" w:sz="4" w:space="0" w:color="auto"/>
            </w:tcBorders>
          </w:tcPr>
          <w:p w14:paraId="482ACA24" w14:textId="77777777" w:rsidR="004D58F2" w:rsidRPr="00010A8F" w:rsidRDefault="004D58F2" w:rsidP="004A174D">
            <w:pPr>
              <w:pStyle w:val="142"/>
              <w:tabs>
                <w:tab w:val="left" w:pos="849"/>
              </w:tabs>
              <w:spacing w:line="300" w:lineRule="exact"/>
              <w:ind w:left="406" w:rightChars="-37" w:right="-105" w:hanging="406"/>
              <w:jc w:val="center"/>
              <w:rPr>
                <w:b/>
                <w:spacing w:val="-10"/>
                <w:szCs w:val="24"/>
              </w:rPr>
            </w:pPr>
            <w:r w:rsidRPr="00010A8F">
              <w:rPr>
                <w:rFonts w:hint="eastAsia"/>
                <w:b/>
                <w:spacing w:val="-10"/>
                <w:szCs w:val="24"/>
              </w:rPr>
              <w:t>預算數</w:t>
            </w:r>
          </w:p>
        </w:tc>
        <w:tc>
          <w:tcPr>
            <w:tcW w:w="1087" w:type="dxa"/>
            <w:tcBorders>
              <w:top w:val="single" w:sz="6" w:space="0" w:color="auto"/>
              <w:left w:val="single" w:sz="4" w:space="0" w:color="auto"/>
              <w:bottom w:val="single" w:sz="6" w:space="0" w:color="auto"/>
              <w:right w:val="single" w:sz="4" w:space="0" w:color="auto"/>
            </w:tcBorders>
          </w:tcPr>
          <w:p w14:paraId="2C99AA82" w14:textId="77777777" w:rsidR="004D58F2" w:rsidRPr="00010A8F" w:rsidRDefault="004D58F2" w:rsidP="004A174D">
            <w:pPr>
              <w:pStyle w:val="142"/>
              <w:spacing w:line="300" w:lineRule="exact"/>
              <w:ind w:left="406" w:rightChars="-37" w:right="-105" w:hanging="406"/>
              <w:jc w:val="center"/>
              <w:rPr>
                <w:b/>
                <w:spacing w:val="-10"/>
                <w:szCs w:val="24"/>
              </w:rPr>
            </w:pPr>
            <w:r w:rsidRPr="00010A8F">
              <w:rPr>
                <w:rFonts w:hint="eastAsia"/>
                <w:b/>
                <w:spacing w:val="-10"/>
                <w:szCs w:val="24"/>
              </w:rPr>
              <w:t>決算數</w:t>
            </w:r>
          </w:p>
        </w:tc>
        <w:tc>
          <w:tcPr>
            <w:tcW w:w="1087" w:type="dxa"/>
            <w:tcBorders>
              <w:top w:val="single" w:sz="6" w:space="0" w:color="auto"/>
              <w:left w:val="single" w:sz="4" w:space="0" w:color="auto"/>
              <w:bottom w:val="single" w:sz="6" w:space="0" w:color="auto"/>
              <w:right w:val="single" w:sz="4" w:space="0" w:color="auto"/>
            </w:tcBorders>
          </w:tcPr>
          <w:p w14:paraId="1E2F187E" w14:textId="77777777" w:rsidR="004D58F2" w:rsidRPr="00010A8F" w:rsidRDefault="004D58F2" w:rsidP="004A174D">
            <w:pPr>
              <w:pStyle w:val="142"/>
              <w:spacing w:line="300" w:lineRule="exact"/>
              <w:ind w:left="406" w:rightChars="-37" w:right="-105" w:hanging="406"/>
              <w:jc w:val="center"/>
              <w:rPr>
                <w:b/>
                <w:spacing w:val="-10"/>
                <w:szCs w:val="24"/>
              </w:rPr>
            </w:pPr>
            <w:r w:rsidRPr="00010A8F">
              <w:rPr>
                <w:rFonts w:hint="eastAsia"/>
                <w:b/>
                <w:spacing w:val="-10"/>
                <w:szCs w:val="24"/>
              </w:rPr>
              <w:t>預算數</w:t>
            </w:r>
          </w:p>
        </w:tc>
        <w:tc>
          <w:tcPr>
            <w:tcW w:w="1087" w:type="dxa"/>
            <w:tcBorders>
              <w:top w:val="single" w:sz="6" w:space="0" w:color="auto"/>
              <w:left w:val="single" w:sz="4" w:space="0" w:color="auto"/>
              <w:bottom w:val="single" w:sz="6" w:space="0" w:color="auto"/>
              <w:right w:val="single" w:sz="12" w:space="0" w:color="auto"/>
            </w:tcBorders>
          </w:tcPr>
          <w:p w14:paraId="0FCB5665" w14:textId="77777777" w:rsidR="004D58F2" w:rsidRPr="00010A8F" w:rsidRDefault="004D58F2" w:rsidP="004A174D">
            <w:pPr>
              <w:pStyle w:val="142"/>
              <w:spacing w:line="300" w:lineRule="exact"/>
              <w:ind w:left="406" w:rightChars="-37" w:right="-105" w:hanging="406"/>
              <w:jc w:val="center"/>
              <w:rPr>
                <w:b/>
                <w:spacing w:val="-10"/>
                <w:szCs w:val="24"/>
              </w:rPr>
            </w:pPr>
            <w:r w:rsidRPr="00010A8F">
              <w:rPr>
                <w:rFonts w:hint="eastAsia"/>
                <w:b/>
                <w:spacing w:val="-10"/>
                <w:szCs w:val="24"/>
              </w:rPr>
              <w:t>預算案數</w:t>
            </w:r>
          </w:p>
        </w:tc>
      </w:tr>
      <w:tr w:rsidR="004D58F2" w14:paraId="32C07EED" w14:textId="77777777" w:rsidTr="00A60B46">
        <w:trPr>
          <w:trHeight w:val="340"/>
        </w:trPr>
        <w:tc>
          <w:tcPr>
            <w:tcW w:w="1701" w:type="dxa"/>
            <w:tcBorders>
              <w:top w:val="single" w:sz="6" w:space="0" w:color="auto"/>
              <w:left w:val="single" w:sz="12" w:space="0" w:color="auto"/>
              <w:bottom w:val="single" w:sz="6" w:space="0" w:color="auto"/>
              <w:right w:val="single" w:sz="6" w:space="0" w:color="auto"/>
            </w:tcBorders>
            <w:vAlign w:val="center"/>
            <w:hideMark/>
          </w:tcPr>
          <w:p w14:paraId="44CAEAC9" w14:textId="77777777" w:rsidR="004D58F2" w:rsidRPr="00064D16" w:rsidRDefault="004D58F2" w:rsidP="00FA007D">
            <w:pPr>
              <w:pStyle w:val="142"/>
              <w:spacing w:line="300" w:lineRule="exact"/>
              <w:ind w:leftChars="-19" w:left="513" w:hanging="567"/>
              <w:jc w:val="both"/>
              <w:rPr>
                <w:spacing w:val="-20"/>
                <w:szCs w:val="24"/>
              </w:rPr>
            </w:pPr>
            <w:r w:rsidRPr="00064D16">
              <w:rPr>
                <w:rFonts w:hint="eastAsia"/>
                <w:spacing w:val="-20"/>
                <w:szCs w:val="24"/>
              </w:rPr>
              <w:t>業務收入</w:t>
            </w:r>
          </w:p>
        </w:tc>
        <w:tc>
          <w:tcPr>
            <w:tcW w:w="1086" w:type="dxa"/>
            <w:tcBorders>
              <w:top w:val="single" w:sz="6" w:space="0" w:color="auto"/>
              <w:left w:val="single" w:sz="6" w:space="0" w:color="auto"/>
              <w:bottom w:val="single" w:sz="6" w:space="0" w:color="auto"/>
              <w:right w:val="single" w:sz="4" w:space="0" w:color="auto"/>
            </w:tcBorders>
            <w:vAlign w:val="center"/>
          </w:tcPr>
          <w:p w14:paraId="379DF697"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3</w:t>
            </w:r>
            <w:r w:rsidRPr="00A60B46">
              <w:rPr>
                <w:spacing w:val="-20"/>
                <w:szCs w:val="24"/>
              </w:rPr>
              <w:t>,</w:t>
            </w:r>
            <w:r w:rsidRPr="00A60B46">
              <w:rPr>
                <w:rFonts w:hint="eastAsia"/>
                <w:spacing w:val="-20"/>
                <w:szCs w:val="24"/>
              </w:rPr>
              <w:t>413</w:t>
            </w:r>
            <w:r w:rsidRPr="00A60B46">
              <w:rPr>
                <w:spacing w:val="-20"/>
                <w:szCs w:val="24"/>
              </w:rPr>
              <w:t>,</w:t>
            </w:r>
            <w:r w:rsidRPr="00A60B46">
              <w:rPr>
                <w:rFonts w:hint="eastAsia"/>
                <w:spacing w:val="-20"/>
                <w:szCs w:val="24"/>
              </w:rPr>
              <w:t>584</w:t>
            </w:r>
          </w:p>
        </w:tc>
        <w:tc>
          <w:tcPr>
            <w:tcW w:w="1087" w:type="dxa"/>
            <w:tcBorders>
              <w:top w:val="single" w:sz="6" w:space="0" w:color="auto"/>
              <w:left w:val="single" w:sz="4" w:space="0" w:color="auto"/>
              <w:bottom w:val="single" w:sz="6" w:space="0" w:color="auto"/>
              <w:right w:val="single" w:sz="4" w:space="0" w:color="auto"/>
            </w:tcBorders>
            <w:vAlign w:val="center"/>
          </w:tcPr>
          <w:p w14:paraId="4209C2F7"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3</w:t>
            </w:r>
            <w:r w:rsidRPr="00A60B46">
              <w:rPr>
                <w:spacing w:val="-20"/>
                <w:szCs w:val="24"/>
              </w:rPr>
              <w:t>,</w:t>
            </w:r>
            <w:r w:rsidRPr="00A60B46">
              <w:rPr>
                <w:rFonts w:hint="eastAsia"/>
                <w:spacing w:val="-20"/>
                <w:szCs w:val="24"/>
              </w:rPr>
              <w:t>837</w:t>
            </w:r>
            <w:r w:rsidRPr="00A60B46">
              <w:rPr>
                <w:spacing w:val="-20"/>
                <w:szCs w:val="24"/>
              </w:rPr>
              <w:t>,</w:t>
            </w:r>
            <w:r w:rsidRPr="00A60B46">
              <w:rPr>
                <w:rFonts w:hint="eastAsia"/>
                <w:spacing w:val="-20"/>
                <w:szCs w:val="24"/>
              </w:rPr>
              <w:t>713</w:t>
            </w:r>
          </w:p>
        </w:tc>
        <w:tc>
          <w:tcPr>
            <w:tcW w:w="1087" w:type="dxa"/>
            <w:tcBorders>
              <w:top w:val="single" w:sz="6" w:space="0" w:color="auto"/>
              <w:left w:val="single" w:sz="4" w:space="0" w:color="auto"/>
              <w:bottom w:val="single" w:sz="6" w:space="0" w:color="auto"/>
              <w:right w:val="single" w:sz="4" w:space="0" w:color="auto"/>
            </w:tcBorders>
            <w:vAlign w:val="center"/>
          </w:tcPr>
          <w:p w14:paraId="0B895BD8"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3,739,805</w:t>
            </w:r>
          </w:p>
        </w:tc>
        <w:tc>
          <w:tcPr>
            <w:tcW w:w="1087" w:type="dxa"/>
            <w:tcBorders>
              <w:top w:val="single" w:sz="6" w:space="0" w:color="auto"/>
              <w:left w:val="single" w:sz="4" w:space="0" w:color="auto"/>
              <w:bottom w:val="single" w:sz="6" w:space="0" w:color="auto"/>
              <w:right w:val="single" w:sz="4" w:space="0" w:color="auto"/>
            </w:tcBorders>
            <w:vAlign w:val="center"/>
          </w:tcPr>
          <w:p w14:paraId="2F952657"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4</w:t>
            </w:r>
            <w:r w:rsidRPr="00A60B46">
              <w:rPr>
                <w:spacing w:val="-20"/>
                <w:szCs w:val="24"/>
              </w:rPr>
              <w:t>,</w:t>
            </w:r>
            <w:r w:rsidRPr="00A60B46">
              <w:rPr>
                <w:rFonts w:hint="eastAsia"/>
                <w:spacing w:val="-20"/>
                <w:szCs w:val="24"/>
              </w:rPr>
              <w:t>274</w:t>
            </w:r>
            <w:r w:rsidRPr="00A60B46">
              <w:rPr>
                <w:spacing w:val="-20"/>
                <w:szCs w:val="24"/>
              </w:rPr>
              <w:t>,</w:t>
            </w:r>
            <w:r w:rsidRPr="00A60B46">
              <w:rPr>
                <w:rFonts w:hint="eastAsia"/>
                <w:spacing w:val="-20"/>
                <w:szCs w:val="24"/>
              </w:rPr>
              <w:t>138</w:t>
            </w:r>
          </w:p>
        </w:tc>
        <w:tc>
          <w:tcPr>
            <w:tcW w:w="1087" w:type="dxa"/>
            <w:tcBorders>
              <w:top w:val="single" w:sz="6" w:space="0" w:color="auto"/>
              <w:left w:val="single" w:sz="4" w:space="0" w:color="auto"/>
              <w:bottom w:val="single" w:sz="6" w:space="0" w:color="auto"/>
              <w:right w:val="single" w:sz="4" w:space="0" w:color="auto"/>
            </w:tcBorders>
            <w:vAlign w:val="center"/>
          </w:tcPr>
          <w:p w14:paraId="07ECAC47"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4,030,516</w:t>
            </w:r>
          </w:p>
        </w:tc>
        <w:tc>
          <w:tcPr>
            <w:tcW w:w="1087" w:type="dxa"/>
            <w:tcBorders>
              <w:top w:val="single" w:sz="6" w:space="0" w:color="auto"/>
              <w:left w:val="single" w:sz="4" w:space="0" w:color="auto"/>
              <w:bottom w:val="single" w:sz="6" w:space="0" w:color="auto"/>
              <w:right w:val="single" w:sz="12" w:space="0" w:color="auto"/>
            </w:tcBorders>
            <w:vAlign w:val="center"/>
          </w:tcPr>
          <w:p w14:paraId="1D99DD03"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4,609,824</w:t>
            </w:r>
          </w:p>
        </w:tc>
      </w:tr>
      <w:tr w:rsidR="004D58F2" w14:paraId="12004B2C" w14:textId="77777777" w:rsidTr="00A60B46">
        <w:trPr>
          <w:trHeight w:val="340"/>
        </w:trPr>
        <w:tc>
          <w:tcPr>
            <w:tcW w:w="1701" w:type="dxa"/>
            <w:tcBorders>
              <w:top w:val="single" w:sz="6" w:space="0" w:color="auto"/>
              <w:left w:val="single" w:sz="12" w:space="0" w:color="auto"/>
              <w:bottom w:val="single" w:sz="6" w:space="0" w:color="auto"/>
              <w:right w:val="single" w:sz="6" w:space="0" w:color="auto"/>
            </w:tcBorders>
            <w:vAlign w:val="center"/>
            <w:hideMark/>
          </w:tcPr>
          <w:p w14:paraId="1DD224D7" w14:textId="77777777" w:rsidR="004D58F2" w:rsidRPr="00064D16" w:rsidRDefault="004D58F2" w:rsidP="00FA007D">
            <w:pPr>
              <w:pStyle w:val="142"/>
              <w:spacing w:line="300" w:lineRule="exact"/>
              <w:ind w:leftChars="-19" w:left="513" w:hanging="567"/>
              <w:jc w:val="both"/>
              <w:rPr>
                <w:spacing w:val="-20"/>
                <w:szCs w:val="24"/>
              </w:rPr>
            </w:pPr>
            <w:r w:rsidRPr="00064D16">
              <w:rPr>
                <w:rFonts w:hint="eastAsia"/>
                <w:spacing w:val="-20"/>
                <w:szCs w:val="24"/>
              </w:rPr>
              <w:t>業務成本與費用</w:t>
            </w:r>
          </w:p>
        </w:tc>
        <w:tc>
          <w:tcPr>
            <w:tcW w:w="1086" w:type="dxa"/>
            <w:tcBorders>
              <w:top w:val="single" w:sz="6" w:space="0" w:color="auto"/>
              <w:left w:val="single" w:sz="6" w:space="0" w:color="auto"/>
              <w:bottom w:val="single" w:sz="6" w:space="0" w:color="auto"/>
              <w:right w:val="single" w:sz="4" w:space="0" w:color="auto"/>
            </w:tcBorders>
            <w:vAlign w:val="center"/>
          </w:tcPr>
          <w:p w14:paraId="21DBFE4F"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3,650,516</w:t>
            </w:r>
          </w:p>
        </w:tc>
        <w:tc>
          <w:tcPr>
            <w:tcW w:w="1087" w:type="dxa"/>
            <w:tcBorders>
              <w:top w:val="single" w:sz="6" w:space="0" w:color="auto"/>
              <w:left w:val="single" w:sz="4" w:space="0" w:color="auto"/>
              <w:bottom w:val="single" w:sz="6" w:space="0" w:color="auto"/>
              <w:right w:val="single" w:sz="4" w:space="0" w:color="auto"/>
            </w:tcBorders>
            <w:vAlign w:val="center"/>
          </w:tcPr>
          <w:p w14:paraId="0FB7EB01"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4</w:t>
            </w:r>
            <w:r w:rsidRPr="00A60B46">
              <w:rPr>
                <w:spacing w:val="-20"/>
                <w:szCs w:val="24"/>
              </w:rPr>
              <w:t>,</w:t>
            </w:r>
            <w:r w:rsidRPr="00A60B46">
              <w:rPr>
                <w:rFonts w:hint="eastAsia"/>
                <w:spacing w:val="-20"/>
                <w:szCs w:val="24"/>
              </w:rPr>
              <w:t>135</w:t>
            </w:r>
            <w:r w:rsidRPr="00A60B46">
              <w:rPr>
                <w:spacing w:val="-20"/>
                <w:szCs w:val="24"/>
              </w:rPr>
              <w:t>,</w:t>
            </w:r>
            <w:r w:rsidRPr="00A60B46">
              <w:rPr>
                <w:rFonts w:hint="eastAsia"/>
                <w:spacing w:val="-20"/>
                <w:szCs w:val="24"/>
              </w:rPr>
              <w:t>105</w:t>
            </w:r>
          </w:p>
        </w:tc>
        <w:tc>
          <w:tcPr>
            <w:tcW w:w="1087" w:type="dxa"/>
            <w:tcBorders>
              <w:top w:val="single" w:sz="6" w:space="0" w:color="auto"/>
              <w:left w:val="single" w:sz="4" w:space="0" w:color="auto"/>
              <w:bottom w:val="single" w:sz="6" w:space="0" w:color="auto"/>
              <w:right w:val="single" w:sz="4" w:space="0" w:color="auto"/>
            </w:tcBorders>
            <w:vAlign w:val="center"/>
          </w:tcPr>
          <w:p w14:paraId="1DBF31B9"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3,965,960</w:t>
            </w:r>
          </w:p>
        </w:tc>
        <w:tc>
          <w:tcPr>
            <w:tcW w:w="1087" w:type="dxa"/>
            <w:tcBorders>
              <w:top w:val="single" w:sz="6" w:space="0" w:color="auto"/>
              <w:left w:val="single" w:sz="4" w:space="0" w:color="auto"/>
              <w:bottom w:val="single" w:sz="6" w:space="0" w:color="auto"/>
              <w:right w:val="single" w:sz="4" w:space="0" w:color="auto"/>
            </w:tcBorders>
            <w:vAlign w:val="center"/>
          </w:tcPr>
          <w:p w14:paraId="4AE34E10"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4</w:t>
            </w:r>
            <w:r w:rsidRPr="00A60B46">
              <w:rPr>
                <w:spacing w:val="-20"/>
                <w:szCs w:val="24"/>
              </w:rPr>
              <w:t>,</w:t>
            </w:r>
            <w:r w:rsidRPr="00A60B46">
              <w:rPr>
                <w:rFonts w:hint="eastAsia"/>
                <w:spacing w:val="-20"/>
                <w:szCs w:val="24"/>
              </w:rPr>
              <w:t>594</w:t>
            </w:r>
            <w:r w:rsidRPr="00A60B46">
              <w:rPr>
                <w:spacing w:val="-20"/>
                <w:szCs w:val="24"/>
              </w:rPr>
              <w:t>,</w:t>
            </w:r>
            <w:r w:rsidRPr="00A60B46">
              <w:rPr>
                <w:rFonts w:hint="eastAsia"/>
                <w:spacing w:val="-20"/>
                <w:szCs w:val="24"/>
              </w:rPr>
              <w:t>315</w:t>
            </w:r>
          </w:p>
        </w:tc>
        <w:tc>
          <w:tcPr>
            <w:tcW w:w="1087" w:type="dxa"/>
            <w:tcBorders>
              <w:top w:val="single" w:sz="6" w:space="0" w:color="auto"/>
              <w:left w:val="single" w:sz="4" w:space="0" w:color="auto"/>
              <w:bottom w:val="single" w:sz="6" w:space="0" w:color="auto"/>
              <w:right w:val="single" w:sz="4" w:space="0" w:color="auto"/>
            </w:tcBorders>
            <w:vAlign w:val="center"/>
          </w:tcPr>
          <w:p w14:paraId="0D369D13"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4,271,296</w:t>
            </w:r>
          </w:p>
        </w:tc>
        <w:tc>
          <w:tcPr>
            <w:tcW w:w="1087" w:type="dxa"/>
            <w:tcBorders>
              <w:top w:val="single" w:sz="6" w:space="0" w:color="auto"/>
              <w:left w:val="single" w:sz="4" w:space="0" w:color="auto"/>
              <w:bottom w:val="single" w:sz="6" w:space="0" w:color="auto"/>
              <w:right w:val="single" w:sz="12" w:space="0" w:color="auto"/>
            </w:tcBorders>
            <w:vAlign w:val="center"/>
          </w:tcPr>
          <w:p w14:paraId="03348C8A"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4,909,861</w:t>
            </w:r>
          </w:p>
        </w:tc>
      </w:tr>
      <w:tr w:rsidR="004D58F2" w14:paraId="7386E023" w14:textId="77777777" w:rsidTr="00A60B46">
        <w:trPr>
          <w:trHeight w:val="340"/>
        </w:trPr>
        <w:tc>
          <w:tcPr>
            <w:tcW w:w="1701" w:type="dxa"/>
            <w:tcBorders>
              <w:top w:val="single" w:sz="6" w:space="0" w:color="auto"/>
              <w:left w:val="single" w:sz="12" w:space="0" w:color="auto"/>
              <w:bottom w:val="single" w:sz="6" w:space="0" w:color="auto"/>
              <w:right w:val="single" w:sz="6" w:space="0" w:color="auto"/>
            </w:tcBorders>
            <w:vAlign w:val="center"/>
            <w:hideMark/>
          </w:tcPr>
          <w:p w14:paraId="3050A3F0" w14:textId="77777777" w:rsidR="004D58F2" w:rsidRPr="00064D16" w:rsidRDefault="004D58F2" w:rsidP="00FA007D">
            <w:pPr>
              <w:pStyle w:val="142"/>
              <w:spacing w:line="300" w:lineRule="exact"/>
              <w:ind w:leftChars="-19" w:left="513" w:hanging="567"/>
              <w:jc w:val="both"/>
              <w:rPr>
                <w:spacing w:val="-20"/>
                <w:szCs w:val="24"/>
              </w:rPr>
            </w:pPr>
            <w:r w:rsidRPr="00064D16">
              <w:rPr>
                <w:rFonts w:hint="eastAsia"/>
                <w:spacing w:val="-20"/>
                <w:szCs w:val="24"/>
              </w:rPr>
              <w:lastRenderedPageBreak/>
              <w:t>業務賸餘(短絀)</w:t>
            </w:r>
          </w:p>
        </w:tc>
        <w:tc>
          <w:tcPr>
            <w:tcW w:w="1086" w:type="dxa"/>
            <w:tcBorders>
              <w:top w:val="single" w:sz="6" w:space="0" w:color="auto"/>
              <w:left w:val="single" w:sz="6" w:space="0" w:color="auto"/>
              <w:bottom w:val="single" w:sz="6" w:space="0" w:color="auto"/>
              <w:right w:val="single" w:sz="4" w:space="0" w:color="auto"/>
            </w:tcBorders>
            <w:vAlign w:val="center"/>
          </w:tcPr>
          <w:p w14:paraId="20AE0D93"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-236,932</w:t>
            </w:r>
          </w:p>
        </w:tc>
        <w:tc>
          <w:tcPr>
            <w:tcW w:w="1087" w:type="dxa"/>
            <w:tcBorders>
              <w:top w:val="single" w:sz="6" w:space="0" w:color="auto"/>
              <w:left w:val="single" w:sz="4" w:space="0" w:color="auto"/>
              <w:bottom w:val="single" w:sz="6" w:space="0" w:color="auto"/>
              <w:right w:val="single" w:sz="4" w:space="0" w:color="auto"/>
            </w:tcBorders>
            <w:vAlign w:val="center"/>
          </w:tcPr>
          <w:p w14:paraId="504B7CA5"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-297,392</w:t>
            </w:r>
          </w:p>
        </w:tc>
        <w:tc>
          <w:tcPr>
            <w:tcW w:w="1087" w:type="dxa"/>
            <w:tcBorders>
              <w:top w:val="single" w:sz="6" w:space="0" w:color="auto"/>
              <w:left w:val="single" w:sz="4" w:space="0" w:color="auto"/>
              <w:bottom w:val="single" w:sz="6" w:space="0" w:color="auto"/>
              <w:right w:val="single" w:sz="4" w:space="0" w:color="auto"/>
            </w:tcBorders>
            <w:vAlign w:val="center"/>
          </w:tcPr>
          <w:p w14:paraId="7AF9A147"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-226,155</w:t>
            </w:r>
          </w:p>
        </w:tc>
        <w:tc>
          <w:tcPr>
            <w:tcW w:w="1087" w:type="dxa"/>
            <w:tcBorders>
              <w:top w:val="single" w:sz="6" w:space="0" w:color="auto"/>
              <w:left w:val="single" w:sz="4" w:space="0" w:color="auto"/>
              <w:bottom w:val="single" w:sz="6" w:space="0" w:color="auto"/>
              <w:right w:val="single" w:sz="4" w:space="0" w:color="auto"/>
            </w:tcBorders>
            <w:vAlign w:val="center"/>
          </w:tcPr>
          <w:p w14:paraId="55AD0ABE"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-320</w:t>
            </w:r>
            <w:r w:rsidRPr="00A60B46">
              <w:rPr>
                <w:spacing w:val="-20"/>
                <w:szCs w:val="24"/>
              </w:rPr>
              <w:t>,</w:t>
            </w:r>
            <w:r w:rsidRPr="00A60B46">
              <w:rPr>
                <w:rFonts w:hint="eastAsia"/>
                <w:spacing w:val="-20"/>
                <w:szCs w:val="24"/>
              </w:rPr>
              <w:t>177</w:t>
            </w:r>
          </w:p>
        </w:tc>
        <w:tc>
          <w:tcPr>
            <w:tcW w:w="1087" w:type="dxa"/>
            <w:tcBorders>
              <w:top w:val="single" w:sz="6" w:space="0" w:color="auto"/>
              <w:left w:val="single" w:sz="4" w:space="0" w:color="auto"/>
              <w:bottom w:val="single" w:sz="6" w:space="0" w:color="auto"/>
              <w:right w:val="single" w:sz="4" w:space="0" w:color="auto"/>
            </w:tcBorders>
            <w:vAlign w:val="center"/>
          </w:tcPr>
          <w:p w14:paraId="6A81EEDE"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-240,780</w:t>
            </w:r>
          </w:p>
        </w:tc>
        <w:tc>
          <w:tcPr>
            <w:tcW w:w="1087" w:type="dxa"/>
            <w:tcBorders>
              <w:top w:val="single" w:sz="6" w:space="0" w:color="auto"/>
              <w:left w:val="single" w:sz="4" w:space="0" w:color="auto"/>
              <w:bottom w:val="single" w:sz="6" w:space="0" w:color="auto"/>
              <w:right w:val="single" w:sz="12" w:space="0" w:color="auto"/>
            </w:tcBorders>
            <w:vAlign w:val="center"/>
          </w:tcPr>
          <w:p w14:paraId="15B59E4E"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-300,037</w:t>
            </w:r>
          </w:p>
        </w:tc>
      </w:tr>
      <w:tr w:rsidR="004D58F2" w14:paraId="058AAFFE" w14:textId="77777777" w:rsidTr="00A60B46">
        <w:trPr>
          <w:trHeight w:val="340"/>
        </w:trPr>
        <w:tc>
          <w:tcPr>
            <w:tcW w:w="1701" w:type="dxa"/>
            <w:tcBorders>
              <w:top w:val="single" w:sz="6" w:space="0" w:color="auto"/>
              <w:left w:val="single" w:sz="12" w:space="0" w:color="auto"/>
              <w:bottom w:val="single" w:sz="6" w:space="0" w:color="auto"/>
              <w:right w:val="single" w:sz="6" w:space="0" w:color="auto"/>
            </w:tcBorders>
            <w:vAlign w:val="center"/>
          </w:tcPr>
          <w:p w14:paraId="18519BB3" w14:textId="77777777" w:rsidR="004D58F2" w:rsidRPr="00064D16" w:rsidRDefault="004D58F2" w:rsidP="00FA007D">
            <w:pPr>
              <w:pStyle w:val="142"/>
              <w:spacing w:line="300" w:lineRule="exact"/>
              <w:ind w:leftChars="-19" w:left="513" w:hanging="567"/>
              <w:jc w:val="both"/>
              <w:rPr>
                <w:spacing w:val="-20"/>
                <w:szCs w:val="24"/>
              </w:rPr>
            </w:pPr>
            <w:r w:rsidRPr="005B2D0D">
              <w:rPr>
                <w:rFonts w:hint="eastAsia"/>
                <w:spacing w:val="-20"/>
                <w:szCs w:val="24"/>
              </w:rPr>
              <w:t>業</w:t>
            </w:r>
            <w:r w:rsidRPr="005B2D0D">
              <w:rPr>
                <w:rFonts w:hint="eastAsia"/>
                <w:spacing w:val="-28"/>
                <w:szCs w:val="24"/>
              </w:rPr>
              <w:t>務外賸餘</w:t>
            </w:r>
            <w:r w:rsidRPr="005B2D0D">
              <w:rPr>
                <w:rFonts w:hint="eastAsia"/>
                <w:spacing w:val="-20"/>
                <w:szCs w:val="24"/>
              </w:rPr>
              <w:t>(短絀)</w:t>
            </w:r>
          </w:p>
        </w:tc>
        <w:tc>
          <w:tcPr>
            <w:tcW w:w="1086" w:type="dxa"/>
            <w:tcBorders>
              <w:top w:val="single" w:sz="6" w:space="0" w:color="auto"/>
              <w:left w:val="single" w:sz="6" w:space="0" w:color="auto"/>
              <w:bottom w:val="single" w:sz="6" w:space="0" w:color="auto"/>
              <w:right w:val="single" w:sz="4" w:space="0" w:color="auto"/>
            </w:tcBorders>
            <w:vAlign w:val="center"/>
          </w:tcPr>
          <w:p w14:paraId="0DCED49B"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105,202</w:t>
            </w:r>
          </w:p>
        </w:tc>
        <w:tc>
          <w:tcPr>
            <w:tcW w:w="1087" w:type="dxa"/>
            <w:tcBorders>
              <w:top w:val="single" w:sz="6" w:space="0" w:color="auto"/>
              <w:left w:val="single" w:sz="4" w:space="0" w:color="auto"/>
              <w:bottom w:val="single" w:sz="6" w:space="0" w:color="auto"/>
              <w:right w:val="single" w:sz="4" w:space="0" w:color="auto"/>
            </w:tcBorders>
            <w:vAlign w:val="center"/>
          </w:tcPr>
          <w:p w14:paraId="52BF0916"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144,449</w:t>
            </w:r>
          </w:p>
        </w:tc>
        <w:tc>
          <w:tcPr>
            <w:tcW w:w="1087" w:type="dxa"/>
            <w:tcBorders>
              <w:top w:val="single" w:sz="6" w:space="0" w:color="auto"/>
              <w:left w:val="single" w:sz="4" w:space="0" w:color="auto"/>
              <w:bottom w:val="single" w:sz="6" w:space="0" w:color="auto"/>
              <w:right w:val="single" w:sz="4" w:space="0" w:color="auto"/>
            </w:tcBorders>
            <w:vAlign w:val="center"/>
          </w:tcPr>
          <w:p w14:paraId="05CC757A" w14:textId="77777777" w:rsidR="004D58F2" w:rsidRPr="00A60B46" w:rsidRDefault="004D58F2" w:rsidP="00A60B46">
            <w:pPr>
              <w:pStyle w:val="142"/>
              <w:spacing w:line="300" w:lineRule="exact"/>
              <w:ind w:leftChars="-19" w:left="513" w:hanging="567"/>
              <w:jc w:val="right"/>
              <w:rPr>
                <w:spacing w:val="-20"/>
                <w:szCs w:val="24"/>
              </w:rPr>
            </w:pPr>
            <w:r w:rsidRPr="00A60B46">
              <w:rPr>
                <w:spacing w:val="-20"/>
                <w:szCs w:val="24"/>
              </w:rPr>
              <w:t>133,000</w:t>
            </w:r>
          </w:p>
        </w:tc>
        <w:tc>
          <w:tcPr>
            <w:tcW w:w="1087" w:type="dxa"/>
            <w:tcBorders>
              <w:top w:val="single" w:sz="6" w:space="0" w:color="auto"/>
              <w:left w:val="single" w:sz="4" w:space="0" w:color="auto"/>
              <w:bottom w:val="single" w:sz="6" w:space="0" w:color="auto"/>
              <w:right w:val="single" w:sz="4" w:space="0" w:color="auto"/>
            </w:tcBorders>
            <w:vAlign w:val="center"/>
          </w:tcPr>
          <w:p w14:paraId="0FC36CB1"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168,161</w:t>
            </w:r>
          </w:p>
        </w:tc>
        <w:tc>
          <w:tcPr>
            <w:tcW w:w="1087" w:type="dxa"/>
            <w:tcBorders>
              <w:top w:val="single" w:sz="6" w:space="0" w:color="auto"/>
              <w:left w:val="single" w:sz="4" w:space="0" w:color="auto"/>
              <w:bottom w:val="single" w:sz="6" w:space="0" w:color="auto"/>
              <w:right w:val="single" w:sz="4" w:space="0" w:color="auto"/>
            </w:tcBorders>
            <w:vAlign w:val="center"/>
          </w:tcPr>
          <w:p w14:paraId="572D6B96"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145,000</w:t>
            </w:r>
          </w:p>
        </w:tc>
        <w:tc>
          <w:tcPr>
            <w:tcW w:w="1087" w:type="dxa"/>
            <w:tcBorders>
              <w:top w:val="single" w:sz="6" w:space="0" w:color="auto"/>
              <w:left w:val="single" w:sz="4" w:space="0" w:color="auto"/>
              <w:bottom w:val="single" w:sz="6" w:space="0" w:color="auto"/>
              <w:right w:val="single" w:sz="12" w:space="0" w:color="auto"/>
            </w:tcBorders>
            <w:vAlign w:val="center"/>
          </w:tcPr>
          <w:p w14:paraId="0485368F" w14:textId="77777777" w:rsidR="004D58F2" w:rsidRPr="00A60B46" w:rsidRDefault="004D58F2" w:rsidP="00A60B46">
            <w:pPr>
              <w:pStyle w:val="142"/>
              <w:spacing w:line="300" w:lineRule="exact"/>
              <w:ind w:leftChars="-19" w:left="513" w:hanging="567"/>
              <w:jc w:val="right"/>
              <w:rPr>
                <w:spacing w:val="-20"/>
                <w:szCs w:val="24"/>
              </w:rPr>
            </w:pPr>
            <w:r w:rsidRPr="00A60B46">
              <w:rPr>
                <w:rFonts w:hint="eastAsia"/>
                <w:spacing w:val="-20"/>
                <w:szCs w:val="24"/>
              </w:rPr>
              <w:t>153,300</w:t>
            </w:r>
          </w:p>
        </w:tc>
      </w:tr>
      <w:tr w:rsidR="004D58F2" w:rsidRPr="008A1E16" w14:paraId="231D1CCB" w14:textId="77777777" w:rsidTr="00A60B46">
        <w:trPr>
          <w:trHeight w:val="340"/>
        </w:trPr>
        <w:tc>
          <w:tcPr>
            <w:tcW w:w="1701" w:type="dxa"/>
            <w:tcBorders>
              <w:top w:val="single" w:sz="6" w:space="0" w:color="auto"/>
              <w:left w:val="single" w:sz="12" w:space="0" w:color="auto"/>
              <w:bottom w:val="single" w:sz="12" w:space="0" w:color="auto"/>
              <w:right w:val="single" w:sz="6" w:space="0" w:color="auto"/>
            </w:tcBorders>
            <w:vAlign w:val="center"/>
            <w:hideMark/>
          </w:tcPr>
          <w:p w14:paraId="348E64E9" w14:textId="77777777" w:rsidR="004D58F2" w:rsidRPr="00064D16" w:rsidRDefault="004D58F2" w:rsidP="00FA007D">
            <w:pPr>
              <w:pStyle w:val="142"/>
              <w:spacing w:line="300" w:lineRule="exact"/>
              <w:ind w:leftChars="-19" w:left="513" w:hanging="567"/>
              <w:jc w:val="both"/>
              <w:rPr>
                <w:spacing w:val="-20"/>
                <w:szCs w:val="24"/>
              </w:rPr>
            </w:pPr>
            <w:r w:rsidRPr="00064D16">
              <w:rPr>
                <w:rFonts w:hint="eastAsia"/>
                <w:spacing w:val="-20"/>
                <w:szCs w:val="24"/>
              </w:rPr>
              <w:t>本期餘絀</w:t>
            </w:r>
          </w:p>
        </w:tc>
        <w:tc>
          <w:tcPr>
            <w:tcW w:w="1086" w:type="dxa"/>
            <w:tcBorders>
              <w:top w:val="single" w:sz="6" w:space="0" w:color="auto"/>
              <w:left w:val="single" w:sz="6" w:space="0" w:color="auto"/>
              <w:bottom w:val="single" w:sz="12" w:space="0" w:color="auto"/>
              <w:right w:val="single" w:sz="4" w:space="0" w:color="auto"/>
            </w:tcBorders>
            <w:vAlign w:val="center"/>
          </w:tcPr>
          <w:p w14:paraId="55C21CFA" w14:textId="77777777" w:rsidR="004D58F2" w:rsidRPr="008A1E16" w:rsidRDefault="004D58F2" w:rsidP="00F145C6">
            <w:pPr>
              <w:pStyle w:val="142"/>
              <w:spacing w:line="300" w:lineRule="exact"/>
              <w:ind w:left="534" w:hanging="534"/>
              <w:jc w:val="right"/>
              <w:rPr>
                <w:b/>
                <w:spacing w:val="-20"/>
                <w:w w:val="95"/>
                <w:szCs w:val="24"/>
              </w:rPr>
            </w:pPr>
            <w:r w:rsidRPr="008A1E16">
              <w:rPr>
                <w:rFonts w:hint="eastAsia"/>
                <w:b/>
                <w:spacing w:val="-20"/>
                <w:w w:val="95"/>
                <w:szCs w:val="24"/>
              </w:rPr>
              <w:t>-</w:t>
            </w:r>
            <w:r w:rsidRPr="008A1E16">
              <w:rPr>
                <w:b/>
                <w:spacing w:val="-20"/>
                <w:w w:val="95"/>
                <w:szCs w:val="24"/>
              </w:rPr>
              <w:t>13</w:t>
            </w:r>
            <w:r>
              <w:rPr>
                <w:rFonts w:hint="eastAsia"/>
                <w:b/>
                <w:spacing w:val="-20"/>
                <w:w w:val="95"/>
                <w:szCs w:val="24"/>
              </w:rPr>
              <w:t>1</w:t>
            </w:r>
            <w:r w:rsidRPr="008A1E16">
              <w:rPr>
                <w:b/>
                <w:spacing w:val="-20"/>
                <w:w w:val="95"/>
                <w:szCs w:val="24"/>
              </w:rPr>
              <w:t>,</w:t>
            </w:r>
            <w:r>
              <w:rPr>
                <w:rFonts w:hint="eastAsia"/>
                <w:b/>
                <w:spacing w:val="-20"/>
                <w:w w:val="95"/>
                <w:szCs w:val="24"/>
              </w:rPr>
              <w:t>730</w:t>
            </w:r>
          </w:p>
        </w:tc>
        <w:tc>
          <w:tcPr>
            <w:tcW w:w="1087" w:type="dxa"/>
            <w:tcBorders>
              <w:top w:val="single" w:sz="6" w:space="0" w:color="auto"/>
              <w:left w:val="single" w:sz="4" w:space="0" w:color="auto"/>
              <w:bottom w:val="single" w:sz="12" w:space="0" w:color="auto"/>
              <w:right w:val="single" w:sz="4" w:space="0" w:color="auto"/>
            </w:tcBorders>
            <w:vAlign w:val="center"/>
          </w:tcPr>
          <w:p w14:paraId="12DE96F6" w14:textId="77777777" w:rsidR="004D58F2" w:rsidRPr="008A1E16" w:rsidRDefault="004D58F2" w:rsidP="00F145C6">
            <w:pPr>
              <w:pStyle w:val="142"/>
              <w:spacing w:line="300" w:lineRule="exact"/>
              <w:ind w:left="534" w:hanging="534"/>
              <w:jc w:val="right"/>
              <w:rPr>
                <w:b/>
                <w:spacing w:val="-20"/>
                <w:w w:val="95"/>
                <w:szCs w:val="24"/>
              </w:rPr>
            </w:pPr>
            <w:r w:rsidRPr="008A1E16">
              <w:rPr>
                <w:rFonts w:hint="eastAsia"/>
                <w:b/>
                <w:spacing w:val="-20"/>
                <w:w w:val="95"/>
                <w:szCs w:val="24"/>
              </w:rPr>
              <w:t>-</w:t>
            </w:r>
            <w:r>
              <w:rPr>
                <w:rFonts w:hint="eastAsia"/>
                <w:b/>
                <w:spacing w:val="-20"/>
                <w:w w:val="95"/>
                <w:szCs w:val="24"/>
              </w:rPr>
              <w:t>152</w:t>
            </w:r>
            <w:r w:rsidRPr="008A1E16">
              <w:rPr>
                <w:b/>
                <w:spacing w:val="-20"/>
                <w:w w:val="95"/>
                <w:szCs w:val="24"/>
              </w:rPr>
              <w:t>,</w:t>
            </w:r>
            <w:r>
              <w:rPr>
                <w:rFonts w:hint="eastAsia"/>
                <w:b/>
                <w:spacing w:val="-20"/>
                <w:w w:val="95"/>
                <w:szCs w:val="24"/>
              </w:rPr>
              <w:t>943</w:t>
            </w:r>
          </w:p>
        </w:tc>
        <w:tc>
          <w:tcPr>
            <w:tcW w:w="1087" w:type="dxa"/>
            <w:tcBorders>
              <w:top w:val="single" w:sz="6" w:space="0" w:color="auto"/>
              <w:left w:val="single" w:sz="4" w:space="0" w:color="auto"/>
              <w:bottom w:val="single" w:sz="12" w:space="0" w:color="auto"/>
              <w:right w:val="single" w:sz="4" w:space="0" w:color="auto"/>
            </w:tcBorders>
            <w:vAlign w:val="center"/>
          </w:tcPr>
          <w:p w14:paraId="005223AD" w14:textId="77777777" w:rsidR="004D58F2" w:rsidRPr="008A1E16" w:rsidRDefault="004D58F2" w:rsidP="00F145C6">
            <w:pPr>
              <w:pStyle w:val="142"/>
              <w:spacing w:line="300" w:lineRule="exact"/>
              <w:ind w:left="534" w:hanging="534"/>
              <w:jc w:val="right"/>
              <w:rPr>
                <w:b/>
                <w:spacing w:val="-20"/>
                <w:w w:val="95"/>
                <w:szCs w:val="24"/>
              </w:rPr>
            </w:pPr>
            <w:r w:rsidRPr="00F145C6">
              <w:rPr>
                <w:b/>
                <w:spacing w:val="-20"/>
                <w:w w:val="95"/>
                <w:szCs w:val="24"/>
              </w:rPr>
              <w:t>-93,155</w:t>
            </w:r>
          </w:p>
        </w:tc>
        <w:tc>
          <w:tcPr>
            <w:tcW w:w="1087" w:type="dxa"/>
            <w:tcBorders>
              <w:top w:val="single" w:sz="6" w:space="0" w:color="auto"/>
              <w:left w:val="single" w:sz="4" w:space="0" w:color="auto"/>
              <w:bottom w:val="single" w:sz="12" w:space="0" w:color="auto"/>
              <w:right w:val="single" w:sz="4" w:space="0" w:color="auto"/>
            </w:tcBorders>
            <w:vAlign w:val="center"/>
          </w:tcPr>
          <w:p w14:paraId="6A2F6230" w14:textId="77777777" w:rsidR="004D58F2" w:rsidRPr="008A1E16" w:rsidRDefault="004D58F2" w:rsidP="00F145C6">
            <w:pPr>
              <w:pStyle w:val="142"/>
              <w:spacing w:line="300" w:lineRule="exact"/>
              <w:ind w:left="534" w:hanging="534"/>
              <w:jc w:val="right"/>
              <w:rPr>
                <w:b/>
                <w:spacing w:val="-20"/>
                <w:w w:val="95"/>
                <w:szCs w:val="24"/>
              </w:rPr>
            </w:pPr>
            <w:r w:rsidRPr="008A1E16">
              <w:rPr>
                <w:rFonts w:hint="eastAsia"/>
                <w:b/>
                <w:spacing w:val="-20"/>
                <w:w w:val="95"/>
                <w:szCs w:val="24"/>
              </w:rPr>
              <w:t>-</w:t>
            </w:r>
            <w:r>
              <w:rPr>
                <w:rFonts w:hint="eastAsia"/>
                <w:b/>
                <w:spacing w:val="-20"/>
                <w:w w:val="95"/>
                <w:szCs w:val="24"/>
              </w:rPr>
              <w:t>152</w:t>
            </w:r>
            <w:r w:rsidRPr="008A1E16">
              <w:rPr>
                <w:b/>
                <w:spacing w:val="-20"/>
                <w:w w:val="95"/>
                <w:szCs w:val="24"/>
              </w:rPr>
              <w:t>,</w:t>
            </w:r>
            <w:r>
              <w:rPr>
                <w:rFonts w:hint="eastAsia"/>
                <w:b/>
                <w:spacing w:val="-20"/>
                <w:w w:val="95"/>
                <w:szCs w:val="24"/>
              </w:rPr>
              <w:t>016</w:t>
            </w:r>
          </w:p>
        </w:tc>
        <w:tc>
          <w:tcPr>
            <w:tcW w:w="1087" w:type="dxa"/>
            <w:tcBorders>
              <w:top w:val="single" w:sz="6" w:space="0" w:color="auto"/>
              <w:left w:val="single" w:sz="4" w:space="0" w:color="auto"/>
              <w:bottom w:val="single" w:sz="12" w:space="0" w:color="auto"/>
              <w:right w:val="single" w:sz="4" w:space="0" w:color="auto"/>
            </w:tcBorders>
            <w:vAlign w:val="center"/>
          </w:tcPr>
          <w:p w14:paraId="36D6AA13" w14:textId="77777777" w:rsidR="004D58F2" w:rsidRPr="008A1E16" w:rsidRDefault="004D58F2" w:rsidP="0057495C">
            <w:pPr>
              <w:pStyle w:val="142"/>
              <w:spacing w:line="300" w:lineRule="exact"/>
              <w:ind w:left="534" w:hanging="534"/>
              <w:jc w:val="right"/>
              <w:rPr>
                <w:b/>
                <w:spacing w:val="-20"/>
                <w:w w:val="95"/>
                <w:szCs w:val="24"/>
              </w:rPr>
            </w:pPr>
            <w:r w:rsidRPr="008A1E16">
              <w:rPr>
                <w:rFonts w:hint="eastAsia"/>
                <w:b/>
                <w:spacing w:val="-20"/>
                <w:w w:val="95"/>
                <w:szCs w:val="24"/>
              </w:rPr>
              <w:t>-</w:t>
            </w:r>
            <w:r>
              <w:rPr>
                <w:rFonts w:hint="eastAsia"/>
                <w:b/>
                <w:spacing w:val="-20"/>
                <w:w w:val="95"/>
                <w:szCs w:val="24"/>
              </w:rPr>
              <w:t>95</w:t>
            </w:r>
            <w:r w:rsidRPr="008A1E16">
              <w:rPr>
                <w:rFonts w:hint="eastAsia"/>
                <w:b/>
                <w:spacing w:val="-20"/>
                <w:w w:val="95"/>
                <w:szCs w:val="24"/>
              </w:rPr>
              <w:t>,</w:t>
            </w:r>
            <w:r>
              <w:rPr>
                <w:rFonts w:hint="eastAsia"/>
                <w:b/>
                <w:spacing w:val="-20"/>
                <w:w w:val="95"/>
                <w:szCs w:val="24"/>
              </w:rPr>
              <w:t>780</w:t>
            </w:r>
          </w:p>
        </w:tc>
        <w:tc>
          <w:tcPr>
            <w:tcW w:w="1087" w:type="dxa"/>
            <w:tcBorders>
              <w:top w:val="single" w:sz="6" w:space="0" w:color="auto"/>
              <w:left w:val="single" w:sz="4" w:space="0" w:color="auto"/>
              <w:bottom w:val="single" w:sz="12" w:space="0" w:color="auto"/>
              <w:right w:val="single" w:sz="12" w:space="0" w:color="auto"/>
            </w:tcBorders>
            <w:vAlign w:val="center"/>
          </w:tcPr>
          <w:p w14:paraId="64476C93" w14:textId="77777777" w:rsidR="004D58F2" w:rsidRPr="008A1E16" w:rsidRDefault="004D58F2" w:rsidP="0057495C">
            <w:pPr>
              <w:pStyle w:val="142"/>
              <w:spacing w:line="300" w:lineRule="exact"/>
              <w:ind w:left="534" w:hanging="534"/>
              <w:jc w:val="right"/>
              <w:rPr>
                <w:b/>
                <w:spacing w:val="-20"/>
                <w:w w:val="95"/>
                <w:szCs w:val="24"/>
              </w:rPr>
            </w:pPr>
            <w:r w:rsidRPr="008A1E16">
              <w:rPr>
                <w:rFonts w:hint="eastAsia"/>
                <w:b/>
                <w:spacing w:val="-20"/>
                <w:w w:val="95"/>
                <w:szCs w:val="24"/>
              </w:rPr>
              <w:t>-</w:t>
            </w:r>
            <w:r>
              <w:rPr>
                <w:rFonts w:hint="eastAsia"/>
                <w:b/>
                <w:spacing w:val="-20"/>
                <w:w w:val="95"/>
                <w:szCs w:val="24"/>
              </w:rPr>
              <w:t>146</w:t>
            </w:r>
            <w:r w:rsidRPr="008A1E16">
              <w:rPr>
                <w:rFonts w:hint="eastAsia"/>
                <w:b/>
                <w:spacing w:val="-20"/>
                <w:w w:val="95"/>
                <w:szCs w:val="24"/>
              </w:rPr>
              <w:t>,</w:t>
            </w:r>
            <w:r>
              <w:rPr>
                <w:rFonts w:hint="eastAsia"/>
                <w:b/>
                <w:spacing w:val="-20"/>
                <w:w w:val="95"/>
                <w:szCs w:val="24"/>
              </w:rPr>
              <w:t>737</w:t>
            </w:r>
          </w:p>
        </w:tc>
      </w:tr>
    </w:tbl>
    <w:p w14:paraId="2EE665F9" w14:textId="77777777" w:rsidR="004D58F2" w:rsidRDefault="004D58F2" w:rsidP="009532A2">
      <w:pPr>
        <w:spacing w:line="320" w:lineRule="exact"/>
        <w:ind w:leftChars="0" w:left="0" w:firstLineChars="82" w:firstLine="199"/>
        <w:jc w:val="left"/>
      </w:pPr>
      <w:r w:rsidRPr="009532A2">
        <w:rPr>
          <w:rFonts w:hAnsi="標楷體" w:cs="標楷體" w:hint="eastAsia"/>
          <w:snapToGrid/>
          <w:sz w:val="24"/>
          <w:szCs w:val="24"/>
        </w:rPr>
        <w:t>資料來源：中山大學各年度預算書及決算書。</w:t>
      </w:r>
    </w:p>
    <w:p w14:paraId="57E2CD35" w14:textId="77777777" w:rsidR="004D58F2" w:rsidRPr="0043475A" w:rsidRDefault="004D58F2" w:rsidP="00EA37F6">
      <w:pPr>
        <w:pStyle w:val="a4"/>
        <w:ind w:left="849" w:hanging="283"/>
        <w:rPr>
          <w:b/>
          <w:color w:val="000000"/>
        </w:rPr>
      </w:pPr>
      <w:bookmarkStart w:id="5" w:name="_Toc13470274"/>
      <w:r w:rsidRPr="0043475A">
        <w:rPr>
          <w:rFonts w:hint="eastAsia"/>
          <w:b/>
          <w:color w:val="000000"/>
        </w:rPr>
        <w:t>(</w:t>
      </w:r>
      <w:r>
        <w:rPr>
          <w:rFonts w:hint="eastAsia"/>
          <w:b/>
          <w:color w:val="000000"/>
        </w:rPr>
        <w:t>二</w:t>
      </w:r>
      <w:r w:rsidRPr="0043475A">
        <w:rPr>
          <w:rFonts w:hint="eastAsia"/>
          <w:b/>
          <w:color w:val="000000"/>
        </w:rPr>
        <w:t>)</w:t>
      </w:r>
      <w:r>
        <w:rPr>
          <w:rFonts w:hint="eastAsia"/>
          <w:b/>
          <w:color w:val="000000"/>
        </w:rPr>
        <w:t>112學年度</w:t>
      </w:r>
      <w:r w:rsidRPr="00651575">
        <w:rPr>
          <w:rFonts w:hint="eastAsia"/>
          <w:b/>
          <w:color w:val="000000"/>
        </w:rPr>
        <w:t>「半導體及重點科技研究學院」</w:t>
      </w:r>
      <w:r>
        <w:rPr>
          <w:rFonts w:hint="eastAsia"/>
          <w:b/>
          <w:color w:val="000000"/>
        </w:rPr>
        <w:t>博士班無新生註冊、</w:t>
      </w:r>
      <w:r w:rsidRPr="00651575">
        <w:rPr>
          <w:rFonts w:hint="eastAsia"/>
          <w:b/>
          <w:color w:val="000000"/>
        </w:rPr>
        <w:t>「國際金融研究學院」</w:t>
      </w:r>
      <w:r>
        <w:rPr>
          <w:rFonts w:hint="eastAsia"/>
          <w:b/>
          <w:color w:val="000000"/>
        </w:rPr>
        <w:t>碩士班招收</w:t>
      </w:r>
      <w:r w:rsidRPr="00651575">
        <w:rPr>
          <w:rFonts w:hint="eastAsia"/>
          <w:b/>
          <w:color w:val="000000"/>
        </w:rPr>
        <w:t>率</w:t>
      </w:r>
      <w:r>
        <w:rPr>
          <w:rFonts w:hint="eastAsia"/>
          <w:b/>
          <w:color w:val="000000"/>
        </w:rPr>
        <w:t>僅2</w:t>
      </w:r>
      <w:r w:rsidRPr="00651575">
        <w:rPr>
          <w:rFonts w:hint="eastAsia"/>
          <w:b/>
          <w:color w:val="000000"/>
        </w:rPr>
        <w:t>0%，</w:t>
      </w:r>
      <w:bookmarkEnd w:id="5"/>
      <w:r>
        <w:rPr>
          <w:rFonts w:hint="eastAsia"/>
          <w:b/>
          <w:color w:val="000000"/>
        </w:rPr>
        <w:t>均待</w:t>
      </w:r>
      <w:r w:rsidRPr="002F4FF1">
        <w:rPr>
          <w:rFonts w:hAnsi="標楷體" w:hint="eastAsia"/>
          <w:b/>
          <w:color w:val="000000"/>
        </w:rPr>
        <w:t>檢討改善</w:t>
      </w:r>
    </w:p>
    <w:p w14:paraId="32E75C98" w14:textId="77777777" w:rsidR="004D58F2" w:rsidRDefault="004D58F2" w:rsidP="00EA37F6">
      <w:pPr>
        <w:pStyle w:val="2"/>
        <w:ind w:left="850" w:firstLine="566"/>
        <w:rPr>
          <w:color w:val="000000"/>
        </w:rPr>
      </w:pPr>
      <w:r w:rsidRPr="00EA37F6">
        <w:rPr>
          <w:rFonts w:hint="eastAsia"/>
          <w:color w:val="000000"/>
        </w:rPr>
        <w:t>中山大學</w:t>
      </w:r>
      <w:r w:rsidRPr="002361E9">
        <w:rPr>
          <w:rFonts w:hint="eastAsia"/>
          <w:color w:val="000000"/>
        </w:rPr>
        <w:t>「半導體及重點科技研究學院」</w:t>
      </w:r>
      <w:r>
        <w:rPr>
          <w:rFonts w:hint="eastAsia"/>
          <w:color w:val="000000"/>
        </w:rPr>
        <w:t>114年度預算案</w:t>
      </w:r>
      <w:r w:rsidRPr="009D1087">
        <w:rPr>
          <w:rFonts w:hint="eastAsia"/>
          <w:color w:val="000000"/>
        </w:rPr>
        <w:t>編列業務收入</w:t>
      </w:r>
      <w:r>
        <w:rPr>
          <w:rFonts w:hint="eastAsia"/>
          <w:color w:val="000000"/>
        </w:rPr>
        <w:t>3</w:t>
      </w:r>
      <w:r w:rsidRPr="009D1087">
        <w:rPr>
          <w:rFonts w:hint="eastAsia"/>
          <w:color w:val="000000"/>
        </w:rPr>
        <w:t>億</w:t>
      </w:r>
      <w:r>
        <w:rPr>
          <w:rFonts w:hint="eastAsia"/>
          <w:color w:val="000000"/>
        </w:rPr>
        <w:t>5</w:t>
      </w:r>
      <w:r w:rsidRPr="009D1087">
        <w:rPr>
          <w:rFonts w:hint="eastAsia"/>
          <w:color w:val="000000"/>
        </w:rPr>
        <w:t>,</w:t>
      </w:r>
      <w:r>
        <w:rPr>
          <w:rFonts w:hint="eastAsia"/>
          <w:color w:val="000000"/>
        </w:rPr>
        <w:t>240</w:t>
      </w:r>
      <w:r w:rsidRPr="009D1087">
        <w:rPr>
          <w:rFonts w:hint="eastAsia"/>
          <w:color w:val="000000"/>
        </w:rPr>
        <w:t>萬元、業務成本與費用</w:t>
      </w:r>
      <w:r>
        <w:rPr>
          <w:rFonts w:hint="eastAsia"/>
          <w:color w:val="000000"/>
        </w:rPr>
        <w:t>3</w:t>
      </w:r>
      <w:r w:rsidRPr="009D1087">
        <w:rPr>
          <w:rFonts w:hint="eastAsia"/>
          <w:color w:val="000000"/>
        </w:rPr>
        <w:t>億</w:t>
      </w:r>
      <w:r>
        <w:rPr>
          <w:rFonts w:hint="eastAsia"/>
          <w:color w:val="000000"/>
        </w:rPr>
        <w:t>3</w:t>
      </w:r>
      <w:r w:rsidRPr="009D1087">
        <w:rPr>
          <w:rFonts w:hint="eastAsia"/>
          <w:color w:val="000000"/>
        </w:rPr>
        <w:t>,</w:t>
      </w:r>
      <w:r>
        <w:rPr>
          <w:rFonts w:hint="eastAsia"/>
          <w:color w:val="000000"/>
        </w:rPr>
        <w:t>900</w:t>
      </w:r>
      <w:r w:rsidRPr="009D1087">
        <w:rPr>
          <w:rFonts w:hint="eastAsia"/>
          <w:color w:val="000000"/>
        </w:rPr>
        <w:t>萬元、業務外</w:t>
      </w:r>
      <w:r>
        <w:rPr>
          <w:rFonts w:hint="eastAsia"/>
          <w:color w:val="000000"/>
        </w:rPr>
        <w:t>賸餘110</w:t>
      </w:r>
      <w:r w:rsidRPr="009D1087">
        <w:rPr>
          <w:rFonts w:hint="eastAsia"/>
          <w:color w:val="000000"/>
        </w:rPr>
        <w:t>萬元、收支相抵後本期賸餘</w:t>
      </w:r>
      <w:r>
        <w:rPr>
          <w:rFonts w:hint="eastAsia"/>
          <w:color w:val="000000"/>
        </w:rPr>
        <w:t>1</w:t>
      </w:r>
      <w:r w:rsidRPr="009D1087">
        <w:rPr>
          <w:rFonts w:hint="eastAsia"/>
          <w:color w:val="000000"/>
        </w:rPr>
        <w:t>,</w:t>
      </w:r>
      <w:r>
        <w:rPr>
          <w:rFonts w:hint="eastAsia"/>
          <w:color w:val="000000"/>
        </w:rPr>
        <w:t>450</w:t>
      </w:r>
      <w:r w:rsidRPr="009D1087">
        <w:rPr>
          <w:rFonts w:hint="eastAsia"/>
          <w:color w:val="000000"/>
        </w:rPr>
        <w:t>萬元</w:t>
      </w:r>
      <w:r>
        <w:rPr>
          <w:rFonts w:hAnsi="標楷體" w:hint="eastAsia"/>
          <w:color w:val="000000"/>
        </w:rPr>
        <w:t>；另</w:t>
      </w:r>
      <w:r w:rsidRPr="002361E9">
        <w:rPr>
          <w:rFonts w:hint="eastAsia"/>
          <w:color w:val="000000"/>
        </w:rPr>
        <w:t>「國際金融研究學院」</w:t>
      </w:r>
      <w:r>
        <w:rPr>
          <w:rFonts w:hint="eastAsia"/>
          <w:color w:val="000000"/>
        </w:rPr>
        <w:t>114年度預算案</w:t>
      </w:r>
      <w:r w:rsidRPr="009D1087">
        <w:rPr>
          <w:rFonts w:hint="eastAsia"/>
          <w:color w:val="000000"/>
        </w:rPr>
        <w:t>編列業務收入1億</w:t>
      </w:r>
      <w:r>
        <w:rPr>
          <w:rFonts w:hint="eastAsia"/>
          <w:color w:val="000000"/>
        </w:rPr>
        <w:t>9</w:t>
      </w:r>
      <w:r w:rsidRPr="009D1087">
        <w:rPr>
          <w:rFonts w:hint="eastAsia"/>
          <w:color w:val="000000"/>
        </w:rPr>
        <w:t>,</w:t>
      </w:r>
      <w:r>
        <w:rPr>
          <w:rFonts w:hint="eastAsia"/>
          <w:color w:val="000000"/>
        </w:rPr>
        <w:t>19</w:t>
      </w:r>
      <w:r w:rsidRPr="009D1087">
        <w:rPr>
          <w:rFonts w:hint="eastAsia"/>
          <w:color w:val="000000"/>
        </w:rPr>
        <w:t>0萬元、業務成本與費用1億</w:t>
      </w:r>
      <w:r>
        <w:rPr>
          <w:rFonts w:hint="eastAsia"/>
          <w:color w:val="000000"/>
        </w:rPr>
        <w:t>7</w:t>
      </w:r>
      <w:r w:rsidRPr="009D1087">
        <w:rPr>
          <w:rFonts w:hint="eastAsia"/>
          <w:color w:val="000000"/>
        </w:rPr>
        <w:t>,</w:t>
      </w:r>
      <w:r>
        <w:rPr>
          <w:rFonts w:hint="eastAsia"/>
          <w:color w:val="000000"/>
        </w:rPr>
        <w:t>680</w:t>
      </w:r>
      <w:r w:rsidRPr="009D1087">
        <w:rPr>
          <w:rFonts w:hint="eastAsia"/>
          <w:color w:val="000000"/>
        </w:rPr>
        <w:t>萬元、業務外</w:t>
      </w:r>
      <w:r>
        <w:rPr>
          <w:rFonts w:hint="eastAsia"/>
          <w:color w:val="000000"/>
        </w:rPr>
        <w:t>賸餘620</w:t>
      </w:r>
      <w:r w:rsidRPr="009D1087">
        <w:rPr>
          <w:rFonts w:hint="eastAsia"/>
          <w:color w:val="000000"/>
        </w:rPr>
        <w:t>萬元、收支相抵後本期賸餘2,</w:t>
      </w:r>
      <w:r>
        <w:rPr>
          <w:rFonts w:hint="eastAsia"/>
          <w:color w:val="000000"/>
        </w:rPr>
        <w:t>130</w:t>
      </w:r>
      <w:r w:rsidRPr="009D1087">
        <w:rPr>
          <w:rFonts w:hint="eastAsia"/>
          <w:color w:val="000000"/>
        </w:rPr>
        <w:t>萬元</w:t>
      </w:r>
      <w:r w:rsidRPr="00AE759C">
        <w:rPr>
          <w:rFonts w:hint="eastAsia"/>
          <w:color w:val="000000"/>
        </w:rPr>
        <w:t>。</w:t>
      </w:r>
    </w:p>
    <w:p w14:paraId="70D81419" w14:textId="77777777" w:rsidR="004D58F2" w:rsidRDefault="004D58F2" w:rsidP="004C524B">
      <w:pPr>
        <w:pStyle w:val="2"/>
        <w:ind w:left="850" w:firstLine="566"/>
        <w:rPr>
          <w:color w:val="000000"/>
        </w:rPr>
      </w:pPr>
      <w:r>
        <w:rPr>
          <w:rFonts w:hint="eastAsia"/>
          <w:color w:val="000000"/>
        </w:rPr>
        <w:t>依中山大學提供資料(詳表2)，</w:t>
      </w:r>
      <w:r w:rsidRPr="00B019FC">
        <w:rPr>
          <w:rFonts w:hint="eastAsia"/>
          <w:color w:val="000000"/>
        </w:rPr>
        <w:t>「半導體及重點科技研究學院」</w:t>
      </w:r>
      <w:r>
        <w:rPr>
          <w:rFonts w:hint="eastAsia"/>
          <w:color w:val="000000"/>
        </w:rPr>
        <w:t>112學年度3個碩士班新生註冊率介於80%至100%，惟創新半導體製造研究所博士班並無新生註冊</w:t>
      </w:r>
      <w:r>
        <w:rPr>
          <w:rFonts w:hAnsi="標楷體" w:hint="eastAsia"/>
          <w:color w:val="000000"/>
        </w:rPr>
        <w:t>；</w:t>
      </w:r>
      <w:r>
        <w:rPr>
          <w:rFonts w:hint="eastAsia"/>
          <w:color w:val="000000"/>
        </w:rPr>
        <w:t>另113學年度精密電子零組件研究所碩士班新生註冊率僅45%、創新半導體製造研究所博士班僅20%。至</w:t>
      </w:r>
      <w:r w:rsidRPr="00B019FC">
        <w:rPr>
          <w:rFonts w:hint="eastAsia"/>
          <w:color w:val="000000"/>
        </w:rPr>
        <w:t>「國際金融研究學院」</w:t>
      </w:r>
      <w:r>
        <w:rPr>
          <w:rFonts w:hint="eastAsia"/>
          <w:color w:val="000000"/>
        </w:rPr>
        <w:t>之國際資產管理研究所新生註冊率雖自112學年度之20%提高至113學年度之100%，惟113學年度新成立之數位與永續金融研究所，新生註冊率為62%，仍待改善。</w:t>
      </w:r>
    </w:p>
    <w:p w14:paraId="2C87FDF7" w14:textId="77777777" w:rsidR="004D58F2" w:rsidRPr="008F1259" w:rsidRDefault="004D58F2" w:rsidP="00CE084A">
      <w:pPr>
        <w:snapToGrid w:val="0"/>
        <w:ind w:leftChars="250" w:left="1488" w:hangingChars="275" w:hanging="780"/>
        <w:rPr>
          <w:rFonts w:ascii="Times New Roman"/>
          <w:sz w:val="24"/>
          <w:szCs w:val="24"/>
        </w:rPr>
      </w:pPr>
      <w:r w:rsidRPr="008F1259">
        <w:rPr>
          <w:rFonts w:hAnsi="標楷體" w:hint="eastAsia"/>
          <w:b/>
        </w:rPr>
        <w:t>表</w:t>
      </w:r>
      <w:r>
        <w:rPr>
          <w:rFonts w:hAnsi="標楷體" w:hint="eastAsia"/>
          <w:b/>
        </w:rPr>
        <w:t>2</w:t>
      </w:r>
      <w:r w:rsidRPr="008F1259">
        <w:rPr>
          <w:rFonts w:hAnsi="標楷體" w:hint="eastAsia"/>
          <w:b/>
        </w:rPr>
        <w:t xml:space="preserve">  </w:t>
      </w:r>
      <w:r w:rsidRPr="00EA47C1">
        <w:rPr>
          <w:rFonts w:hAnsi="標楷體" w:hint="eastAsia"/>
          <w:b/>
        </w:rPr>
        <w:t>中山大學</w:t>
      </w:r>
      <w:r>
        <w:rPr>
          <w:rFonts w:hAnsi="標楷體" w:hint="eastAsia"/>
          <w:b/>
        </w:rPr>
        <w:t>「</w:t>
      </w:r>
      <w:r w:rsidRPr="00EA47C1">
        <w:rPr>
          <w:rFonts w:hAnsi="標楷體" w:hint="eastAsia"/>
          <w:b/>
        </w:rPr>
        <w:t>半導體及重點科技研究學院</w:t>
      </w:r>
      <w:r>
        <w:rPr>
          <w:rFonts w:hAnsi="標楷體" w:hint="eastAsia"/>
          <w:b/>
        </w:rPr>
        <w:t>」及「</w:t>
      </w:r>
      <w:r w:rsidRPr="00EA47C1">
        <w:rPr>
          <w:rFonts w:hAnsi="標楷體" w:hint="eastAsia"/>
          <w:b/>
        </w:rPr>
        <w:t>國際金融研究學院</w:t>
      </w:r>
      <w:r>
        <w:rPr>
          <w:rFonts w:hAnsi="標楷體" w:hint="eastAsia"/>
          <w:b/>
        </w:rPr>
        <w:t>」</w:t>
      </w:r>
      <w:r w:rsidRPr="00EA47C1">
        <w:rPr>
          <w:rFonts w:hAnsi="標楷體" w:hint="eastAsia"/>
          <w:b/>
        </w:rPr>
        <w:t>新生註冊率表</w:t>
      </w:r>
      <w:r w:rsidRPr="008F1259">
        <w:rPr>
          <w:rFonts w:hAnsi="標楷體" w:hint="eastAsia"/>
          <w:b/>
        </w:rPr>
        <w:t xml:space="preserve">          </w:t>
      </w:r>
      <w:r>
        <w:rPr>
          <w:rFonts w:hAnsi="標楷體" w:hint="eastAsia"/>
          <w:b/>
        </w:rPr>
        <w:t xml:space="preserve">           </w:t>
      </w:r>
      <w:r w:rsidRPr="008F1259">
        <w:rPr>
          <w:rFonts w:hAnsi="標楷體" w:hint="eastAsia"/>
          <w:b/>
        </w:rPr>
        <w:t xml:space="preserve">  </w:t>
      </w:r>
      <w:r w:rsidRPr="00CE084A">
        <w:rPr>
          <w:rFonts w:hAnsi="標楷體" w:hint="eastAsia"/>
          <w:sz w:val="24"/>
          <w:szCs w:val="24"/>
        </w:rPr>
        <w:t>單位：%</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668"/>
        <w:gridCol w:w="3544"/>
        <w:gridCol w:w="1267"/>
        <w:gridCol w:w="1267"/>
      </w:tblGrid>
      <w:tr w:rsidR="004D58F2" w:rsidRPr="007E6A51" w14:paraId="43BB60D7" w14:textId="77777777" w:rsidTr="008E1AC5">
        <w:trPr>
          <w:trHeight w:val="407"/>
          <w:tblHeader/>
        </w:trPr>
        <w:tc>
          <w:tcPr>
            <w:tcW w:w="5212" w:type="dxa"/>
            <w:gridSpan w:val="2"/>
            <w:shd w:val="clear" w:color="auto" w:fill="auto"/>
            <w:noWrap/>
            <w:vAlign w:val="center"/>
          </w:tcPr>
          <w:p w14:paraId="7826C25F" w14:textId="77777777" w:rsidR="004D58F2" w:rsidRPr="00CC0945" w:rsidRDefault="004D58F2" w:rsidP="00CE084A">
            <w:pPr>
              <w:pStyle w:val="142"/>
              <w:rPr>
                <w:b/>
              </w:rPr>
            </w:pPr>
            <w:r w:rsidRPr="00CC0945">
              <w:rPr>
                <w:rFonts w:hint="eastAsia"/>
                <w:b/>
              </w:rPr>
              <w:t>研究學院及研究所名稱</w:t>
            </w:r>
          </w:p>
        </w:tc>
        <w:tc>
          <w:tcPr>
            <w:tcW w:w="1267" w:type="dxa"/>
            <w:shd w:val="clear" w:color="auto" w:fill="auto"/>
            <w:noWrap/>
            <w:vAlign w:val="center"/>
          </w:tcPr>
          <w:p w14:paraId="01FBA7F5" w14:textId="77777777" w:rsidR="004D58F2" w:rsidRPr="00CC0945" w:rsidRDefault="004D58F2" w:rsidP="00CE084A">
            <w:pPr>
              <w:pStyle w:val="142"/>
              <w:rPr>
                <w:b/>
              </w:rPr>
            </w:pPr>
            <w:r w:rsidRPr="00CC0945">
              <w:rPr>
                <w:rFonts w:hint="eastAsia"/>
                <w:b/>
              </w:rPr>
              <w:t>112學年度</w:t>
            </w:r>
          </w:p>
        </w:tc>
        <w:tc>
          <w:tcPr>
            <w:tcW w:w="1267" w:type="dxa"/>
            <w:shd w:val="clear" w:color="auto" w:fill="auto"/>
            <w:vAlign w:val="center"/>
          </w:tcPr>
          <w:p w14:paraId="2E6715C8" w14:textId="77777777" w:rsidR="004D58F2" w:rsidRPr="00CC0945" w:rsidRDefault="004D58F2" w:rsidP="00CE084A">
            <w:pPr>
              <w:pStyle w:val="142"/>
              <w:rPr>
                <w:b/>
              </w:rPr>
            </w:pPr>
            <w:r w:rsidRPr="00CC0945">
              <w:rPr>
                <w:rFonts w:hint="eastAsia"/>
                <w:b/>
              </w:rPr>
              <w:t>113學年度</w:t>
            </w:r>
          </w:p>
        </w:tc>
      </w:tr>
      <w:tr w:rsidR="004D58F2" w:rsidRPr="007E6A51" w14:paraId="01745829" w14:textId="77777777" w:rsidTr="00256C09">
        <w:trPr>
          <w:trHeight w:val="340"/>
        </w:trPr>
        <w:tc>
          <w:tcPr>
            <w:tcW w:w="1668" w:type="dxa"/>
            <w:vMerge w:val="restart"/>
            <w:shd w:val="clear" w:color="auto" w:fill="auto"/>
            <w:vAlign w:val="center"/>
          </w:tcPr>
          <w:p w14:paraId="067EF804" w14:textId="77777777" w:rsidR="004D58F2" w:rsidRPr="007E6A51" w:rsidRDefault="004D58F2" w:rsidP="00256C09">
            <w:pPr>
              <w:pStyle w:val="142"/>
            </w:pPr>
            <w:r w:rsidRPr="00256C09">
              <w:rPr>
                <w:rFonts w:hint="eastAsia"/>
              </w:rPr>
              <w:t>半導體及重點科技研究學院</w:t>
            </w:r>
          </w:p>
        </w:tc>
        <w:tc>
          <w:tcPr>
            <w:tcW w:w="3544" w:type="dxa"/>
            <w:shd w:val="clear" w:color="auto" w:fill="auto"/>
            <w:vAlign w:val="center"/>
          </w:tcPr>
          <w:p w14:paraId="4FFD781C" w14:textId="77777777" w:rsidR="004D58F2" w:rsidRPr="007E6A51" w:rsidRDefault="004D58F2" w:rsidP="00CE084A">
            <w:pPr>
              <w:pStyle w:val="142"/>
            </w:pPr>
            <w:r w:rsidRPr="00CE084A">
              <w:rPr>
                <w:rFonts w:hint="eastAsia"/>
              </w:rPr>
              <w:t>先進半導體封測研究所(碩士班)</w:t>
            </w:r>
          </w:p>
        </w:tc>
        <w:tc>
          <w:tcPr>
            <w:tcW w:w="1267" w:type="dxa"/>
            <w:shd w:val="clear" w:color="auto" w:fill="auto"/>
            <w:vAlign w:val="center"/>
          </w:tcPr>
          <w:p w14:paraId="49F5AF06" w14:textId="77777777" w:rsidR="004D58F2" w:rsidRPr="007E6A51" w:rsidRDefault="004D58F2" w:rsidP="008E1AC5">
            <w:pPr>
              <w:pStyle w:val="142"/>
              <w:jc w:val="right"/>
            </w:pPr>
            <w:r>
              <w:rPr>
                <w:rFonts w:hint="eastAsia"/>
              </w:rPr>
              <w:t>99</w:t>
            </w:r>
          </w:p>
        </w:tc>
        <w:tc>
          <w:tcPr>
            <w:tcW w:w="1267" w:type="dxa"/>
            <w:shd w:val="clear" w:color="auto" w:fill="auto"/>
            <w:vAlign w:val="center"/>
          </w:tcPr>
          <w:p w14:paraId="714865C0" w14:textId="77777777" w:rsidR="004D58F2" w:rsidRPr="007E6A51" w:rsidRDefault="004D58F2" w:rsidP="008E1AC5">
            <w:pPr>
              <w:pStyle w:val="142"/>
              <w:jc w:val="right"/>
            </w:pPr>
            <w:r w:rsidRPr="008E1AC5">
              <w:t>83</w:t>
            </w:r>
          </w:p>
        </w:tc>
      </w:tr>
      <w:tr w:rsidR="004D58F2" w:rsidRPr="007E6A51" w14:paraId="374EE35D" w14:textId="77777777" w:rsidTr="00256C09">
        <w:trPr>
          <w:trHeight w:val="340"/>
        </w:trPr>
        <w:tc>
          <w:tcPr>
            <w:tcW w:w="1668" w:type="dxa"/>
            <w:vMerge/>
            <w:shd w:val="clear" w:color="auto" w:fill="auto"/>
            <w:vAlign w:val="center"/>
          </w:tcPr>
          <w:p w14:paraId="6766D577" w14:textId="77777777" w:rsidR="004D58F2" w:rsidRPr="007E6A51" w:rsidRDefault="004D58F2" w:rsidP="007E6A51">
            <w:pPr>
              <w:pStyle w:val="142"/>
            </w:pPr>
          </w:p>
        </w:tc>
        <w:tc>
          <w:tcPr>
            <w:tcW w:w="3544" w:type="dxa"/>
            <w:shd w:val="clear" w:color="auto" w:fill="auto"/>
            <w:vAlign w:val="center"/>
          </w:tcPr>
          <w:p w14:paraId="6F181563" w14:textId="77777777" w:rsidR="004D58F2" w:rsidRPr="007E6A51" w:rsidRDefault="004D58F2" w:rsidP="00256C09">
            <w:pPr>
              <w:pStyle w:val="142"/>
            </w:pPr>
            <w:r w:rsidRPr="00256C09">
              <w:rPr>
                <w:rFonts w:hint="eastAsia"/>
              </w:rPr>
              <w:t>精密電子零組件研究所(碩士班)</w:t>
            </w:r>
          </w:p>
        </w:tc>
        <w:tc>
          <w:tcPr>
            <w:tcW w:w="1267" w:type="dxa"/>
            <w:shd w:val="clear" w:color="auto" w:fill="auto"/>
            <w:vAlign w:val="center"/>
          </w:tcPr>
          <w:p w14:paraId="09F9767F" w14:textId="77777777" w:rsidR="004D58F2" w:rsidRPr="007E6A51" w:rsidRDefault="004D58F2" w:rsidP="00256C09">
            <w:pPr>
              <w:pStyle w:val="142"/>
              <w:jc w:val="right"/>
            </w:pPr>
            <w:r>
              <w:rPr>
                <w:rFonts w:hint="eastAsia"/>
              </w:rPr>
              <w:t>8</w:t>
            </w:r>
            <w:r w:rsidRPr="007E6A51">
              <w:rPr>
                <w:rFonts w:hint="eastAsia"/>
              </w:rPr>
              <w:t>0</w:t>
            </w:r>
          </w:p>
        </w:tc>
        <w:tc>
          <w:tcPr>
            <w:tcW w:w="1267" w:type="dxa"/>
            <w:shd w:val="clear" w:color="auto" w:fill="auto"/>
            <w:noWrap/>
            <w:vAlign w:val="center"/>
          </w:tcPr>
          <w:p w14:paraId="42439F9B" w14:textId="77777777" w:rsidR="004D58F2" w:rsidRPr="007E6A51" w:rsidRDefault="004D58F2" w:rsidP="00256C09">
            <w:pPr>
              <w:pStyle w:val="142"/>
              <w:jc w:val="right"/>
            </w:pPr>
            <w:r>
              <w:rPr>
                <w:rFonts w:hint="eastAsia"/>
              </w:rPr>
              <w:t>45</w:t>
            </w:r>
          </w:p>
        </w:tc>
      </w:tr>
      <w:tr w:rsidR="004D58F2" w:rsidRPr="007E6A51" w14:paraId="724C84CD" w14:textId="77777777" w:rsidTr="00256C09">
        <w:trPr>
          <w:trHeight w:val="340"/>
        </w:trPr>
        <w:tc>
          <w:tcPr>
            <w:tcW w:w="1668" w:type="dxa"/>
            <w:vMerge/>
            <w:shd w:val="clear" w:color="auto" w:fill="auto"/>
            <w:vAlign w:val="center"/>
          </w:tcPr>
          <w:p w14:paraId="68752965" w14:textId="77777777" w:rsidR="004D58F2" w:rsidRPr="007E6A51" w:rsidRDefault="004D58F2" w:rsidP="007E6A51">
            <w:pPr>
              <w:pStyle w:val="142"/>
            </w:pPr>
          </w:p>
        </w:tc>
        <w:tc>
          <w:tcPr>
            <w:tcW w:w="3544" w:type="dxa"/>
            <w:shd w:val="clear" w:color="auto" w:fill="auto"/>
            <w:vAlign w:val="center"/>
          </w:tcPr>
          <w:p w14:paraId="71C1F3E3" w14:textId="77777777" w:rsidR="004D58F2" w:rsidRPr="007E6A51" w:rsidRDefault="004D58F2" w:rsidP="00256C09">
            <w:pPr>
              <w:pStyle w:val="142"/>
            </w:pPr>
            <w:r w:rsidRPr="00256C09">
              <w:rPr>
                <w:rFonts w:hint="eastAsia"/>
              </w:rPr>
              <w:t>創新半導體製造研究所(碩士班)</w:t>
            </w:r>
          </w:p>
        </w:tc>
        <w:tc>
          <w:tcPr>
            <w:tcW w:w="1267" w:type="dxa"/>
            <w:shd w:val="clear" w:color="auto" w:fill="auto"/>
            <w:vAlign w:val="center"/>
          </w:tcPr>
          <w:p w14:paraId="38B63065" w14:textId="77777777" w:rsidR="004D58F2" w:rsidRPr="007E6A51" w:rsidRDefault="004D58F2" w:rsidP="008E1AC5">
            <w:pPr>
              <w:pStyle w:val="142"/>
              <w:jc w:val="right"/>
            </w:pPr>
            <w:r>
              <w:rPr>
                <w:rFonts w:hint="eastAsia"/>
              </w:rPr>
              <w:t>100</w:t>
            </w:r>
          </w:p>
        </w:tc>
        <w:tc>
          <w:tcPr>
            <w:tcW w:w="1267" w:type="dxa"/>
            <w:shd w:val="clear" w:color="auto" w:fill="auto"/>
            <w:noWrap/>
            <w:vAlign w:val="center"/>
          </w:tcPr>
          <w:p w14:paraId="406B5FF1" w14:textId="77777777" w:rsidR="004D58F2" w:rsidRPr="007E6A51" w:rsidRDefault="004D58F2" w:rsidP="00256C09">
            <w:pPr>
              <w:pStyle w:val="142"/>
              <w:jc w:val="right"/>
            </w:pPr>
            <w:r w:rsidRPr="007E6A51">
              <w:rPr>
                <w:rFonts w:hint="eastAsia"/>
              </w:rPr>
              <w:t>10</w:t>
            </w:r>
            <w:r>
              <w:rPr>
                <w:rFonts w:hint="eastAsia"/>
              </w:rPr>
              <w:t>0</w:t>
            </w:r>
          </w:p>
        </w:tc>
      </w:tr>
      <w:tr w:rsidR="004D58F2" w:rsidRPr="007E6A51" w14:paraId="2D1BC1AC" w14:textId="77777777" w:rsidTr="00256C09">
        <w:trPr>
          <w:trHeight w:val="340"/>
        </w:trPr>
        <w:tc>
          <w:tcPr>
            <w:tcW w:w="1668" w:type="dxa"/>
            <w:vMerge/>
            <w:shd w:val="clear" w:color="auto" w:fill="auto"/>
            <w:vAlign w:val="center"/>
          </w:tcPr>
          <w:p w14:paraId="7C8FAE05" w14:textId="77777777" w:rsidR="004D58F2" w:rsidRPr="007E6A51" w:rsidRDefault="004D58F2" w:rsidP="007E6A51">
            <w:pPr>
              <w:pStyle w:val="142"/>
            </w:pPr>
          </w:p>
        </w:tc>
        <w:tc>
          <w:tcPr>
            <w:tcW w:w="3544" w:type="dxa"/>
            <w:shd w:val="clear" w:color="auto" w:fill="auto"/>
            <w:vAlign w:val="center"/>
          </w:tcPr>
          <w:p w14:paraId="2F13F845" w14:textId="77777777" w:rsidR="004D58F2" w:rsidRPr="007E6A51" w:rsidRDefault="004D58F2" w:rsidP="00256C09">
            <w:pPr>
              <w:pStyle w:val="142"/>
            </w:pPr>
            <w:r w:rsidRPr="00256C09">
              <w:rPr>
                <w:rFonts w:hint="eastAsia"/>
              </w:rPr>
              <w:t>創新半導體製造研究所(</w:t>
            </w:r>
            <w:r>
              <w:rPr>
                <w:rFonts w:hint="eastAsia"/>
              </w:rPr>
              <w:t>博</w:t>
            </w:r>
            <w:r w:rsidRPr="00256C09">
              <w:rPr>
                <w:rFonts w:hint="eastAsia"/>
              </w:rPr>
              <w:t>士班)</w:t>
            </w:r>
          </w:p>
        </w:tc>
        <w:tc>
          <w:tcPr>
            <w:tcW w:w="1267" w:type="dxa"/>
            <w:shd w:val="clear" w:color="auto" w:fill="auto"/>
            <w:vAlign w:val="center"/>
          </w:tcPr>
          <w:p w14:paraId="2C282BAF" w14:textId="77777777" w:rsidR="004D58F2" w:rsidRPr="007E6A51" w:rsidRDefault="004D58F2" w:rsidP="008E1AC5">
            <w:pPr>
              <w:pStyle w:val="142"/>
              <w:jc w:val="right"/>
            </w:pPr>
            <w:r w:rsidRPr="007E6A51">
              <w:rPr>
                <w:rFonts w:hint="eastAsia"/>
              </w:rPr>
              <w:t>0</w:t>
            </w:r>
          </w:p>
        </w:tc>
        <w:tc>
          <w:tcPr>
            <w:tcW w:w="1267" w:type="dxa"/>
            <w:shd w:val="clear" w:color="auto" w:fill="auto"/>
            <w:noWrap/>
            <w:vAlign w:val="center"/>
          </w:tcPr>
          <w:p w14:paraId="1C20B065" w14:textId="77777777" w:rsidR="004D58F2" w:rsidRPr="007E6A51" w:rsidRDefault="004D58F2" w:rsidP="00256C09">
            <w:pPr>
              <w:pStyle w:val="142"/>
              <w:jc w:val="right"/>
            </w:pPr>
            <w:r>
              <w:rPr>
                <w:rFonts w:hint="eastAsia"/>
              </w:rPr>
              <w:t>20</w:t>
            </w:r>
          </w:p>
        </w:tc>
      </w:tr>
      <w:tr w:rsidR="004D58F2" w:rsidRPr="007E6A51" w14:paraId="29DC5081" w14:textId="77777777" w:rsidTr="00800C4C">
        <w:trPr>
          <w:trHeight w:val="340"/>
        </w:trPr>
        <w:tc>
          <w:tcPr>
            <w:tcW w:w="1668" w:type="dxa"/>
            <w:vMerge w:val="restart"/>
            <w:shd w:val="clear" w:color="auto" w:fill="auto"/>
            <w:vAlign w:val="center"/>
          </w:tcPr>
          <w:p w14:paraId="1CE1B90E" w14:textId="77777777" w:rsidR="004D58F2" w:rsidRPr="007E6A51" w:rsidRDefault="004D58F2" w:rsidP="00685AA2">
            <w:pPr>
              <w:pStyle w:val="142"/>
            </w:pPr>
            <w:r w:rsidRPr="00685AA2">
              <w:rPr>
                <w:rFonts w:hint="eastAsia"/>
              </w:rPr>
              <w:t>國際金融研究</w:t>
            </w:r>
            <w:r w:rsidRPr="00685AA2">
              <w:rPr>
                <w:rFonts w:hint="eastAsia"/>
              </w:rPr>
              <w:lastRenderedPageBreak/>
              <w:t>學院</w:t>
            </w:r>
          </w:p>
        </w:tc>
        <w:tc>
          <w:tcPr>
            <w:tcW w:w="3544" w:type="dxa"/>
            <w:shd w:val="clear" w:color="auto" w:fill="auto"/>
          </w:tcPr>
          <w:p w14:paraId="1A851233" w14:textId="77777777" w:rsidR="004D58F2" w:rsidRPr="007E6A51" w:rsidRDefault="004D58F2" w:rsidP="00EC6486">
            <w:pPr>
              <w:pStyle w:val="142"/>
            </w:pPr>
            <w:r>
              <w:rPr>
                <w:rFonts w:hint="eastAsia"/>
              </w:rPr>
              <w:lastRenderedPageBreak/>
              <w:t>國</w:t>
            </w:r>
            <w:r w:rsidRPr="00EC6486">
              <w:rPr>
                <w:rFonts w:hint="eastAsia"/>
              </w:rPr>
              <w:t>際資產管理研究所(碩士班)</w:t>
            </w:r>
          </w:p>
        </w:tc>
        <w:tc>
          <w:tcPr>
            <w:tcW w:w="1267" w:type="dxa"/>
            <w:tcBorders>
              <w:bottom w:val="single" w:sz="4" w:space="0" w:color="auto"/>
            </w:tcBorders>
            <w:shd w:val="clear" w:color="auto" w:fill="auto"/>
            <w:vAlign w:val="center"/>
          </w:tcPr>
          <w:p w14:paraId="7E17E645" w14:textId="77777777" w:rsidR="004D58F2" w:rsidRPr="007E6A51" w:rsidRDefault="004D58F2" w:rsidP="008E1AC5">
            <w:pPr>
              <w:pStyle w:val="142"/>
              <w:jc w:val="right"/>
            </w:pPr>
            <w:r>
              <w:rPr>
                <w:rFonts w:hint="eastAsia"/>
              </w:rPr>
              <w:t>20</w:t>
            </w:r>
          </w:p>
        </w:tc>
        <w:tc>
          <w:tcPr>
            <w:tcW w:w="1267" w:type="dxa"/>
            <w:shd w:val="clear" w:color="auto" w:fill="auto"/>
            <w:noWrap/>
            <w:vAlign w:val="center"/>
          </w:tcPr>
          <w:p w14:paraId="75E9EAA9" w14:textId="77777777" w:rsidR="004D58F2" w:rsidRPr="007E6A51" w:rsidRDefault="004D58F2" w:rsidP="00256C09">
            <w:pPr>
              <w:pStyle w:val="142"/>
              <w:jc w:val="right"/>
            </w:pPr>
            <w:r>
              <w:rPr>
                <w:rFonts w:hint="eastAsia"/>
              </w:rPr>
              <w:t>100</w:t>
            </w:r>
          </w:p>
        </w:tc>
      </w:tr>
      <w:tr w:rsidR="004D58F2" w:rsidRPr="007E6A51" w14:paraId="3FAB8140" w14:textId="77777777" w:rsidTr="00800C4C">
        <w:trPr>
          <w:trHeight w:val="340"/>
        </w:trPr>
        <w:tc>
          <w:tcPr>
            <w:tcW w:w="1668" w:type="dxa"/>
            <w:vMerge/>
            <w:shd w:val="clear" w:color="auto" w:fill="auto"/>
            <w:vAlign w:val="center"/>
          </w:tcPr>
          <w:p w14:paraId="04092920" w14:textId="77777777" w:rsidR="004D58F2" w:rsidRPr="007E6A51" w:rsidRDefault="004D58F2" w:rsidP="007E6A51">
            <w:pPr>
              <w:pStyle w:val="142"/>
            </w:pPr>
          </w:p>
        </w:tc>
        <w:tc>
          <w:tcPr>
            <w:tcW w:w="3544" w:type="dxa"/>
            <w:tcBorders>
              <w:right w:val="single" w:sz="4" w:space="0" w:color="auto"/>
            </w:tcBorders>
            <w:shd w:val="clear" w:color="auto" w:fill="auto"/>
          </w:tcPr>
          <w:p w14:paraId="6E7B764E" w14:textId="77777777" w:rsidR="004D58F2" w:rsidRPr="007E6A51" w:rsidRDefault="004D58F2" w:rsidP="00256C09">
            <w:pPr>
              <w:pStyle w:val="142"/>
            </w:pPr>
            <w:r w:rsidRPr="00800C4C">
              <w:rPr>
                <w:rFonts w:hint="eastAsia"/>
              </w:rPr>
              <w:t>數位與永續金融研究所(碩士班)</w:t>
            </w:r>
          </w:p>
        </w:tc>
        <w:tc>
          <w:tcPr>
            <w:tcW w:w="1267" w:type="dxa"/>
            <w:tcBorders>
              <w:top w:val="single" w:sz="4" w:space="0" w:color="auto"/>
              <w:left w:val="single" w:sz="4" w:space="0" w:color="auto"/>
              <w:bottom w:val="single" w:sz="12" w:space="0" w:color="auto"/>
              <w:right w:val="single" w:sz="4" w:space="0" w:color="auto"/>
              <w:tl2br w:val="single" w:sz="4" w:space="0" w:color="auto"/>
            </w:tcBorders>
            <w:shd w:val="clear" w:color="auto" w:fill="auto"/>
            <w:vAlign w:val="center"/>
          </w:tcPr>
          <w:p w14:paraId="11768BB2" w14:textId="77777777" w:rsidR="004D58F2" w:rsidRDefault="004D58F2" w:rsidP="008E1AC5">
            <w:pPr>
              <w:pStyle w:val="142"/>
              <w:jc w:val="right"/>
            </w:pPr>
          </w:p>
        </w:tc>
        <w:tc>
          <w:tcPr>
            <w:tcW w:w="1267" w:type="dxa"/>
            <w:tcBorders>
              <w:left w:val="single" w:sz="4" w:space="0" w:color="auto"/>
            </w:tcBorders>
            <w:shd w:val="clear" w:color="auto" w:fill="auto"/>
            <w:noWrap/>
            <w:vAlign w:val="center"/>
          </w:tcPr>
          <w:p w14:paraId="0BD9DACC" w14:textId="77777777" w:rsidR="004D58F2" w:rsidRDefault="004D58F2" w:rsidP="00256C09">
            <w:pPr>
              <w:pStyle w:val="142"/>
              <w:jc w:val="right"/>
            </w:pPr>
            <w:r>
              <w:rPr>
                <w:rFonts w:hint="eastAsia"/>
              </w:rPr>
              <w:t>62</w:t>
            </w:r>
          </w:p>
        </w:tc>
      </w:tr>
    </w:tbl>
    <w:p w14:paraId="318A567B" w14:textId="77777777" w:rsidR="004D58F2" w:rsidRDefault="004D58F2" w:rsidP="00D67152">
      <w:pPr>
        <w:spacing w:line="280" w:lineRule="exact"/>
        <w:ind w:leftChars="287" w:left="2224" w:hangingChars="580" w:hanging="1411"/>
        <w:rPr>
          <w:rFonts w:hAnsi="標楷體" w:cs="標楷體"/>
          <w:snapToGrid/>
          <w:sz w:val="24"/>
          <w:szCs w:val="24"/>
        </w:rPr>
      </w:pPr>
      <w:r w:rsidRPr="008F1259">
        <w:rPr>
          <w:rFonts w:hAnsi="標楷體" w:cs="標楷體" w:hint="eastAsia"/>
          <w:snapToGrid/>
          <w:sz w:val="24"/>
          <w:szCs w:val="24"/>
        </w:rPr>
        <w:t>說    明：</w:t>
      </w:r>
      <w:r>
        <w:rPr>
          <w:rFonts w:hAnsi="標楷體" w:cs="標楷體" w:hint="eastAsia"/>
          <w:snapToGrid/>
          <w:sz w:val="24"/>
          <w:szCs w:val="24"/>
        </w:rPr>
        <w:t>1.</w:t>
      </w:r>
      <w:r w:rsidRPr="00D67152">
        <w:rPr>
          <w:rFonts w:hAnsi="標楷體" w:cs="標楷體" w:hint="eastAsia"/>
          <w:snapToGrid/>
          <w:sz w:val="24"/>
          <w:szCs w:val="24"/>
        </w:rPr>
        <w:t>新生註冊率=錄取人數/核定招生名額。</w:t>
      </w:r>
      <w:r>
        <w:rPr>
          <w:rFonts w:hAnsi="標楷體" w:cs="標楷體" w:hint="eastAsia"/>
          <w:snapToGrid/>
          <w:sz w:val="24"/>
          <w:szCs w:val="24"/>
        </w:rPr>
        <w:t>表列註冊率係按</w:t>
      </w:r>
      <w:r w:rsidRPr="00D67152">
        <w:rPr>
          <w:rFonts w:hAnsi="標楷體" w:cs="標楷體" w:hint="eastAsia"/>
          <w:snapToGrid/>
          <w:sz w:val="24"/>
          <w:szCs w:val="24"/>
        </w:rPr>
        <w:t>招生簡章規定流用後之招生名額計算</w:t>
      </w:r>
      <w:r>
        <w:rPr>
          <w:rFonts w:hAnsi="標楷體" w:cs="標楷體" w:hint="eastAsia"/>
          <w:snapToGrid/>
          <w:sz w:val="24"/>
          <w:szCs w:val="24"/>
        </w:rPr>
        <w:t>。</w:t>
      </w:r>
    </w:p>
    <w:p w14:paraId="23248B8B" w14:textId="77777777" w:rsidR="004D58F2" w:rsidRDefault="004D58F2" w:rsidP="00D67152">
      <w:pPr>
        <w:spacing w:line="280" w:lineRule="exact"/>
        <w:ind w:leftChars="310" w:left="2216" w:hangingChars="550" w:hanging="1338"/>
        <w:rPr>
          <w:rFonts w:hAnsi="標楷體" w:cs="標楷體"/>
          <w:snapToGrid/>
          <w:sz w:val="24"/>
          <w:szCs w:val="24"/>
        </w:rPr>
      </w:pPr>
      <w:r>
        <w:rPr>
          <w:rFonts w:hAnsi="標楷體" w:cs="標楷體" w:hint="eastAsia"/>
          <w:snapToGrid/>
          <w:sz w:val="24"/>
          <w:szCs w:val="24"/>
        </w:rPr>
        <w:t xml:space="preserve">         2.</w:t>
      </w:r>
      <w:r w:rsidRPr="008E1AC5">
        <w:rPr>
          <w:rFonts w:hAnsi="標楷體" w:cs="標楷體" w:hint="eastAsia"/>
          <w:snapToGrid/>
          <w:sz w:val="24"/>
          <w:szCs w:val="24"/>
        </w:rPr>
        <w:t>112學年度精密電子零組件研究所(原招生名額40名)，依招生簡章規定得以不超過該所原招生名額25%為上限，將招生名額10名流入先進半導體封測研究所(原招生名額80名)，流用後之各所招生名額</w:t>
      </w:r>
      <w:r>
        <w:rPr>
          <w:rFonts w:hAnsi="標楷體" w:cs="標楷體" w:hint="eastAsia"/>
          <w:snapToGrid/>
          <w:sz w:val="24"/>
          <w:szCs w:val="24"/>
        </w:rPr>
        <w:t>為</w:t>
      </w:r>
      <w:r w:rsidRPr="008E1AC5">
        <w:rPr>
          <w:rFonts w:hAnsi="標楷體" w:cs="標楷體" w:hint="eastAsia"/>
          <w:snapToGrid/>
          <w:sz w:val="24"/>
          <w:szCs w:val="24"/>
        </w:rPr>
        <w:t>先進半導體封測研究所90名</w:t>
      </w:r>
      <w:r>
        <w:rPr>
          <w:rFonts w:hAnsi="標楷體" w:cs="標楷體" w:hint="eastAsia"/>
          <w:snapToGrid/>
          <w:sz w:val="24"/>
          <w:szCs w:val="24"/>
        </w:rPr>
        <w:t>、</w:t>
      </w:r>
      <w:r w:rsidRPr="008E1AC5">
        <w:rPr>
          <w:rFonts w:hAnsi="標楷體" w:cs="標楷體" w:hint="eastAsia"/>
          <w:snapToGrid/>
          <w:sz w:val="24"/>
          <w:szCs w:val="24"/>
        </w:rPr>
        <w:t>精密電子零組件研究所30名</w:t>
      </w:r>
      <w:r>
        <w:rPr>
          <w:rFonts w:hAnsi="標楷體" w:cs="標楷體" w:hint="eastAsia"/>
          <w:snapToGrid/>
          <w:sz w:val="24"/>
          <w:szCs w:val="24"/>
        </w:rPr>
        <w:t>。</w:t>
      </w:r>
    </w:p>
    <w:p w14:paraId="4C0A2BB0" w14:textId="77777777" w:rsidR="004D58F2" w:rsidRPr="008F1259" w:rsidRDefault="004D58F2" w:rsidP="00D67152">
      <w:pPr>
        <w:spacing w:line="280" w:lineRule="exact"/>
        <w:ind w:leftChars="310" w:left="2216" w:hangingChars="550" w:hanging="1338"/>
        <w:rPr>
          <w:rFonts w:hAnsi="標楷體" w:cs="標楷體"/>
          <w:snapToGrid/>
          <w:sz w:val="24"/>
          <w:szCs w:val="24"/>
        </w:rPr>
      </w:pPr>
      <w:r>
        <w:rPr>
          <w:rFonts w:hAnsi="標楷體" w:cs="標楷體" w:hint="eastAsia"/>
          <w:snapToGrid/>
          <w:sz w:val="24"/>
          <w:szCs w:val="24"/>
        </w:rPr>
        <w:t xml:space="preserve">         3.</w:t>
      </w:r>
      <w:r w:rsidRPr="008E1AC5">
        <w:rPr>
          <w:rFonts w:hAnsi="標楷體" w:cs="標楷體" w:hint="eastAsia"/>
          <w:snapToGrid/>
          <w:sz w:val="24"/>
          <w:szCs w:val="24"/>
        </w:rPr>
        <w:t>113學年度精密電子零組件研究所(原招生名額38名)，依招生簡章規定得以不超過該所原招生名額25%為上限，將招生名額9名流入先進半導體封測研究所(原招生名額80名)，流用後各所招生名額</w:t>
      </w:r>
      <w:r>
        <w:rPr>
          <w:rFonts w:hAnsi="標楷體" w:cs="標楷體" w:hint="eastAsia"/>
          <w:snapToGrid/>
          <w:sz w:val="24"/>
          <w:szCs w:val="24"/>
        </w:rPr>
        <w:t>為</w:t>
      </w:r>
      <w:r w:rsidRPr="008E1AC5">
        <w:rPr>
          <w:rFonts w:hAnsi="標楷體" w:cs="標楷體" w:hint="eastAsia"/>
          <w:snapToGrid/>
          <w:sz w:val="24"/>
          <w:szCs w:val="24"/>
        </w:rPr>
        <w:t>先進半導體封測研究所89名</w:t>
      </w:r>
      <w:r>
        <w:rPr>
          <w:rFonts w:hAnsi="標楷體" w:cs="標楷體" w:hint="eastAsia"/>
          <w:snapToGrid/>
          <w:sz w:val="24"/>
          <w:szCs w:val="24"/>
        </w:rPr>
        <w:t>、</w:t>
      </w:r>
      <w:r w:rsidRPr="008E1AC5">
        <w:rPr>
          <w:rFonts w:hAnsi="標楷體" w:cs="標楷體" w:hint="eastAsia"/>
          <w:snapToGrid/>
          <w:sz w:val="24"/>
          <w:szCs w:val="24"/>
        </w:rPr>
        <w:t>精密電子零組件研究所29名。</w:t>
      </w:r>
    </w:p>
    <w:p w14:paraId="3D3AD0C2" w14:textId="77777777" w:rsidR="004D58F2" w:rsidRDefault="004D58F2" w:rsidP="008C26D9">
      <w:pPr>
        <w:spacing w:line="280" w:lineRule="exact"/>
        <w:ind w:leftChars="286" w:left="1985" w:hangingChars="483" w:hanging="1175"/>
        <w:jc w:val="left"/>
        <w:rPr>
          <w:color w:val="000000"/>
        </w:rPr>
      </w:pPr>
      <w:r w:rsidRPr="008F1259">
        <w:rPr>
          <w:rFonts w:hAnsi="標楷體" w:cs="標楷體" w:hint="eastAsia"/>
          <w:snapToGrid/>
          <w:sz w:val="24"/>
          <w:szCs w:val="24"/>
        </w:rPr>
        <w:t>資料來源：</w:t>
      </w:r>
      <w:r>
        <w:rPr>
          <w:rFonts w:hAnsi="標楷體" w:cs="標楷體" w:hint="eastAsia"/>
          <w:snapToGrid/>
          <w:sz w:val="24"/>
          <w:szCs w:val="24"/>
        </w:rPr>
        <w:t>中山大學提供</w:t>
      </w:r>
      <w:r w:rsidRPr="008F1259">
        <w:rPr>
          <w:rFonts w:hAnsi="標楷體" w:cs="標楷體" w:hint="eastAsia"/>
          <w:snapToGrid/>
          <w:sz w:val="24"/>
          <w:szCs w:val="24"/>
        </w:rPr>
        <w:t>。</w:t>
      </w:r>
    </w:p>
    <w:p w14:paraId="146789CE" w14:textId="4596E2EA" w:rsidR="004D58F2" w:rsidRPr="0099451A" w:rsidRDefault="004D58F2" w:rsidP="00A60B46">
      <w:pPr>
        <w:ind w:left="566" w:firstLine="566"/>
        <w:rPr>
          <w:color w:val="00B050"/>
        </w:rPr>
      </w:pPr>
      <w:r w:rsidRPr="00F969B3">
        <w:rPr>
          <w:rFonts w:hint="eastAsia"/>
        </w:rPr>
        <w:t>綜上，</w:t>
      </w:r>
      <w:r>
        <w:rPr>
          <w:rFonts w:hint="eastAsia"/>
        </w:rPr>
        <w:t>中</w:t>
      </w:r>
      <w:r w:rsidRPr="00810C94">
        <w:rPr>
          <w:rFonts w:hint="eastAsia"/>
        </w:rPr>
        <w:t>山大學111及112年度決算短絀數皆高於預算數，114年度亦預計短絀，未符合作業基金規定之「各基金應力求有賸餘無短絀，年度賸餘應以逐年成長(短絀積極改善)為目標。」</w:t>
      </w:r>
      <w:r w:rsidRPr="001D4933">
        <w:rPr>
          <w:vertAlign w:val="superscript"/>
          <w:lang w:val="x-none" w:eastAsia="zh-HK"/>
        </w:rPr>
        <w:footnoteReference w:id="1"/>
      </w:r>
      <w:r w:rsidRPr="00453B0C">
        <w:rPr>
          <w:rFonts w:hint="eastAsia"/>
        </w:rPr>
        <w:t>。</w:t>
      </w:r>
      <w:r>
        <w:rPr>
          <w:rFonts w:hint="eastAsia"/>
        </w:rPr>
        <w:t>另</w:t>
      </w:r>
      <w:r w:rsidRPr="00810C94">
        <w:rPr>
          <w:rFonts w:hint="eastAsia"/>
        </w:rPr>
        <w:t>「半導體及重點科技研究學院」及「國際金融研究學院」之設立既為促進國家重點領域產學合作及人才培育，惟部分班別招生率欠佳，允宜積極檢討改善，俾達設置目的</w:t>
      </w:r>
      <w:bookmarkEnd w:id="4"/>
      <w:r>
        <w:rPr>
          <w:rFonts w:hint="eastAsia"/>
        </w:rPr>
        <w:t>。</w:t>
      </w:r>
    </w:p>
    <w:p w14:paraId="631E69D1" w14:textId="77777777" w:rsidR="004D58F2" w:rsidRDefault="004D58F2" w:rsidP="00E2421C">
      <w:pPr>
        <w:pStyle w:val="ab"/>
      </w:pPr>
      <w:r w:rsidRPr="00F969B3">
        <w:rPr>
          <w:rFonts w:hint="eastAsia"/>
          <w:color w:val="000000"/>
        </w:rPr>
        <w:t>（分機：192</w:t>
      </w:r>
      <w:r>
        <w:rPr>
          <w:rFonts w:hint="eastAsia"/>
          <w:color w:val="000000"/>
        </w:rPr>
        <w:t>5</w:t>
      </w:r>
      <w:r w:rsidRPr="00F969B3">
        <w:rPr>
          <w:rFonts w:hint="eastAsia"/>
          <w:color w:val="000000"/>
        </w:rPr>
        <w:t xml:space="preserve"> </w:t>
      </w:r>
      <w:r>
        <w:rPr>
          <w:rFonts w:hint="eastAsia"/>
          <w:color w:val="000000"/>
        </w:rPr>
        <w:t>賴欣憶</w:t>
      </w:r>
      <w:r w:rsidRPr="00F969B3">
        <w:rPr>
          <w:rFonts w:hint="eastAsia"/>
          <w:color w:val="000000"/>
        </w:rPr>
        <w:t>）</w:t>
      </w:r>
    </w:p>
    <w:sectPr w:rsidR="004D58F2"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7D5DCB">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21CE4148"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7D5DCB">
      <w:rPr>
        <w:rStyle w:val="af6"/>
        <w:noProof/>
      </w:rPr>
      <w:t>3</w:t>
    </w:r>
    <w:r>
      <w:rPr>
        <w:rStyle w:val="af6"/>
      </w:rPr>
      <w:fldChar w:fldCharType="end"/>
    </w:r>
  </w:p>
  <w:p w14:paraId="44D11F74" w14:textId="77777777" w:rsidR="00D36F94" w:rsidRPr="001F2930" w:rsidRDefault="007D5DCB"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7D5DCB">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20CE69CB" w14:textId="77777777" w:rsidR="004D58F2" w:rsidRPr="000D33B4" w:rsidRDefault="004D58F2" w:rsidP="00A715C1">
      <w:pPr>
        <w:pStyle w:val="142"/>
        <w:ind w:leftChars="1" w:left="83" w:hangingChars="33" w:hanging="80"/>
      </w:pPr>
      <w:r w:rsidRPr="000D33B4">
        <w:rPr>
          <w:rStyle w:val="af2"/>
        </w:rPr>
        <w:footnoteRef/>
      </w:r>
      <w:r w:rsidRPr="0087168A">
        <w:rPr>
          <w:rStyle w:val="143"/>
          <w:rFonts w:hint="eastAsia"/>
        </w:rPr>
        <w:t>依</w:t>
      </w:r>
      <w:r w:rsidRPr="001641C4">
        <w:rPr>
          <w:rStyle w:val="143"/>
          <w:rFonts w:hint="eastAsia"/>
        </w:rPr>
        <w:t>行政院主計總處</w:t>
      </w:r>
      <w:r w:rsidRPr="0087168A">
        <w:rPr>
          <w:rStyle w:val="143"/>
          <w:rFonts w:hint="eastAsia"/>
        </w:rPr>
        <w:t>11</w:t>
      </w:r>
      <w:r>
        <w:rPr>
          <w:rStyle w:val="143"/>
          <w:rFonts w:hint="eastAsia"/>
        </w:rPr>
        <w:t>4</w:t>
      </w:r>
      <w:r w:rsidRPr="0087168A">
        <w:rPr>
          <w:rStyle w:val="143"/>
          <w:rFonts w:hint="eastAsia"/>
        </w:rPr>
        <w:t>年度總預算附屬單位預算編製作業手冊「附屬單位預算共同項目編列作業規範」之貳、作業基金：甲</w:t>
      </w:r>
      <w:r>
        <w:rPr>
          <w:rStyle w:val="143"/>
          <w:rFonts w:hint="eastAsia"/>
        </w:rPr>
        <w:t>、</w:t>
      </w:r>
      <w:r w:rsidRPr="0087168A">
        <w:rPr>
          <w:rStyle w:val="143"/>
          <w:rFonts w:hint="eastAsia"/>
        </w:rPr>
        <w:t>業務收支及賸餘：一、賸餘(短絀)</w:t>
      </w:r>
      <w:r>
        <w:rPr>
          <w:rStyle w:val="143"/>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7D5DCB">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7D5DCB"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7D5DCB">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7D5DCB"/>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57613-3E65-40FB-8B10-63FF0C551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338</Words>
  <Characters>1929</Characters>
  <Application>Microsoft Office Word</Application>
  <DocSecurity>0</DocSecurity>
  <Lines>16</Lines>
  <Paragraphs>4</Paragraphs>
  <ScaleCrop>false</ScaleCrop>
  <Company>HOME</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