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1D89A34" w14:textId="77777777" w:rsidR="00CE4A85" w:rsidRDefault="00CE4A85" w:rsidP="007B2E2E">
      <w:pPr>
        <w:pStyle w:val="14"/>
        <w:ind w:left="567" w:hanging="567"/>
        <w:rPr>
          <w:rFonts w:ascii="華康楷書體W5外字集" w:eastAsia="華康楷書體W5外字集"/>
        </w:rPr>
      </w:pPr>
      <w:bookmarkStart w:id="1" w:name="_Toc308190202"/>
      <w:bookmarkStart w:id="2" w:name="_Toc528239373"/>
      <w:bookmarkStart w:id="3" w:name="_Toc180413005"/>
      <w:bookmarkStart w:id="4" w:name="_Toc214971989"/>
      <w:r>
        <w:rPr>
          <w:rFonts w:hAnsi="標楷體" w:hint="eastAsia"/>
        </w:rPr>
        <w:t>一</w:t>
      </w:r>
      <w:r w:rsidRPr="00EA316F">
        <w:rPr>
          <w:rFonts w:hAnsi="標楷體" w:hint="eastAsia"/>
        </w:rPr>
        <w:t>０</w:t>
      </w:r>
      <w:r>
        <w:rPr>
          <w:rFonts w:hAnsi="標楷體" w:hint="eastAsia"/>
        </w:rPr>
        <w:t>、</w:t>
      </w:r>
      <w:bookmarkEnd w:id="1"/>
      <w:r>
        <w:rPr>
          <w:rFonts w:hAnsi="標楷體" w:hint="eastAsia"/>
        </w:rPr>
        <w:t>高雄</w:t>
      </w:r>
      <w:r>
        <w:rPr>
          <w:rFonts w:hint="eastAsia"/>
        </w:rPr>
        <w:t>大學</w:t>
      </w:r>
      <w:bookmarkEnd w:id="2"/>
      <w:r>
        <w:rPr>
          <w:rFonts w:hint="eastAsia"/>
        </w:rPr>
        <w:t>連年短絀，且114年度預計短絀為近4年最高</w:t>
      </w:r>
      <w:r w:rsidRPr="003573D2">
        <w:rPr>
          <w:rFonts w:hint="eastAsia"/>
        </w:rPr>
        <w:t>，允宜加強</w:t>
      </w:r>
      <w:r>
        <w:rPr>
          <w:rFonts w:hint="eastAsia"/>
        </w:rPr>
        <w:t>開源節流，並提升營運績效</w:t>
      </w:r>
      <w:bookmarkEnd w:id="3"/>
    </w:p>
    <w:p w14:paraId="7DA0ABEE" w14:textId="77777777" w:rsidR="00CE4A85" w:rsidRDefault="00CE4A85" w:rsidP="007B2E2E">
      <w:pPr>
        <w:ind w:left="566" w:firstLine="566"/>
      </w:pPr>
      <w:r>
        <w:rPr>
          <w:rFonts w:hAnsi="標楷體" w:hint="eastAsia"/>
        </w:rPr>
        <w:t>高雄</w:t>
      </w:r>
      <w:r>
        <w:rPr>
          <w:rFonts w:hint="eastAsia"/>
        </w:rPr>
        <w:t>大</w:t>
      </w:r>
      <w:r w:rsidRPr="00D25CA1">
        <w:rPr>
          <w:rFonts w:hint="eastAsia"/>
          <w:spacing w:val="-2"/>
        </w:rPr>
        <w:t>學校務基金（以下稱高雄大學）</w:t>
      </w:r>
      <w:r w:rsidRPr="00D25CA1">
        <w:rPr>
          <w:rFonts w:hAnsi="標楷體" w:hint="eastAsia"/>
          <w:spacing w:val="-2"/>
        </w:rPr>
        <w:t>114年度預算案編列業務收入11億8,366萬5千元，業務成本與費用13億4,724萬3千元，業務外收入7,326萬7千元，業務外費用</w:t>
      </w:r>
      <w:r w:rsidRPr="00D25CA1">
        <w:rPr>
          <w:rFonts w:hAnsi="標楷體"/>
          <w:spacing w:val="-2"/>
        </w:rPr>
        <w:t>2</w:t>
      </w:r>
      <w:r w:rsidRPr="00D25CA1">
        <w:rPr>
          <w:rFonts w:hAnsi="標楷體" w:hint="eastAsia"/>
          <w:spacing w:val="-2"/>
        </w:rPr>
        <w:t>,</w:t>
      </w:r>
      <w:r w:rsidRPr="00D25CA1">
        <w:rPr>
          <w:rFonts w:hAnsi="標楷體"/>
          <w:spacing w:val="-2"/>
        </w:rPr>
        <w:t>651</w:t>
      </w:r>
      <w:r w:rsidRPr="00D25CA1">
        <w:rPr>
          <w:rFonts w:hAnsi="標楷體" w:hint="eastAsia"/>
          <w:spacing w:val="-2"/>
        </w:rPr>
        <w:t>萬2千元，收支相抵後短絀1億1,682萬3千元(詳表1)，較113年度預算短絀數9</w:t>
      </w:r>
      <w:r w:rsidRPr="00D25CA1">
        <w:rPr>
          <w:rFonts w:hAnsi="標楷體"/>
          <w:spacing w:val="-2"/>
        </w:rPr>
        <w:t>,971</w:t>
      </w:r>
      <w:r w:rsidRPr="00D25CA1">
        <w:rPr>
          <w:rFonts w:hAnsi="標楷體" w:hint="eastAsia"/>
          <w:spacing w:val="-2"/>
        </w:rPr>
        <w:t>萬</w:t>
      </w:r>
      <w:r w:rsidRPr="00D25CA1">
        <w:rPr>
          <w:rFonts w:hAnsi="標楷體"/>
          <w:spacing w:val="-2"/>
        </w:rPr>
        <w:t>4</w:t>
      </w:r>
      <w:r w:rsidRPr="00D25CA1">
        <w:rPr>
          <w:rFonts w:hAnsi="標楷體" w:hint="eastAsia"/>
          <w:spacing w:val="-2"/>
        </w:rPr>
        <w:t>千元增加短絀1</w:t>
      </w:r>
      <w:r w:rsidRPr="00D25CA1">
        <w:rPr>
          <w:rFonts w:hAnsi="標楷體"/>
          <w:spacing w:val="-2"/>
        </w:rPr>
        <w:t>,</w:t>
      </w:r>
      <w:r w:rsidRPr="00D25CA1">
        <w:rPr>
          <w:rFonts w:hAnsi="標楷體" w:hint="eastAsia"/>
          <w:spacing w:val="-2"/>
        </w:rPr>
        <w:t>710萬9千元，</w:t>
      </w:r>
      <w:r>
        <w:rPr>
          <w:rFonts w:hAnsi="標楷體" w:hint="eastAsia"/>
          <w:spacing w:val="-2"/>
        </w:rPr>
        <w:t>增</w:t>
      </w:r>
      <w:r w:rsidRPr="00D25CA1">
        <w:rPr>
          <w:rFonts w:hAnsi="標楷體" w:hint="eastAsia"/>
          <w:spacing w:val="-2"/>
        </w:rPr>
        <w:t>幅1</w:t>
      </w:r>
      <w:r w:rsidRPr="00D25CA1">
        <w:rPr>
          <w:rFonts w:hAnsi="標楷體"/>
          <w:spacing w:val="-2"/>
        </w:rPr>
        <w:t>7.16</w:t>
      </w:r>
      <w:r w:rsidRPr="00D25CA1">
        <w:rPr>
          <w:rFonts w:hAnsi="標楷體" w:hint="eastAsia"/>
          <w:spacing w:val="-2"/>
        </w:rPr>
        <w:t>%</w:t>
      </w:r>
      <w:r w:rsidRPr="00D25CA1">
        <w:rPr>
          <w:rFonts w:hint="eastAsia"/>
          <w:spacing w:val="-2"/>
        </w:rPr>
        <w:t>。經查</w:t>
      </w:r>
      <w:r w:rsidRPr="009E0F96">
        <w:rPr>
          <w:rFonts w:hint="eastAsia"/>
        </w:rPr>
        <w:t>：</w:t>
      </w:r>
    </w:p>
    <w:p w14:paraId="17F0D102" w14:textId="77777777" w:rsidR="00CE4A85" w:rsidRDefault="00CE4A85" w:rsidP="00D23830">
      <w:pPr>
        <w:spacing w:beforeLines="20" w:before="102" w:line="360" w:lineRule="exact"/>
        <w:ind w:leftChars="-10" w:left="295" w:rightChars="-150" w:right="-425" w:hangingChars="114" w:hanging="323"/>
        <w:rPr>
          <w:sz w:val="24"/>
          <w:szCs w:val="24"/>
        </w:rPr>
      </w:pPr>
      <w:r w:rsidRPr="008D774A">
        <w:rPr>
          <w:rFonts w:hint="eastAsia"/>
          <w:b/>
          <w:color w:val="000000"/>
        </w:rPr>
        <w:t>表</w:t>
      </w:r>
      <w:r>
        <w:rPr>
          <w:rFonts w:hint="eastAsia"/>
          <w:b/>
          <w:color w:val="000000"/>
        </w:rPr>
        <w:t>1</w:t>
      </w:r>
      <w:r w:rsidRPr="00552EFC">
        <w:rPr>
          <w:rFonts w:hAnsi="標楷體"/>
          <w:b/>
          <w:szCs w:val="22"/>
        </w:rPr>
        <w:t xml:space="preserve">  </w:t>
      </w:r>
      <w:r>
        <w:rPr>
          <w:rFonts w:hAnsi="標楷體" w:cs="新細明體" w:hint="eastAsia"/>
          <w:b/>
          <w:bCs/>
          <w:smallCaps/>
        </w:rPr>
        <w:t>高雄大學</w:t>
      </w:r>
      <w:r w:rsidRPr="001864F9">
        <w:rPr>
          <w:rFonts w:hAnsi="標楷體" w:cs="新細明體" w:hint="eastAsia"/>
          <w:b/>
          <w:bCs/>
          <w:smallCaps/>
          <w:w w:val="95"/>
        </w:rPr>
        <w:t>近年</w:t>
      </w:r>
      <w:r>
        <w:rPr>
          <w:rFonts w:hAnsi="標楷體" w:cs="新細明體" w:hint="eastAsia"/>
          <w:b/>
          <w:bCs/>
          <w:smallCaps/>
          <w:w w:val="95"/>
        </w:rPr>
        <w:t>收支餘絀情形表</w:t>
      </w:r>
      <w:r>
        <w:rPr>
          <w:rFonts w:hAnsi="標楷體" w:cs="新細明體" w:hint="eastAsia"/>
          <w:b/>
          <w:bCs/>
          <w:smallCaps/>
          <w:spacing w:val="-14"/>
        </w:rPr>
        <w:t xml:space="preserve">                            </w:t>
      </w:r>
      <w:r w:rsidRPr="003A76C9">
        <w:rPr>
          <w:rFonts w:hint="eastAsia"/>
          <w:sz w:val="24"/>
          <w:szCs w:val="24"/>
        </w:rPr>
        <w:t>單位：新臺幣千</w:t>
      </w:r>
      <w:r>
        <w:rPr>
          <w:rFonts w:hint="eastAsia"/>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992"/>
        <w:gridCol w:w="992"/>
        <w:gridCol w:w="992"/>
        <w:gridCol w:w="993"/>
        <w:gridCol w:w="992"/>
        <w:gridCol w:w="992"/>
        <w:gridCol w:w="992"/>
      </w:tblGrid>
      <w:tr w:rsidR="00CE4A85" w14:paraId="49DAABE4" w14:textId="77777777" w:rsidTr="005967D3">
        <w:trPr>
          <w:trHeight w:val="115"/>
          <w:tblHeader/>
        </w:trPr>
        <w:tc>
          <w:tcPr>
            <w:tcW w:w="1560" w:type="dxa"/>
            <w:vMerge w:val="restart"/>
            <w:tcBorders>
              <w:top w:val="single" w:sz="12" w:space="0" w:color="auto"/>
              <w:left w:val="single" w:sz="12" w:space="0" w:color="auto"/>
              <w:bottom w:val="single" w:sz="6" w:space="0" w:color="auto"/>
              <w:right w:val="single" w:sz="6" w:space="0" w:color="auto"/>
            </w:tcBorders>
            <w:vAlign w:val="center"/>
            <w:hideMark/>
          </w:tcPr>
          <w:p w14:paraId="0C8F03D6" w14:textId="77777777" w:rsidR="00CE4A85" w:rsidRDefault="00CE4A85" w:rsidP="00D20DEF">
            <w:pPr>
              <w:pStyle w:val="142"/>
              <w:ind w:left="446" w:hanging="446"/>
              <w:jc w:val="center"/>
              <w:rPr>
                <w:b/>
                <w:sz w:val="22"/>
                <w:szCs w:val="22"/>
              </w:rPr>
            </w:pPr>
            <w:r>
              <w:rPr>
                <w:rFonts w:hint="eastAsia"/>
                <w:b/>
                <w:sz w:val="22"/>
                <w:szCs w:val="22"/>
              </w:rPr>
              <w:t>項目\年度</w:t>
            </w:r>
          </w:p>
        </w:tc>
        <w:tc>
          <w:tcPr>
            <w:tcW w:w="1984" w:type="dxa"/>
            <w:gridSpan w:val="2"/>
            <w:tcBorders>
              <w:top w:val="single" w:sz="12" w:space="0" w:color="auto"/>
              <w:left w:val="single" w:sz="6" w:space="0" w:color="auto"/>
              <w:bottom w:val="single" w:sz="6" w:space="0" w:color="auto"/>
              <w:right w:val="single" w:sz="6" w:space="0" w:color="auto"/>
            </w:tcBorders>
            <w:hideMark/>
          </w:tcPr>
          <w:p w14:paraId="6592CE81" w14:textId="77777777" w:rsidR="00CE4A85" w:rsidRDefault="00CE4A85" w:rsidP="00D20DEF">
            <w:pPr>
              <w:pStyle w:val="142"/>
              <w:ind w:left="446" w:rightChars="-36" w:right="-102" w:hanging="554"/>
              <w:jc w:val="center"/>
              <w:rPr>
                <w:b/>
                <w:sz w:val="22"/>
                <w:szCs w:val="22"/>
              </w:rPr>
            </w:pPr>
            <w:r>
              <w:rPr>
                <w:b/>
                <w:sz w:val="22"/>
                <w:szCs w:val="22"/>
              </w:rPr>
              <w:t>111</w:t>
            </w:r>
            <w:r>
              <w:rPr>
                <w:rFonts w:hint="eastAsia"/>
                <w:b/>
                <w:sz w:val="22"/>
                <w:szCs w:val="22"/>
              </w:rPr>
              <w:t>年度</w:t>
            </w:r>
          </w:p>
        </w:tc>
        <w:tc>
          <w:tcPr>
            <w:tcW w:w="1985" w:type="dxa"/>
            <w:gridSpan w:val="2"/>
            <w:tcBorders>
              <w:top w:val="single" w:sz="12" w:space="0" w:color="auto"/>
              <w:left w:val="single" w:sz="6" w:space="0" w:color="auto"/>
              <w:bottom w:val="single" w:sz="6" w:space="0" w:color="auto"/>
              <w:right w:val="single" w:sz="6" w:space="0" w:color="auto"/>
            </w:tcBorders>
            <w:hideMark/>
          </w:tcPr>
          <w:p w14:paraId="4C0919AF" w14:textId="77777777" w:rsidR="00CE4A85" w:rsidRDefault="00CE4A85" w:rsidP="00D20DEF">
            <w:pPr>
              <w:pStyle w:val="142"/>
              <w:ind w:left="446" w:rightChars="-36" w:right="-102" w:hanging="554"/>
              <w:jc w:val="center"/>
              <w:rPr>
                <w:b/>
                <w:sz w:val="22"/>
                <w:szCs w:val="22"/>
              </w:rPr>
            </w:pPr>
            <w:r>
              <w:rPr>
                <w:rFonts w:hint="eastAsia"/>
                <w:b/>
                <w:sz w:val="22"/>
                <w:szCs w:val="22"/>
              </w:rPr>
              <w:t>11</w:t>
            </w:r>
            <w:r>
              <w:rPr>
                <w:b/>
                <w:sz w:val="22"/>
                <w:szCs w:val="22"/>
              </w:rPr>
              <w:t>2</w:t>
            </w:r>
            <w:r>
              <w:rPr>
                <w:rFonts w:hint="eastAsia"/>
                <w:b/>
                <w:sz w:val="22"/>
                <w:szCs w:val="22"/>
              </w:rPr>
              <w:t>年度</w:t>
            </w:r>
          </w:p>
        </w:tc>
        <w:tc>
          <w:tcPr>
            <w:tcW w:w="1984" w:type="dxa"/>
            <w:gridSpan w:val="2"/>
            <w:tcBorders>
              <w:top w:val="single" w:sz="12" w:space="0" w:color="auto"/>
              <w:left w:val="single" w:sz="6" w:space="0" w:color="auto"/>
              <w:bottom w:val="single" w:sz="6" w:space="0" w:color="auto"/>
              <w:right w:val="single" w:sz="6" w:space="0" w:color="auto"/>
            </w:tcBorders>
            <w:hideMark/>
          </w:tcPr>
          <w:p w14:paraId="142B1ADB" w14:textId="77777777" w:rsidR="00CE4A85" w:rsidRDefault="00CE4A85" w:rsidP="00D20DEF">
            <w:pPr>
              <w:pStyle w:val="142"/>
              <w:ind w:left="446" w:rightChars="-36" w:right="-102" w:hanging="554"/>
              <w:jc w:val="center"/>
              <w:rPr>
                <w:b/>
                <w:sz w:val="22"/>
                <w:szCs w:val="22"/>
              </w:rPr>
            </w:pPr>
            <w:r>
              <w:rPr>
                <w:rFonts w:hint="eastAsia"/>
                <w:b/>
                <w:sz w:val="22"/>
                <w:szCs w:val="22"/>
              </w:rPr>
              <w:t>11</w:t>
            </w:r>
            <w:r>
              <w:rPr>
                <w:b/>
                <w:sz w:val="22"/>
                <w:szCs w:val="22"/>
              </w:rPr>
              <w:t>3</w:t>
            </w:r>
            <w:r>
              <w:rPr>
                <w:rFonts w:hint="eastAsia"/>
                <w:b/>
                <w:sz w:val="22"/>
                <w:szCs w:val="22"/>
              </w:rPr>
              <w:t>年度</w:t>
            </w:r>
          </w:p>
        </w:tc>
        <w:tc>
          <w:tcPr>
            <w:tcW w:w="992" w:type="dxa"/>
            <w:tcBorders>
              <w:top w:val="single" w:sz="12" w:space="0" w:color="auto"/>
              <w:left w:val="single" w:sz="6" w:space="0" w:color="auto"/>
              <w:bottom w:val="single" w:sz="6" w:space="0" w:color="auto"/>
              <w:right w:val="single" w:sz="12" w:space="0" w:color="auto"/>
            </w:tcBorders>
            <w:hideMark/>
          </w:tcPr>
          <w:p w14:paraId="54B1F396" w14:textId="77777777" w:rsidR="00CE4A85" w:rsidRDefault="00CE4A85" w:rsidP="00D20DEF">
            <w:pPr>
              <w:pStyle w:val="142"/>
              <w:ind w:left="446" w:rightChars="-36" w:right="-102" w:hanging="554"/>
              <w:jc w:val="center"/>
              <w:rPr>
                <w:b/>
                <w:sz w:val="22"/>
                <w:szCs w:val="22"/>
              </w:rPr>
            </w:pPr>
            <w:r>
              <w:rPr>
                <w:rFonts w:hint="eastAsia"/>
                <w:b/>
                <w:sz w:val="22"/>
                <w:szCs w:val="22"/>
              </w:rPr>
              <w:t>11</w:t>
            </w:r>
            <w:r>
              <w:rPr>
                <w:b/>
                <w:sz w:val="22"/>
                <w:szCs w:val="22"/>
              </w:rPr>
              <w:t>4</w:t>
            </w:r>
            <w:r>
              <w:rPr>
                <w:rFonts w:hint="eastAsia"/>
                <w:b/>
                <w:sz w:val="22"/>
                <w:szCs w:val="22"/>
              </w:rPr>
              <w:t>年度</w:t>
            </w:r>
          </w:p>
        </w:tc>
      </w:tr>
      <w:tr w:rsidR="00CE4A85" w14:paraId="67444485" w14:textId="77777777" w:rsidTr="009A2726">
        <w:trPr>
          <w:trHeight w:val="64"/>
          <w:tblHeader/>
        </w:trPr>
        <w:tc>
          <w:tcPr>
            <w:tcW w:w="1560" w:type="dxa"/>
            <w:vMerge/>
            <w:tcBorders>
              <w:top w:val="single" w:sz="12" w:space="0" w:color="auto"/>
              <w:left w:val="single" w:sz="12" w:space="0" w:color="auto"/>
              <w:bottom w:val="single" w:sz="6" w:space="0" w:color="auto"/>
              <w:right w:val="single" w:sz="6" w:space="0" w:color="auto"/>
            </w:tcBorders>
            <w:vAlign w:val="center"/>
            <w:hideMark/>
          </w:tcPr>
          <w:p w14:paraId="650120F8" w14:textId="77777777" w:rsidR="00CE4A85" w:rsidRDefault="00CE4A85" w:rsidP="00D20DEF">
            <w:pPr>
              <w:widowControl/>
              <w:spacing w:line="280" w:lineRule="exact"/>
              <w:ind w:leftChars="0" w:left="0" w:firstLineChars="0" w:firstLine="0"/>
              <w:jc w:val="left"/>
              <w:rPr>
                <w:b/>
                <w:sz w:val="22"/>
                <w:szCs w:val="22"/>
              </w:rPr>
            </w:pPr>
          </w:p>
        </w:tc>
        <w:tc>
          <w:tcPr>
            <w:tcW w:w="992" w:type="dxa"/>
            <w:tcBorders>
              <w:top w:val="single" w:sz="6" w:space="0" w:color="auto"/>
              <w:left w:val="single" w:sz="6" w:space="0" w:color="auto"/>
              <w:bottom w:val="single" w:sz="6" w:space="0" w:color="auto"/>
              <w:right w:val="single" w:sz="6" w:space="0" w:color="auto"/>
            </w:tcBorders>
            <w:hideMark/>
          </w:tcPr>
          <w:p w14:paraId="775AAD72"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預算數</w:t>
            </w:r>
          </w:p>
        </w:tc>
        <w:tc>
          <w:tcPr>
            <w:tcW w:w="992" w:type="dxa"/>
            <w:tcBorders>
              <w:top w:val="single" w:sz="6" w:space="0" w:color="auto"/>
              <w:left w:val="single" w:sz="6" w:space="0" w:color="auto"/>
              <w:bottom w:val="single" w:sz="6" w:space="0" w:color="auto"/>
              <w:right w:val="single" w:sz="6" w:space="0" w:color="auto"/>
            </w:tcBorders>
            <w:hideMark/>
          </w:tcPr>
          <w:p w14:paraId="6CBCE912" w14:textId="77777777" w:rsidR="00CE4A85" w:rsidRPr="00DA6F94" w:rsidRDefault="00CE4A85" w:rsidP="00D20DEF">
            <w:pPr>
              <w:pStyle w:val="142"/>
              <w:tabs>
                <w:tab w:val="left" w:pos="849"/>
              </w:tabs>
              <w:ind w:left="446" w:rightChars="-37" w:right="-105" w:hanging="556"/>
              <w:jc w:val="center"/>
              <w:rPr>
                <w:b/>
                <w:spacing w:val="-10"/>
                <w:sz w:val="22"/>
                <w:szCs w:val="22"/>
              </w:rPr>
            </w:pPr>
            <w:r w:rsidRPr="00DA6F94">
              <w:rPr>
                <w:rFonts w:hint="eastAsia"/>
                <w:b/>
                <w:spacing w:val="-10"/>
                <w:sz w:val="22"/>
                <w:szCs w:val="22"/>
              </w:rPr>
              <w:t>決算數</w:t>
            </w:r>
          </w:p>
        </w:tc>
        <w:tc>
          <w:tcPr>
            <w:tcW w:w="992" w:type="dxa"/>
            <w:tcBorders>
              <w:top w:val="single" w:sz="6" w:space="0" w:color="auto"/>
              <w:left w:val="single" w:sz="6" w:space="0" w:color="auto"/>
              <w:bottom w:val="single" w:sz="6" w:space="0" w:color="auto"/>
              <w:right w:val="single" w:sz="6" w:space="0" w:color="auto"/>
            </w:tcBorders>
            <w:hideMark/>
          </w:tcPr>
          <w:p w14:paraId="26463EB8" w14:textId="77777777" w:rsidR="00CE4A85" w:rsidRPr="00DA6F94" w:rsidRDefault="00CE4A85" w:rsidP="00D20DEF">
            <w:pPr>
              <w:pStyle w:val="142"/>
              <w:tabs>
                <w:tab w:val="left" w:pos="849"/>
              </w:tabs>
              <w:ind w:left="446" w:rightChars="-37" w:right="-105" w:hanging="556"/>
              <w:jc w:val="center"/>
              <w:rPr>
                <w:b/>
                <w:spacing w:val="-10"/>
                <w:sz w:val="22"/>
                <w:szCs w:val="22"/>
              </w:rPr>
            </w:pPr>
            <w:r w:rsidRPr="00DA6F94">
              <w:rPr>
                <w:rFonts w:hint="eastAsia"/>
                <w:b/>
                <w:spacing w:val="-10"/>
                <w:sz w:val="22"/>
                <w:szCs w:val="22"/>
              </w:rPr>
              <w:t>預算數</w:t>
            </w:r>
          </w:p>
        </w:tc>
        <w:tc>
          <w:tcPr>
            <w:tcW w:w="993" w:type="dxa"/>
            <w:tcBorders>
              <w:top w:val="single" w:sz="6" w:space="0" w:color="auto"/>
              <w:left w:val="single" w:sz="6" w:space="0" w:color="auto"/>
              <w:bottom w:val="single" w:sz="6" w:space="0" w:color="auto"/>
              <w:right w:val="single" w:sz="6" w:space="0" w:color="auto"/>
            </w:tcBorders>
            <w:hideMark/>
          </w:tcPr>
          <w:p w14:paraId="6FE0D0F6"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決算數</w:t>
            </w:r>
          </w:p>
        </w:tc>
        <w:tc>
          <w:tcPr>
            <w:tcW w:w="992" w:type="dxa"/>
            <w:tcBorders>
              <w:top w:val="single" w:sz="6" w:space="0" w:color="auto"/>
              <w:left w:val="single" w:sz="6" w:space="0" w:color="auto"/>
              <w:bottom w:val="single" w:sz="6" w:space="0" w:color="auto"/>
              <w:right w:val="single" w:sz="6" w:space="0" w:color="auto"/>
            </w:tcBorders>
            <w:hideMark/>
          </w:tcPr>
          <w:p w14:paraId="1EBD6F72"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預算</w:t>
            </w:r>
            <w:r>
              <w:rPr>
                <w:rFonts w:hint="eastAsia"/>
                <w:b/>
                <w:spacing w:val="-10"/>
                <w:sz w:val="22"/>
                <w:szCs w:val="22"/>
              </w:rPr>
              <w:t>案</w:t>
            </w:r>
          </w:p>
        </w:tc>
        <w:tc>
          <w:tcPr>
            <w:tcW w:w="992" w:type="dxa"/>
            <w:tcBorders>
              <w:top w:val="single" w:sz="6" w:space="0" w:color="auto"/>
              <w:left w:val="single" w:sz="6" w:space="0" w:color="auto"/>
              <w:bottom w:val="single" w:sz="6" w:space="0" w:color="auto"/>
              <w:right w:val="single" w:sz="6" w:space="0" w:color="auto"/>
            </w:tcBorders>
          </w:tcPr>
          <w:p w14:paraId="6469287A"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執行數</w:t>
            </w:r>
          </w:p>
        </w:tc>
        <w:tc>
          <w:tcPr>
            <w:tcW w:w="992" w:type="dxa"/>
            <w:tcBorders>
              <w:top w:val="single" w:sz="6" w:space="0" w:color="auto"/>
              <w:left w:val="single" w:sz="6" w:space="0" w:color="auto"/>
              <w:bottom w:val="single" w:sz="6" w:space="0" w:color="auto"/>
              <w:right w:val="single" w:sz="12" w:space="0" w:color="auto"/>
            </w:tcBorders>
            <w:hideMark/>
          </w:tcPr>
          <w:p w14:paraId="3142B5C6"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預算案數</w:t>
            </w:r>
          </w:p>
        </w:tc>
      </w:tr>
      <w:tr w:rsidR="00CE4A85" w14:paraId="6BEEE49A" w14:textId="77777777" w:rsidTr="009A2726">
        <w:trPr>
          <w:trHeight w:val="182"/>
        </w:trPr>
        <w:tc>
          <w:tcPr>
            <w:tcW w:w="1560" w:type="dxa"/>
            <w:tcBorders>
              <w:top w:val="single" w:sz="6" w:space="0" w:color="auto"/>
              <w:left w:val="single" w:sz="12" w:space="0" w:color="auto"/>
              <w:bottom w:val="single" w:sz="6" w:space="0" w:color="auto"/>
              <w:right w:val="single" w:sz="6" w:space="0" w:color="auto"/>
            </w:tcBorders>
            <w:vAlign w:val="center"/>
            <w:hideMark/>
          </w:tcPr>
          <w:p w14:paraId="4105891E"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業務收入</w:t>
            </w:r>
          </w:p>
        </w:tc>
        <w:tc>
          <w:tcPr>
            <w:tcW w:w="992" w:type="dxa"/>
            <w:tcBorders>
              <w:top w:val="single" w:sz="6" w:space="0" w:color="auto"/>
              <w:left w:val="single" w:sz="6" w:space="0" w:color="auto"/>
              <w:bottom w:val="single" w:sz="6" w:space="0" w:color="auto"/>
              <w:right w:val="single" w:sz="6" w:space="0" w:color="auto"/>
            </w:tcBorders>
            <w:vAlign w:val="center"/>
          </w:tcPr>
          <w:p w14:paraId="0C6A25D5"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,060,005</w:t>
            </w:r>
          </w:p>
        </w:tc>
        <w:tc>
          <w:tcPr>
            <w:tcW w:w="992" w:type="dxa"/>
            <w:tcBorders>
              <w:top w:val="single" w:sz="6" w:space="0" w:color="auto"/>
              <w:left w:val="single" w:sz="6" w:space="0" w:color="auto"/>
              <w:bottom w:val="single" w:sz="6" w:space="0" w:color="auto"/>
              <w:right w:val="single" w:sz="6" w:space="0" w:color="auto"/>
            </w:tcBorders>
            <w:vAlign w:val="center"/>
          </w:tcPr>
          <w:p w14:paraId="5F3A1F5D"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,112,363</w:t>
            </w:r>
          </w:p>
        </w:tc>
        <w:tc>
          <w:tcPr>
            <w:tcW w:w="992" w:type="dxa"/>
            <w:tcBorders>
              <w:top w:val="single" w:sz="6" w:space="0" w:color="auto"/>
              <w:left w:val="single" w:sz="6" w:space="0" w:color="auto"/>
              <w:bottom w:val="single" w:sz="6" w:space="0" w:color="auto"/>
              <w:right w:val="single" w:sz="6" w:space="0" w:color="auto"/>
            </w:tcBorders>
            <w:vAlign w:val="center"/>
          </w:tcPr>
          <w:p w14:paraId="53D21B76"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1,101,925</w:t>
            </w:r>
          </w:p>
        </w:tc>
        <w:tc>
          <w:tcPr>
            <w:tcW w:w="993" w:type="dxa"/>
            <w:tcBorders>
              <w:top w:val="single" w:sz="6" w:space="0" w:color="auto"/>
              <w:left w:val="single" w:sz="6" w:space="0" w:color="auto"/>
              <w:bottom w:val="single" w:sz="6" w:space="0" w:color="auto"/>
              <w:right w:val="single" w:sz="6" w:space="0" w:color="auto"/>
            </w:tcBorders>
            <w:vAlign w:val="center"/>
          </w:tcPr>
          <w:p w14:paraId="3E744E31"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,171,522</w:t>
            </w:r>
          </w:p>
        </w:tc>
        <w:tc>
          <w:tcPr>
            <w:tcW w:w="992" w:type="dxa"/>
            <w:tcBorders>
              <w:top w:val="single" w:sz="6" w:space="0" w:color="auto"/>
              <w:left w:val="single" w:sz="6" w:space="0" w:color="auto"/>
              <w:bottom w:val="single" w:sz="6" w:space="0" w:color="auto"/>
              <w:right w:val="single" w:sz="6" w:space="0" w:color="auto"/>
            </w:tcBorders>
            <w:vAlign w:val="center"/>
          </w:tcPr>
          <w:p w14:paraId="0EE87CDA"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,149,542</w:t>
            </w:r>
          </w:p>
        </w:tc>
        <w:tc>
          <w:tcPr>
            <w:tcW w:w="992" w:type="dxa"/>
            <w:tcBorders>
              <w:top w:val="single" w:sz="6" w:space="0" w:color="auto"/>
              <w:left w:val="single" w:sz="6" w:space="0" w:color="auto"/>
              <w:bottom w:val="single" w:sz="6" w:space="0" w:color="auto"/>
              <w:right w:val="single" w:sz="6" w:space="0" w:color="auto"/>
            </w:tcBorders>
            <w:vAlign w:val="center"/>
          </w:tcPr>
          <w:p w14:paraId="080A82E0"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7</w:t>
            </w:r>
            <w:r w:rsidRPr="009A2726">
              <w:rPr>
                <w:spacing w:val="-20"/>
                <w:w w:val="95"/>
                <w:sz w:val="22"/>
                <w:szCs w:val="22"/>
              </w:rPr>
              <w:t>68,934</w:t>
            </w:r>
          </w:p>
        </w:tc>
        <w:tc>
          <w:tcPr>
            <w:tcW w:w="992" w:type="dxa"/>
            <w:tcBorders>
              <w:top w:val="single" w:sz="6" w:space="0" w:color="auto"/>
              <w:left w:val="single" w:sz="6" w:space="0" w:color="auto"/>
              <w:bottom w:val="single" w:sz="6" w:space="0" w:color="auto"/>
              <w:right w:val="single" w:sz="12" w:space="0" w:color="auto"/>
            </w:tcBorders>
            <w:vAlign w:val="center"/>
          </w:tcPr>
          <w:p w14:paraId="164B9063"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,183,665</w:t>
            </w:r>
          </w:p>
        </w:tc>
      </w:tr>
      <w:tr w:rsidR="00CE4A85" w14:paraId="7915FFD9" w14:textId="77777777" w:rsidTr="009A2726">
        <w:trPr>
          <w:trHeight w:val="203"/>
        </w:trPr>
        <w:tc>
          <w:tcPr>
            <w:tcW w:w="1560" w:type="dxa"/>
            <w:tcBorders>
              <w:top w:val="single" w:sz="6" w:space="0" w:color="auto"/>
              <w:left w:val="single" w:sz="12" w:space="0" w:color="auto"/>
              <w:bottom w:val="single" w:sz="6" w:space="0" w:color="auto"/>
              <w:right w:val="single" w:sz="6" w:space="0" w:color="auto"/>
            </w:tcBorders>
            <w:vAlign w:val="center"/>
            <w:hideMark/>
          </w:tcPr>
          <w:p w14:paraId="46C4E274"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業務成本與費用</w:t>
            </w:r>
          </w:p>
        </w:tc>
        <w:tc>
          <w:tcPr>
            <w:tcW w:w="992" w:type="dxa"/>
            <w:tcBorders>
              <w:top w:val="single" w:sz="6" w:space="0" w:color="auto"/>
              <w:left w:val="single" w:sz="6" w:space="0" w:color="auto"/>
              <w:bottom w:val="single" w:sz="6" w:space="0" w:color="auto"/>
              <w:right w:val="single" w:sz="6" w:space="0" w:color="auto"/>
            </w:tcBorders>
            <w:vAlign w:val="center"/>
          </w:tcPr>
          <w:p w14:paraId="0A305562"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,193,690</w:t>
            </w:r>
          </w:p>
        </w:tc>
        <w:tc>
          <w:tcPr>
            <w:tcW w:w="992" w:type="dxa"/>
            <w:tcBorders>
              <w:top w:val="single" w:sz="6" w:space="0" w:color="auto"/>
              <w:left w:val="single" w:sz="6" w:space="0" w:color="auto"/>
              <w:bottom w:val="single" w:sz="6" w:space="0" w:color="auto"/>
              <w:right w:val="single" w:sz="6" w:space="0" w:color="auto"/>
            </w:tcBorders>
            <w:vAlign w:val="center"/>
          </w:tcPr>
          <w:p w14:paraId="7B4850E3"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,240,092</w:t>
            </w:r>
          </w:p>
        </w:tc>
        <w:tc>
          <w:tcPr>
            <w:tcW w:w="992" w:type="dxa"/>
            <w:tcBorders>
              <w:top w:val="single" w:sz="6" w:space="0" w:color="auto"/>
              <w:left w:val="single" w:sz="6" w:space="0" w:color="auto"/>
              <w:bottom w:val="single" w:sz="6" w:space="0" w:color="auto"/>
              <w:right w:val="single" w:sz="6" w:space="0" w:color="auto"/>
            </w:tcBorders>
            <w:vAlign w:val="center"/>
          </w:tcPr>
          <w:p w14:paraId="20540ED3"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1,238,926</w:t>
            </w:r>
          </w:p>
        </w:tc>
        <w:tc>
          <w:tcPr>
            <w:tcW w:w="993" w:type="dxa"/>
            <w:tcBorders>
              <w:top w:val="single" w:sz="6" w:space="0" w:color="auto"/>
              <w:left w:val="single" w:sz="6" w:space="0" w:color="auto"/>
              <w:bottom w:val="single" w:sz="6" w:space="0" w:color="auto"/>
              <w:right w:val="single" w:sz="6" w:space="0" w:color="auto"/>
            </w:tcBorders>
            <w:vAlign w:val="center"/>
          </w:tcPr>
          <w:p w14:paraId="53C97FF4"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,324,460</w:t>
            </w:r>
          </w:p>
        </w:tc>
        <w:tc>
          <w:tcPr>
            <w:tcW w:w="992" w:type="dxa"/>
            <w:tcBorders>
              <w:top w:val="single" w:sz="6" w:space="0" w:color="auto"/>
              <w:left w:val="single" w:sz="6" w:space="0" w:color="auto"/>
              <w:bottom w:val="single" w:sz="6" w:space="0" w:color="auto"/>
              <w:right w:val="single" w:sz="6" w:space="0" w:color="auto"/>
            </w:tcBorders>
            <w:vAlign w:val="center"/>
          </w:tcPr>
          <w:p w14:paraId="743EA288"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,286,601</w:t>
            </w:r>
          </w:p>
        </w:tc>
        <w:tc>
          <w:tcPr>
            <w:tcW w:w="992" w:type="dxa"/>
            <w:tcBorders>
              <w:top w:val="single" w:sz="6" w:space="0" w:color="auto"/>
              <w:left w:val="single" w:sz="6" w:space="0" w:color="auto"/>
              <w:bottom w:val="single" w:sz="6" w:space="0" w:color="auto"/>
              <w:right w:val="single" w:sz="6" w:space="0" w:color="auto"/>
            </w:tcBorders>
            <w:vAlign w:val="center"/>
          </w:tcPr>
          <w:p w14:paraId="21EE3504"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8</w:t>
            </w:r>
            <w:r w:rsidRPr="009A2726">
              <w:rPr>
                <w:spacing w:val="-20"/>
                <w:w w:val="95"/>
                <w:sz w:val="22"/>
                <w:szCs w:val="22"/>
              </w:rPr>
              <w:t>74,799</w:t>
            </w:r>
          </w:p>
        </w:tc>
        <w:tc>
          <w:tcPr>
            <w:tcW w:w="992" w:type="dxa"/>
            <w:tcBorders>
              <w:top w:val="single" w:sz="6" w:space="0" w:color="auto"/>
              <w:left w:val="single" w:sz="6" w:space="0" w:color="auto"/>
              <w:bottom w:val="single" w:sz="6" w:space="0" w:color="auto"/>
              <w:right w:val="single" w:sz="12" w:space="0" w:color="auto"/>
            </w:tcBorders>
            <w:vAlign w:val="center"/>
          </w:tcPr>
          <w:p w14:paraId="4A74ACCD" w14:textId="77777777" w:rsidR="00CE4A85" w:rsidRPr="00114270" w:rsidRDefault="00CE4A85" w:rsidP="009A2726">
            <w:pPr>
              <w:pStyle w:val="20"/>
              <w:spacing w:line="280" w:lineRule="exact"/>
              <w:jc w:val="right"/>
              <w:rPr>
                <w:spacing w:val="-20"/>
                <w:w w:val="95"/>
                <w:sz w:val="22"/>
                <w:szCs w:val="22"/>
              </w:rPr>
            </w:pPr>
            <w:r w:rsidRPr="009A2726">
              <w:rPr>
                <w:spacing w:val="-20"/>
                <w:w w:val="95"/>
                <w:sz w:val="22"/>
                <w:szCs w:val="22"/>
              </w:rPr>
              <w:t>1,347,243</w:t>
            </w:r>
          </w:p>
        </w:tc>
      </w:tr>
      <w:tr w:rsidR="00CE4A85" w14:paraId="58CE2E46" w14:textId="77777777" w:rsidTr="009A2726">
        <w:trPr>
          <w:trHeight w:val="109"/>
        </w:trPr>
        <w:tc>
          <w:tcPr>
            <w:tcW w:w="1560" w:type="dxa"/>
            <w:tcBorders>
              <w:top w:val="single" w:sz="6" w:space="0" w:color="auto"/>
              <w:left w:val="single" w:sz="12" w:space="0" w:color="auto"/>
              <w:bottom w:val="single" w:sz="6" w:space="0" w:color="auto"/>
              <w:right w:val="single" w:sz="6" w:space="0" w:color="auto"/>
            </w:tcBorders>
            <w:vAlign w:val="center"/>
            <w:hideMark/>
          </w:tcPr>
          <w:p w14:paraId="5C051DB1"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業務賸餘(短絀)</w:t>
            </w:r>
          </w:p>
        </w:tc>
        <w:tc>
          <w:tcPr>
            <w:tcW w:w="992" w:type="dxa"/>
            <w:tcBorders>
              <w:top w:val="single" w:sz="6" w:space="0" w:color="auto"/>
              <w:left w:val="single" w:sz="6" w:space="0" w:color="auto"/>
              <w:bottom w:val="single" w:sz="6" w:space="0" w:color="auto"/>
              <w:right w:val="single" w:sz="6" w:space="0" w:color="auto"/>
            </w:tcBorders>
            <w:vAlign w:val="center"/>
          </w:tcPr>
          <w:p w14:paraId="4B5104DD"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133,685</w:t>
            </w:r>
          </w:p>
        </w:tc>
        <w:tc>
          <w:tcPr>
            <w:tcW w:w="992" w:type="dxa"/>
            <w:tcBorders>
              <w:top w:val="single" w:sz="6" w:space="0" w:color="auto"/>
              <w:left w:val="single" w:sz="6" w:space="0" w:color="auto"/>
              <w:bottom w:val="single" w:sz="6" w:space="0" w:color="auto"/>
              <w:right w:val="single" w:sz="6" w:space="0" w:color="auto"/>
            </w:tcBorders>
            <w:vAlign w:val="center"/>
          </w:tcPr>
          <w:p w14:paraId="7E346BE5" w14:textId="77777777" w:rsidR="00CE4A85" w:rsidRPr="00114270" w:rsidRDefault="00CE4A85" w:rsidP="009A2726">
            <w:pPr>
              <w:pStyle w:val="20"/>
              <w:spacing w:line="280" w:lineRule="exact"/>
              <w:jc w:val="right"/>
              <w:rPr>
                <w:spacing w:val="-20"/>
                <w:w w:val="95"/>
                <w:sz w:val="22"/>
                <w:szCs w:val="22"/>
              </w:rPr>
            </w:pPr>
            <w:r w:rsidRPr="009A2726">
              <w:rPr>
                <w:spacing w:val="-20"/>
                <w:w w:val="95"/>
                <w:sz w:val="22"/>
                <w:szCs w:val="22"/>
              </w:rPr>
              <w:t>-127,729</w:t>
            </w:r>
          </w:p>
        </w:tc>
        <w:tc>
          <w:tcPr>
            <w:tcW w:w="992" w:type="dxa"/>
            <w:tcBorders>
              <w:top w:val="single" w:sz="6" w:space="0" w:color="auto"/>
              <w:left w:val="single" w:sz="6" w:space="0" w:color="auto"/>
              <w:bottom w:val="single" w:sz="6" w:space="0" w:color="auto"/>
              <w:right w:val="single" w:sz="6" w:space="0" w:color="auto"/>
            </w:tcBorders>
            <w:vAlign w:val="center"/>
          </w:tcPr>
          <w:p w14:paraId="3C1C39AF"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-137,001</w:t>
            </w:r>
          </w:p>
        </w:tc>
        <w:tc>
          <w:tcPr>
            <w:tcW w:w="993" w:type="dxa"/>
            <w:tcBorders>
              <w:top w:val="single" w:sz="6" w:space="0" w:color="auto"/>
              <w:left w:val="single" w:sz="6" w:space="0" w:color="auto"/>
              <w:bottom w:val="single" w:sz="6" w:space="0" w:color="auto"/>
              <w:right w:val="single" w:sz="6" w:space="0" w:color="auto"/>
            </w:tcBorders>
            <w:vAlign w:val="center"/>
          </w:tcPr>
          <w:p w14:paraId="21DDD467"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152,938</w:t>
            </w:r>
          </w:p>
        </w:tc>
        <w:tc>
          <w:tcPr>
            <w:tcW w:w="992" w:type="dxa"/>
            <w:tcBorders>
              <w:top w:val="single" w:sz="6" w:space="0" w:color="auto"/>
              <w:left w:val="single" w:sz="6" w:space="0" w:color="auto"/>
              <w:bottom w:val="single" w:sz="6" w:space="0" w:color="auto"/>
              <w:right w:val="single" w:sz="6" w:space="0" w:color="auto"/>
            </w:tcBorders>
            <w:vAlign w:val="center"/>
          </w:tcPr>
          <w:p w14:paraId="562A477D"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137,059</w:t>
            </w:r>
          </w:p>
        </w:tc>
        <w:tc>
          <w:tcPr>
            <w:tcW w:w="992" w:type="dxa"/>
            <w:tcBorders>
              <w:top w:val="single" w:sz="6" w:space="0" w:color="auto"/>
              <w:left w:val="single" w:sz="6" w:space="0" w:color="auto"/>
              <w:bottom w:val="single" w:sz="6" w:space="0" w:color="auto"/>
              <w:right w:val="single" w:sz="6" w:space="0" w:color="auto"/>
            </w:tcBorders>
            <w:vAlign w:val="center"/>
          </w:tcPr>
          <w:p w14:paraId="2F05589C"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105,865</w:t>
            </w:r>
          </w:p>
        </w:tc>
        <w:tc>
          <w:tcPr>
            <w:tcW w:w="992" w:type="dxa"/>
            <w:tcBorders>
              <w:top w:val="single" w:sz="6" w:space="0" w:color="auto"/>
              <w:left w:val="single" w:sz="6" w:space="0" w:color="auto"/>
              <w:bottom w:val="single" w:sz="6" w:space="0" w:color="auto"/>
              <w:right w:val="single" w:sz="12" w:space="0" w:color="auto"/>
            </w:tcBorders>
            <w:vAlign w:val="center"/>
          </w:tcPr>
          <w:p w14:paraId="7B25161C"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163,578</w:t>
            </w:r>
          </w:p>
        </w:tc>
      </w:tr>
      <w:tr w:rsidR="00CE4A85" w14:paraId="5620FC58" w14:textId="77777777" w:rsidTr="009A2726">
        <w:trPr>
          <w:trHeight w:val="65"/>
        </w:trPr>
        <w:tc>
          <w:tcPr>
            <w:tcW w:w="1560" w:type="dxa"/>
            <w:tcBorders>
              <w:top w:val="single" w:sz="6" w:space="0" w:color="auto"/>
              <w:left w:val="single" w:sz="12" w:space="0" w:color="auto"/>
              <w:bottom w:val="single" w:sz="6" w:space="0" w:color="auto"/>
              <w:right w:val="single" w:sz="6" w:space="0" w:color="auto"/>
            </w:tcBorders>
            <w:vAlign w:val="center"/>
            <w:hideMark/>
          </w:tcPr>
          <w:p w14:paraId="78D2283D"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業務外收入</w:t>
            </w:r>
          </w:p>
        </w:tc>
        <w:tc>
          <w:tcPr>
            <w:tcW w:w="992" w:type="dxa"/>
            <w:tcBorders>
              <w:top w:val="single" w:sz="6" w:space="0" w:color="auto"/>
              <w:left w:val="single" w:sz="6" w:space="0" w:color="auto"/>
              <w:bottom w:val="single" w:sz="6" w:space="0" w:color="auto"/>
              <w:right w:val="single" w:sz="6" w:space="0" w:color="auto"/>
            </w:tcBorders>
            <w:vAlign w:val="center"/>
          </w:tcPr>
          <w:p w14:paraId="315EB32F"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5</w:t>
            </w:r>
            <w:r w:rsidRPr="009A2726">
              <w:rPr>
                <w:spacing w:val="-20"/>
                <w:w w:val="95"/>
                <w:sz w:val="22"/>
                <w:szCs w:val="22"/>
              </w:rPr>
              <w:t>1,632</w:t>
            </w:r>
          </w:p>
        </w:tc>
        <w:tc>
          <w:tcPr>
            <w:tcW w:w="992" w:type="dxa"/>
            <w:tcBorders>
              <w:top w:val="single" w:sz="6" w:space="0" w:color="auto"/>
              <w:left w:val="single" w:sz="6" w:space="0" w:color="auto"/>
              <w:bottom w:val="single" w:sz="6" w:space="0" w:color="auto"/>
              <w:right w:val="single" w:sz="6" w:space="0" w:color="auto"/>
            </w:tcBorders>
            <w:vAlign w:val="center"/>
          </w:tcPr>
          <w:p w14:paraId="190CD1D7"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6</w:t>
            </w:r>
            <w:r w:rsidRPr="009A2726">
              <w:rPr>
                <w:spacing w:val="-20"/>
                <w:w w:val="95"/>
                <w:sz w:val="22"/>
                <w:szCs w:val="22"/>
              </w:rPr>
              <w:t>2,788</w:t>
            </w:r>
          </w:p>
        </w:tc>
        <w:tc>
          <w:tcPr>
            <w:tcW w:w="992" w:type="dxa"/>
            <w:tcBorders>
              <w:top w:val="single" w:sz="6" w:space="0" w:color="auto"/>
              <w:left w:val="single" w:sz="6" w:space="0" w:color="auto"/>
              <w:bottom w:val="single" w:sz="6" w:space="0" w:color="auto"/>
              <w:right w:val="single" w:sz="6" w:space="0" w:color="auto"/>
            </w:tcBorders>
            <w:vAlign w:val="center"/>
          </w:tcPr>
          <w:p w14:paraId="1BDAEEB0"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57,494</w:t>
            </w:r>
          </w:p>
        </w:tc>
        <w:tc>
          <w:tcPr>
            <w:tcW w:w="993" w:type="dxa"/>
            <w:tcBorders>
              <w:top w:val="single" w:sz="6" w:space="0" w:color="auto"/>
              <w:left w:val="single" w:sz="6" w:space="0" w:color="auto"/>
              <w:bottom w:val="single" w:sz="6" w:space="0" w:color="auto"/>
              <w:right w:val="single" w:sz="6" w:space="0" w:color="auto"/>
            </w:tcBorders>
            <w:vAlign w:val="center"/>
          </w:tcPr>
          <w:p w14:paraId="390397A6"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8</w:t>
            </w:r>
            <w:r w:rsidRPr="009A2726">
              <w:rPr>
                <w:spacing w:val="-20"/>
                <w:w w:val="95"/>
                <w:sz w:val="22"/>
                <w:szCs w:val="22"/>
              </w:rPr>
              <w:t>3,819</w:t>
            </w:r>
          </w:p>
        </w:tc>
        <w:tc>
          <w:tcPr>
            <w:tcW w:w="992" w:type="dxa"/>
            <w:tcBorders>
              <w:top w:val="single" w:sz="6" w:space="0" w:color="auto"/>
              <w:left w:val="single" w:sz="6" w:space="0" w:color="auto"/>
              <w:bottom w:val="single" w:sz="6" w:space="0" w:color="auto"/>
              <w:right w:val="single" w:sz="6" w:space="0" w:color="auto"/>
            </w:tcBorders>
            <w:vAlign w:val="center"/>
          </w:tcPr>
          <w:p w14:paraId="59DDA09B"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6</w:t>
            </w:r>
            <w:r w:rsidRPr="009A2726">
              <w:rPr>
                <w:spacing w:val="-20"/>
                <w:w w:val="95"/>
                <w:sz w:val="22"/>
                <w:szCs w:val="22"/>
              </w:rPr>
              <w:t>4,167</w:t>
            </w:r>
          </w:p>
        </w:tc>
        <w:tc>
          <w:tcPr>
            <w:tcW w:w="992" w:type="dxa"/>
            <w:tcBorders>
              <w:top w:val="single" w:sz="6" w:space="0" w:color="auto"/>
              <w:left w:val="single" w:sz="6" w:space="0" w:color="auto"/>
              <w:bottom w:val="single" w:sz="6" w:space="0" w:color="auto"/>
              <w:right w:val="single" w:sz="6" w:space="0" w:color="auto"/>
            </w:tcBorders>
            <w:vAlign w:val="center"/>
          </w:tcPr>
          <w:p w14:paraId="26674A54"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3</w:t>
            </w:r>
            <w:r w:rsidRPr="009A2726">
              <w:rPr>
                <w:spacing w:val="-20"/>
                <w:w w:val="95"/>
                <w:sz w:val="22"/>
                <w:szCs w:val="22"/>
              </w:rPr>
              <w:t>7,688</w:t>
            </w:r>
          </w:p>
        </w:tc>
        <w:tc>
          <w:tcPr>
            <w:tcW w:w="992" w:type="dxa"/>
            <w:tcBorders>
              <w:top w:val="single" w:sz="6" w:space="0" w:color="auto"/>
              <w:left w:val="single" w:sz="6" w:space="0" w:color="auto"/>
              <w:bottom w:val="single" w:sz="6" w:space="0" w:color="auto"/>
              <w:right w:val="single" w:sz="12" w:space="0" w:color="auto"/>
            </w:tcBorders>
            <w:vAlign w:val="center"/>
          </w:tcPr>
          <w:p w14:paraId="639B4132"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7</w:t>
            </w:r>
            <w:r w:rsidRPr="009A2726">
              <w:rPr>
                <w:spacing w:val="-20"/>
                <w:w w:val="95"/>
                <w:sz w:val="22"/>
                <w:szCs w:val="22"/>
              </w:rPr>
              <w:t>3,267</w:t>
            </w:r>
          </w:p>
        </w:tc>
      </w:tr>
      <w:tr w:rsidR="00CE4A85" w14:paraId="006E5349" w14:textId="77777777" w:rsidTr="009A2726">
        <w:trPr>
          <w:trHeight w:val="64"/>
        </w:trPr>
        <w:tc>
          <w:tcPr>
            <w:tcW w:w="1560" w:type="dxa"/>
            <w:tcBorders>
              <w:top w:val="single" w:sz="6" w:space="0" w:color="auto"/>
              <w:left w:val="single" w:sz="12" w:space="0" w:color="auto"/>
              <w:bottom w:val="single" w:sz="6" w:space="0" w:color="auto"/>
              <w:right w:val="single" w:sz="6" w:space="0" w:color="auto"/>
            </w:tcBorders>
            <w:vAlign w:val="center"/>
            <w:hideMark/>
          </w:tcPr>
          <w:p w14:paraId="4A7DAC5C"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業務外費用</w:t>
            </w:r>
          </w:p>
        </w:tc>
        <w:tc>
          <w:tcPr>
            <w:tcW w:w="992" w:type="dxa"/>
            <w:tcBorders>
              <w:top w:val="single" w:sz="6" w:space="0" w:color="auto"/>
              <w:left w:val="single" w:sz="6" w:space="0" w:color="auto"/>
              <w:bottom w:val="single" w:sz="6" w:space="0" w:color="auto"/>
              <w:right w:val="single" w:sz="6" w:space="0" w:color="auto"/>
            </w:tcBorders>
            <w:vAlign w:val="center"/>
          </w:tcPr>
          <w:p w14:paraId="524A30F1"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6,107</w:t>
            </w:r>
          </w:p>
        </w:tc>
        <w:tc>
          <w:tcPr>
            <w:tcW w:w="992" w:type="dxa"/>
            <w:tcBorders>
              <w:top w:val="single" w:sz="6" w:space="0" w:color="auto"/>
              <w:left w:val="single" w:sz="6" w:space="0" w:color="auto"/>
              <w:bottom w:val="single" w:sz="6" w:space="0" w:color="auto"/>
              <w:right w:val="single" w:sz="6" w:space="0" w:color="auto"/>
            </w:tcBorders>
            <w:vAlign w:val="center"/>
          </w:tcPr>
          <w:p w14:paraId="0344807F"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6,070</w:t>
            </w:r>
          </w:p>
        </w:tc>
        <w:tc>
          <w:tcPr>
            <w:tcW w:w="992" w:type="dxa"/>
            <w:tcBorders>
              <w:top w:val="single" w:sz="6" w:space="0" w:color="auto"/>
              <w:left w:val="single" w:sz="6" w:space="0" w:color="auto"/>
              <w:bottom w:val="single" w:sz="6" w:space="0" w:color="auto"/>
              <w:right w:val="single" w:sz="6" w:space="0" w:color="auto"/>
            </w:tcBorders>
            <w:vAlign w:val="center"/>
          </w:tcPr>
          <w:p w14:paraId="76022DAC"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25,219</w:t>
            </w:r>
          </w:p>
        </w:tc>
        <w:tc>
          <w:tcPr>
            <w:tcW w:w="993" w:type="dxa"/>
            <w:tcBorders>
              <w:top w:val="single" w:sz="6" w:space="0" w:color="auto"/>
              <w:left w:val="single" w:sz="6" w:space="0" w:color="auto"/>
              <w:bottom w:val="single" w:sz="6" w:space="0" w:color="auto"/>
              <w:right w:val="single" w:sz="6" w:space="0" w:color="auto"/>
            </w:tcBorders>
            <w:vAlign w:val="center"/>
          </w:tcPr>
          <w:p w14:paraId="4C9F1FC3"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9,455</w:t>
            </w:r>
          </w:p>
        </w:tc>
        <w:tc>
          <w:tcPr>
            <w:tcW w:w="992" w:type="dxa"/>
            <w:tcBorders>
              <w:top w:val="single" w:sz="6" w:space="0" w:color="auto"/>
              <w:left w:val="single" w:sz="6" w:space="0" w:color="auto"/>
              <w:bottom w:val="single" w:sz="6" w:space="0" w:color="auto"/>
              <w:right w:val="single" w:sz="6" w:space="0" w:color="auto"/>
            </w:tcBorders>
            <w:vAlign w:val="center"/>
          </w:tcPr>
          <w:p w14:paraId="0F926B90"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6,822</w:t>
            </w:r>
          </w:p>
        </w:tc>
        <w:tc>
          <w:tcPr>
            <w:tcW w:w="992" w:type="dxa"/>
            <w:tcBorders>
              <w:top w:val="single" w:sz="6" w:space="0" w:color="auto"/>
              <w:left w:val="single" w:sz="6" w:space="0" w:color="auto"/>
              <w:bottom w:val="single" w:sz="6" w:space="0" w:color="auto"/>
              <w:right w:val="single" w:sz="6" w:space="0" w:color="auto"/>
            </w:tcBorders>
            <w:vAlign w:val="center"/>
          </w:tcPr>
          <w:p w14:paraId="7F35201E"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4,601</w:t>
            </w:r>
          </w:p>
        </w:tc>
        <w:tc>
          <w:tcPr>
            <w:tcW w:w="992" w:type="dxa"/>
            <w:tcBorders>
              <w:top w:val="single" w:sz="6" w:space="0" w:color="auto"/>
              <w:left w:val="single" w:sz="6" w:space="0" w:color="auto"/>
              <w:bottom w:val="single" w:sz="6" w:space="0" w:color="auto"/>
              <w:right w:val="single" w:sz="12" w:space="0" w:color="auto"/>
            </w:tcBorders>
            <w:vAlign w:val="center"/>
          </w:tcPr>
          <w:p w14:paraId="341E1091"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6,512</w:t>
            </w:r>
          </w:p>
        </w:tc>
      </w:tr>
      <w:tr w:rsidR="00CE4A85" w14:paraId="54FA8070" w14:textId="77777777" w:rsidTr="009A2726">
        <w:trPr>
          <w:trHeight w:val="211"/>
        </w:trPr>
        <w:tc>
          <w:tcPr>
            <w:tcW w:w="1560" w:type="dxa"/>
            <w:tcBorders>
              <w:top w:val="single" w:sz="6" w:space="0" w:color="auto"/>
              <w:left w:val="single" w:sz="12" w:space="0" w:color="auto"/>
              <w:bottom w:val="single" w:sz="6" w:space="0" w:color="auto"/>
              <w:right w:val="single" w:sz="6" w:space="0" w:color="auto"/>
            </w:tcBorders>
            <w:vAlign w:val="center"/>
          </w:tcPr>
          <w:p w14:paraId="237DCB5F" w14:textId="77777777" w:rsidR="00CE4A85" w:rsidRPr="00064D16" w:rsidRDefault="00CE4A85" w:rsidP="009A2726">
            <w:pPr>
              <w:pStyle w:val="142"/>
              <w:ind w:left="447" w:rightChars="-37" w:right="-105" w:hanging="555"/>
              <w:jc w:val="both"/>
              <w:rPr>
                <w:spacing w:val="-20"/>
                <w:szCs w:val="24"/>
              </w:rPr>
            </w:pPr>
            <w:r w:rsidRPr="005B2D0D">
              <w:rPr>
                <w:rFonts w:hint="eastAsia"/>
                <w:spacing w:val="-20"/>
                <w:szCs w:val="24"/>
              </w:rPr>
              <w:t>業</w:t>
            </w:r>
            <w:r w:rsidRPr="005B2D0D">
              <w:rPr>
                <w:rFonts w:hint="eastAsia"/>
                <w:spacing w:val="-28"/>
                <w:szCs w:val="24"/>
              </w:rPr>
              <w:t>務外賸餘</w:t>
            </w:r>
            <w:r w:rsidRPr="005B2D0D">
              <w:rPr>
                <w:rFonts w:hint="eastAsia"/>
                <w:spacing w:val="-20"/>
                <w:szCs w:val="24"/>
              </w:rPr>
              <w:t>(短絀)</w:t>
            </w:r>
          </w:p>
        </w:tc>
        <w:tc>
          <w:tcPr>
            <w:tcW w:w="992" w:type="dxa"/>
            <w:tcBorders>
              <w:top w:val="single" w:sz="6" w:space="0" w:color="auto"/>
              <w:left w:val="single" w:sz="6" w:space="0" w:color="auto"/>
              <w:bottom w:val="single" w:sz="6" w:space="0" w:color="auto"/>
              <w:right w:val="single" w:sz="6" w:space="0" w:color="auto"/>
            </w:tcBorders>
            <w:vAlign w:val="center"/>
          </w:tcPr>
          <w:p w14:paraId="2BEFC9AA"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25,525</w:t>
            </w:r>
          </w:p>
        </w:tc>
        <w:tc>
          <w:tcPr>
            <w:tcW w:w="992" w:type="dxa"/>
            <w:tcBorders>
              <w:top w:val="single" w:sz="6" w:space="0" w:color="auto"/>
              <w:left w:val="single" w:sz="6" w:space="0" w:color="auto"/>
              <w:bottom w:val="single" w:sz="6" w:space="0" w:color="auto"/>
              <w:right w:val="single" w:sz="6" w:space="0" w:color="auto"/>
            </w:tcBorders>
            <w:vAlign w:val="center"/>
          </w:tcPr>
          <w:p w14:paraId="29184F0C"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36,718</w:t>
            </w:r>
          </w:p>
        </w:tc>
        <w:tc>
          <w:tcPr>
            <w:tcW w:w="992" w:type="dxa"/>
            <w:tcBorders>
              <w:top w:val="single" w:sz="6" w:space="0" w:color="auto"/>
              <w:left w:val="single" w:sz="6" w:space="0" w:color="auto"/>
              <w:bottom w:val="single" w:sz="6" w:space="0" w:color="auto"/>
              <w:right w:val="single" w:sz="6" w:space="0" w:color="auto"/>
            </w:tcBorders>
            <w:vAlign w:val="center"/>
          </w:tcPr>
          <w:p w14:paraId="249D37BF"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32,275</w:t>
            </w:r>
          </w:p>
        </w:tc>
        <w:tc>
          <w:tcPr>
            <w:tcW w:w="993" w:type="dxa"/>
            <w:tcBorders>
              <w:top w:val="single" w:sz="6" w:space="0" w:color="auto"/>
              <w:left w:val="single" w:sz="6" w:space="0" w:color="auto"/>
              <w:bottom w:val="single" w:sz="6" w:space="0" w:color="auto"/>
              <w:right w:val="single" w:sz="6" w:space="0" w:color="auto"/>
            </w:tcBorders>
            <w:vAlign w:val="center"/>
          </w:tcPr>
          <w:p w14:paraId="3E7054F2" w14:textId="77777777" w:rsidR="00CE4A85" w:rsidRPr="00114270" w:rsidRDefault="00CE4A85" w:rsidP="009A2726">
            <w:pPr>
              <w:pStyle w:val="142"/>
              <w:ind w:left="407" w:hanging="515"/>
              <w:jc w:val="right"/>
              <w:rPr>
                <w:spacing w:val="-20"/>
                <w:w w:val="95"/>
                <w:sz w:val="22"/>
                <w:szCs w:val="22"/>
              </w:rPr>
            </w:pPr>
            <w:r w:rsidRPr="009A2726">
              <w:rPr>
                <w:rFonts w:hint="eastAsia"/>
                <w:spacing w:val="-20"/>
                <w:w w:val="95"/>
                <w:sz w:val="22"/>
                <w:szCs w:val="22"/>
              </w:rPr>
              <w:t>54,364</w:t>
            </w:r>
          </w:p>
        </w:tc>
        <w:tc>
          <w:tcPr>
            <w:tcW w:w="992" w:type="dxa"/>
            <w:tcBorders>
              <w:top w:val="single" w:sz="6" w:space="0" w:color="auto"/>
              <w:left w:val="single" w:sz="6" w:space="0" w:color="auto"/>
              <w:bottom w:val="single" w:sz="6" w:space="0" w:color="auto"/>
              <w:right w:val="single" w:sz="6" w:space="0" w:color="auto"/>
            </w:tcBorders>
            <w:vAlign w:val="center"/>
          </w:tcPr>
          <w:p w14:paraId="76778CBC" w14:textId="77777777" w:rsidR="00CE4A85" w:rsidRPr="00114270" w:rsidRDefault="00CE4A85" w:rsidP="009A2726">
            <w:pPr>
              <w:pStyle w:val="142"/>
              <w:ind w:left="407" w:hanging="515"/>
              <w:jc w:val="right"/>
              <w:rPr>
                <w:spacing w:val="-20"/>
                <w:w w:val="95"/>
                <w:sz w:val="22"/>
                <w:szCs w:val="22"/>
              </w:rPr>
            </w:pPr>
            <w:r w:rsidRPr="009A2726">
              <w:rPr>
                <w:rFonts w:hint="eastAsia"/>
                <w:spacing w:val="-20"/>
                <w:w w:val="95"/>
                <w:sz w:val="22"/>
                <w:szCs w:val="22"/>
              </w:rPr>
              <w:t>37,345</w:t>
            </w:r>
          </w:p>
        </w:tc>
        <w:tc>
          <w:tcPr>
            <w:tcW w:w="992" w:type="dxa"/>
            <w:tcBorders>
              <w:top w:val="single" w:sz="6" w:space="0" w:color="auto"/>
              <w:left w:val="single" w:sz="6" w:space="0" w:color="auto"/>
              <w:bottom w:val="single" w:sz="6" w:space="0" w:color="auto"/>
              <w:right w:val="single" w:sz="6" w:space="0" w:color="auto"/>
            </w:tcBorders>
            <w:vAlign w:val="center"/>
          </w:tcPr>
          <w:p w14:paraId="635EEF19" w14:textId="77777777" w:rsidR="00CE4A85" w:rsidRPr="00114270" w:rsidRDefault="00CE4A85" w:rsidP="009A2726">
            <w:pPr>
              <w:pStyle w:val="142"/>
              <w:ind w:left="407" w:hanging="515"/>
              <w:jc w:val="right"/>
              <w:rPr>
                <w:spacing w:val="-20"/>
                <w:w w:val="95"/>
                <w:sz w:val="22"/>
                <w:szCs w:val="22"/>
              </w:rPr>
            </w:pPr>
            <w:r w:rsidRPr="009A2726">
              <w:rPr>
                <w:rFonts w:hint="eastAsia"/>
                <w:spacing w:val="-20"/>
                <w:w w:val="95"/>
                <w:sz w:val="22"/>
                <w:szCs w:val="22"/>
              </w:rPr>
              <w:t>23,087</w:t>
            </w:r>
          </w:p>
        </w:tc>
        <w:tc>
          <w:tcPr>
            <w:tcW w:w="992" w:type="dxa"/>
            <w:tcBorders>
              <w:top w:val="single" w:sz="6" w:space="0" w:color="auto"/>
              <w:left w:val="single" w:sz="6" w:space="0" w:color="auto"/>
              <w:bottom w:val="single" w:sz="6" w:space="0" w:color="auto"/>
              <w:right w:val="single" w:sz="12" w:space="0" w:color="auto"/>
            </w:tcBorders>
            <w:vAlign w:val="center"/>
          </w:tcPr>
          <w:p w14:paraId="4C077403" w14:textId="77777777" w:rsidR="00CE4A85" w:rsidRPr="00114270" w:rsidRDefault="00CE4A85" w:rsidP="009A2726">
            <w:pPr>
              <w:pStyle w:val="142"/>
              <w:ind w:left="407" w:hanging="515"/>
              <w:jc w:val="right"/>
              <w:rPr>
                <w:spacing w:val="-20"/>
                <w:w w:val="95"/>
                <w:sz w:val="22"/>
                <w:szCs w:val="22"/>
              </w:rPr>
            </w:pPr>
            <w:r w:rsidRPr="009A2726">
              <w:rPr>
                <w:rFonts w:hint="eastAsia"/>
                <w:spacing w:val="-20"/>
                <w:w w:val="95"/>
                <w:sz w:val="22"/>
                <w:szCs w:val="22"/>
              </w:rPr>
              <w:t>46,755</w:t>
            </w:r>
          </w:p>
        </w:tc>
      </w:tr>
      <w:tr w:rsidR="00CE4A85" w14:paraId="68E91F4B" w14:textId="77777777" w:rsidTr="009A2726">
        <w:trPr>
          <w:trHeight w:val="293"/>
        </w:trPr>
        <w:tc>
          <w:tcPr>
            <w:tcW w:w="1560" w:type="dxa"/>
            <w:tcBorders>
              <w:top w:val="single" w:sz="6" w:space="0" w:color="auto"/>
              <w:left w:val="single" w:sz="12" w:space="0" w:color="auto"/>
              <w:bottom w:val="single" w:sz="12" w:space="0" w:color="auto"/>
              <w:right w:val="single" w:sz="6" w:space="0" w:color="auto"/>
            </w:tcBorders>
            <w:vAlign w:val="center"/>
            <w:hideMark/>
          </w:tcPr>
          <w:p w14:paraId="291E315D" w14:textId="77777777" w:rsidR="00CE4A85" w:rsidRPr="00064D16" w:rsidRDefault="00CE4A85" w:rsidP="009A2726">
            <w:pPr>
              <w:pStyle w:val="142"/>
              <w:ind w:left="447" w:hanging="555"/>
              <w:jc w:val="both"/>
              <w:rPr>
                <w:spacing w:val="-20"/>
                <w:szCs w:val="24"/>
              </w:rPr>
            </w:pPr>
            <w:r w:rsidRPr="00064D16">
              <w:rPr>
                <w:rFonts w:hint="eastAsia"/>
                <w:spacing w:val="-20"/>
                <w:szCs w:val="24"/>
              </w:rPr>
              <w:t>本期餘絀</w:t>
            </w:r>
          </w:p>
        </w:tc>
        <w:tc>
          <w:tcPr>
            <w:tcW w:w="992" w:type="dxa"/>
            <w:tcBorders>
              <w:top w:val="single" w:sz="6" w:space="0" w:color="auto"/>
              <w:left w:val="single" w:sz="6" w:space="0" w:color="auto"/>
              <w:bottom w:val="single" w:sz="12" w:space="0" w:color="auto"/>
              <w:right w:val="single" w:sz="6" w:space="0" w:color="auto"/>
            </w:tcBorders>
            <w:vAlign w:val="center"/>
          </w:tcPr>
          <w:p w14:paraId="06588D1D"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108,160</w:t>
            </w:r>
          </w:p>
        </w:tc>
        <w:tc>
          <w:tcPr>
            <w:tcW w:w="992" w:type="dxa"/>
            <w:tcBorders>
              <w:top w:val="single" w:sz="6" w:space="0" w:color="auto"/>
              <w:left w:val="single" w:sz="6" w:space="0" w:color="auto"/>
              <w:bottom w:val="single" w:sz="12" w:space="0" w:color="auto"/>
              <w:right w:val="single" w:sz="6" w:space="0" w:color="auto"/>
            </w:tcBorders>
            <w:vAlign w:val="center"/>
          </w:tcPr>
          <w:p w14:paraId="0E2A3A39"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91,011</w:t>
            </w:r>
          </w:p>
        </w:tc>
        <w:tc>
          <w:tcPr>
            <w:tcW w:w="992" w:type="dxa"/>
            <w:tcBorders>
              <w:top w:val="single" w:sz="6" w:space="0" w:color="auto"/>
              <w:left w:val="single" w:sz="6" w:space="0" w:color="auto"/>
              <w:bottom w:val="single" w:sz="12" w:space="0" w:color="auto"/>
              <w:right w:val="single" w:sz="6" w:space="0" w:color="auto"/>
            </w:tcBorders>
            <w:vAlign w:val="center"/>
          </w:tcPr>
          <w:p w14:paraId="05086863"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-104,726</w:t>
            </w:r>
          </w:p>
        </w:tc>
        <w:tc>
          <w:tcPr>
            <w:tcW w:w="993" w:type="dxa"/>
            <w:tcBorders>
              <w:top w:val="single" w:sz="6" w:space="0" w:color="auto"/>
              <w:left w:val="single" w:sz="6" w:space="0" w:color="auto"/>
              <w:bottom w:val="single" w:sz="12" w:space="0" w:color="auto"/>
              <w:right w:val="single" w:sz="6" w:space="0" w:color="auto"/>
            </w:tcBorders>
            <w:vAlign w:val="center"/>
          </w:tcPr>
          <w:p w14:paraId="2E9962FA"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98,574</w:t>
            </w:r>
          </w:p>
        </w:tc>
        <w:tc>
          <w:tcPr>
            <w:tcW w:w="992" w:type="dxa"/>
            <w:tcBorders>
              <w:top w:val="single" w:sz="6" w:space="0" w:color="auto"/>
              <w:left w:val="single" w:sz="6" w:space="0" w:color="auto"/>
              <w:bottom w:val="single" w:sz="12" w:space="0" w:color="auto"/>
              <w:right w:val="single" w:sz="6" w:space="0" w:color="auto"/>
            </w:tcBorders>
            <w:vAlign w:val="center"/>
          </w:tcPr>
          <w:p w14:paraId="4D76CF76"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99,714</w:t>
            </w:r>
          </w:p>
        </w:tc>
        <w:tc>
          <w:tcPr>
            <w:tcW w:w="992" w:type="dxa"/>
            <w:tcBorders>
              <w:top w:val="single" w:sz="6" w:space="0" w:color="auto"/>
              <w:left w:val="single" w:sz="6" w:space="0" w:color="auto"/>
              <w:bottom w:val="single" w:sz="12" w:space="0" w:color="auto"/>
              <w:right w:val="single" w:sz="6" w:space="0" w:color="auto"/>
            </w:tcBorders>
            <w:vAlign w:val="center"/>
          </w:tcPr>
          <w:p w14:paraId="6201B603"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82,778</w:t>
            </w:r>
          </w:p>
        </w:tc>
        <w:tc>
          <w:tcPr>
            <w:tcW w:w="992" w:type="dxa"/>
            <w:tcBorders>
              <w:top w:val="single" w:sz="6" w:space="0" w:color="auto"/>
              <w:left w:val="single" w:sz="6" w:space="0" w:color="auto"/>
              <w:bottom w:val="single" w:sz="12" w:space="0" w:color="auto"/>
              <w:right w:val="single" w:sz="12" w:space="0" w:color="auto"/>
            </w:tcBorders>
            <w:vAlign w:val="center"/>
          </w:tcPr>
          <w:p w14:paraId="76B06A40"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116,823</w:t>
            </w:r>
          </w:p>
        </w:tc>
      </w:tr>
    </w:tbl>
    <w:p w14:paraId="52627ECD" w14:textId="77777777" w:rsidR="00CE4A85" w:rsidRDefault="00CE4A85" w:rsidP="005967D3">
      <w:pPr>
        <w:pStyle w:val="142"/>
        <w:spacing w:line="260" w:lineRule="exact"/>
        <w:ind w:left="1133" w:hangingChars="466" w:hanging="1133"/>
        <w:jc w:val="both"/>
        <w:rPr>
          <w:rFonts w:hAnsi="標楷體"/>
        </w:rPr>
      </w:pPr>
      <w:r w:rsidRPr="00B37226">
        <w:rPr>
          <w:rFonts w:hAnsi="標楷體" w:hint="eastAsia"/>
        </w:rPr>
        <w:t>說    明：</w:t>
      </w:r>
      <w:r>
        <w:rPr>
          <w:rFonts w:hAnsi="標楷體" w:hint="eastAsia"/>
        </w:rPr>
        <w:t>113</w:t>
      </w:r>
      <w:r w:rsidRPr="00E534D1">
        <w:rPr>
          <w:rFonts w:hAnsi="標楷體" w:hint="eastAsia"/>
        </w:rPr>
        <w:t>年度執行數為截至</w:t>
      </w:r>
      <w:r>
        <w:rPr>
          <w:rFonts w:hAnsi="標楷體" w:hint="eastAsia"/>
        </w:rPr>
        <w:t>8</w:t>
      </w:r>
      <w:r w:rsidRPr="00E534D1">
        <w:rPr>
          <w:rFonts w:hAnsi="標楷體" w:hint="eastAsia"/>
        </w:rPr>
        <w:t>月底止</w:t>
      </w:r>
      <w:r>
        <w:rPr>
          <w:rFonts w:hAnsi="標楷體" w:hint="eastAsia"/>
        </w:rPr>
        <w:t>帳列</w:t>
      </w:r>
      <w:r w:rsidRPr="00E534D1">
        <w:rPr>
          <w:rFonts w:hAnsi="標楷體" w:hint="eastAsia"/>
        </w:rPr>
        <w:t>數</w:t>
      </w:r>
      <w:r>
        <w:rPr>
          <w:rFonts w:hAnsi="標楷體" w:hint="eastAsia"/>
        </w:rPr>
        <w:t>；另1</w:t>
      </w:r>
      <w:r>
        <w:rPr>
          <w:rFonts w:hAnsi="標楷體"/>
        </w:rPr>
        <w:t>1</w:t>
      </w:r>
      <w:r>
        <w:rPr>
          <w:rFonts w:hAnsi="標楷體" w:hint="eastAsia"/>
        </w:rPr>
        <w:t>3年1至8月本期餘絀之累計預算分配數為負1億3</w:t>
      </w:r>
      <w:r>
        <w:rPr>
          <w:rFonts w:hAnsi="標楷體"/>
        </w:rPr>
        <w:t>,</w:t>
      </w:r>
      <w:r>
        <w:rPr>
          <w:rFonts w:hAnsi="標楷體" w:hint="eastAsia"/>
        </w:rPr>
        <w:t>762萬5千元</w:t>
      </w:r>
      <w:r w:rsidRPr="00B37226">
        <w:rPr>
          <w:rFonts w:hAnsi="標楷體" w:hint="eastAsia"/>
        </w:rPr>
        <w:t>。</w:t>
      </w:r>
    </w:p>
    <w:p w14:paraId="27A7504C" w14:textId="77777777" w:rsidR="00CE4A85" w:rsidRDefault="00CE4A85" w:rsidP="005967D3">
      <w:pPr>
        <w:pStyle w:val="142"/>
        <w:spacing w:line="260" w:lineRule="exact"/>
        <w:ind w:left="1751" w:hangingChars="720" w:hanging="1751"/>
        <w:jc w:val="both"/>
      </w:pPr>
      <w:r w:rsidRPr="00E236AD">
        <w:rPr>
          <w:rFonts w:hAnsi="標楷體" w:hint="eastAsia"/>
        </w:rPr>
        <w:t>資料來源：</w:t>
      </w:r>
      <w:r>
        <w:rPr>
          <w:rFonts w:hint="eastAsia"/>
        </w:rPr>
        <w:t>高雄大學提供。</w:t>
      </w:r>
    </w:p>
    <w:p w14:paraId="58C03492" w14:textId="77777777" w:rsidR="00CE4A85" w:rsidRDefault="00CE4A85" w:rsidP="007B2E2E">
      <w:pPr>
        <w:pStyle w:val="a4"/>
        <w:ind w:left="849" w:hanging="283"/>
        <w:rPr>
          <w:b/>
        </w:rPr>
      </w:pPr>
      <w:r w:rsidRPr="004820A1">
        <w:rPr>
          <w:rFonts w:hint="eastAsia"/>
          <w:b/>
        </w:rPr>
        <w:t>(一)</w:t>
      </w:r>
      <w:r w:rsidRPr="001113AE">
        <w:rPr>
          <w:rFonts w:hint="eastAsia"/>
          <w:b/>
        </w:rPr>
        <w:t>校務</w:t>
      </w:r>
      <w:r w:rsidRPr="005967D3">
        <w:rPr>
          <w:rFonts w:hint="eastAsia"/>
          <w:b/>
          <w:spacing w:val="-4"/>
        </w:rPr>
        <w:t>基金之預算編製與執行應以有賸餘或維持收支平衡為原則</w:t>
      </w:r>
    </w:p>
    <w:p w14:paraId="60ADB162" w14:textId="77777777" w:rsidR="00CE4A85" w:rsidRPr="006A11FD" w:rsidRDefault="00CE4A85" w:rsidP="001113AE">
      <w:pPr>
        <w:pStyle w:val="2"/>
        <w:ind w:left="850" w:firstLine="566"/>
        <w:rPr>
          <w:color w:val="000000"/>
        </w:rPr>
      </w:pPr>
      <w:r w:rsidRPr="000210B3">
        <w:rPr>
          <w:rFonts w:hAnsi="標楷體" w:hint="eastAsia"/>
        </w:rPr>
        <w:t>為促進國立大專院校創造收入、節約成本，</w:t>
      </w:r>
      <w:r>
        <w:rPr>
          <w:rFonts w:hAnsi="標楷體" w:hint="eastAsia"/>
        </w:rPr>
        <w:t>俾以</w:t>
      </w:r>
      <w:r w:rsidRPr="000210B3">
        <w:rPr>
          <w:rFonts w:hAnsi="標楷體" w:hint="eastAsia"/>
        </w:rPr>
        <w:t>有效運用教育資源，教育部自88年下半年及89年度起全面實施校務基金制度，對於國立大學校院之支出不再全由政府編列預算支應，學校需自籌部分經費以資因應，以減輕國庫負擔，</w:t>
      </w:r>
      <w:r>
        <w:rPr>
          <w:rFonts w:hAnsi="標楷體" w:hint="eastAsia"/>
        </w:rPr>
        <w:t>依</w:t>
      </w:r>
      <w:r w:rsidRPr="000210B3">
        <w:rPr>
          <w:rFonts w:hAnsi="標楷體" w:hint="eastAsia"/>
        </w:rPr>
        <w:t>國立大學校院校務基金設置條例第11條第1項</w:t>
      </w:r>
      <w:r w:rsidRPr="000210B3">
        <w:rPr>
          <w:rFonts w:hAnsi="標楷體"/>
          <w:vertAlign w:val="superscript"/>
        </w:rPr>
        <w:footnoteReference w:id="1"/>
      </w:r>
      <w:r w:rsidRPr="000210B3">
        <w:rPr>
          <w:rFonts w:hAnsi="標楷體" w:hint="eastAsia"/>
        </w:rPr>
        <w:t>規定</w:t>
      </w:r>
      <w:r>
        <w:rPr>
          <w:rFonts w:hAnsi="標楷體" w:hint="eastAsia"/>
        </w:rPr>
        <w:t>略以</w:t>
      </w:r>
      <w:r w:rsidRPr="000210B3">
        <w:rPr>
          <w:rFonts w:hAnsi="標楷體" w:hint="eastAsia"/>
        </w:rPr>
        <w:t>，校務基金</w:t>
      </w:r>
      <w:r w:rsidRPr="000210B3">
        <w:rPr>
          <w:rFonts w:hAnsi="標楷體" w:hint="eastAsia"/>
        </w:rPr>
        <w:lastRenderedPageBreak/>
        <w:t>預算之編製應在維持基金收支平衡或有賸餘之原則；</w:t>
      </w:r>
      <w:r>
        <w:rPr>
          <w:rFonts w:hAnsi="標楷體" w:hint="eastAsia"/>
        </w:rPr>
        <w:t>另</w:t>
      </w:r>
      <w:r w:rsidRPr="000210B3">
        <w:rPr>
          <w:rFonts w:hAnsi="標楷體" w:hint="eastAsia"/>
        </w:rPr>
        <w:t>國立大學校院校務基金管理及監督辦法第23條</w:t>
      </w:r>
      <w:r w:rsidRPr="000210B3">
        <w:rPr>
          <w:rStyle w:val="af2"/>
          <w:rFonts w:hAnsi="標楷體"/>
        </w:rPr>
        <w:footnoteReference w:id="2"/>
      </w:r>
      <w:r w:rsidRPr="000210B3">
        <w:rPr>
          <w:rFonts w:hAnsi="標楷體" w:hint="eastAsia"/>
        </w:rPr>
        <w:t>第1項</w:t>
      </w:r>
      <w:r>
        <w:rPr>
          <w:rFonts w:hAnsi="標楷體" w:hint="eastAsia"/>
        </w:rPr>
        <w:t>規定略以，</w:t>
      </w:r>
      <w:r w:rsidRPr="000210B3">
        <w:rPr>
          <w:rFonts w:hAnsi="標楷體" w:hint="eastAsia"/>
        </w:rPr>
        <w:t>學校校務基金及各項自籌收入之執行，應以有賸餘或維持收支平衡為原則，如實際執行有短絀情形，學校應擬訂開源節流計畫。</w:t>
      </w:r>
    </w:p>
    <w:p w14:paraId="027AEF79" w14:textId="77777777" w:rsidR="00CE4A85" w:rsidRPr="00337ABF" w:rsidRDefault="00CE4A85" w:rsidP="007B2E2E">
      <w:pPr>
        <w:pStyle w:val="a4"/>
        <w:ind w:left="849" w:hanging="283"/>
        <w:rPr>
          <w:b/>
        </w:rPr>
      </w:pPr>
      <w:r w:rsidRPr="00DB6A14">
        <w:rPr>
          <w:rFonts w:hint="eastAsia"/>
          <w:b/>
        </w:rPr>
        <w:t>(二)</w:t>
      </w:r>
      <w:r>
        <w:rPr>
          <w:rFonts w:hint="eastAsia"/>
          <w:b/>
        </w:rPr>
        <w:t>高雄</w:t>
      </w:r>
      <w:r w:rsidRPr="00433AB6">
        <w:rPr>
          <w:rFonts w:hint="eastAsia"/>
          <w:b/>
        </w:rPr>
        <w:t>大學</w:t>
      </w:r>
      <w:r>
        <w:rPr>
          <w:b/>
        </w:rPr>
        <w:t>111</w:t>
      </w:r>
      <w:r>
        <w:rPr>
          <w:rFonts w:hint="eastAsia"/>
          <w:b/>
        </w:rPr>
        <w:t>年度至11</w:t>
      </w:r>
      <w:r>
        <w:rPr>
          <w:b/>
        </w:rPr>
        <w:t>3</w:t>
      </w:r>
      <w:r w:rsidRPr="00433AB6">
        <w:rPr>
          <w:rFonts w:hint="eastAsia"/>
          <w:b/>
        </w:rPr>
        <w:t>年</w:t>
      </w:r>
      <w:r>
        <w:rPr>
          <w:rFonts w:hint="eastAsia"/>
          <w:b/>
        </w:rPr>
        <w:t>截至8月底止</w:t>
      </w:r>
      <w:r w:rsidRPr="00433AB6">
        <w:rPr>
          <w:rFonts w:hint="eastAsia"/>
          <w:b/>
        </w:rPr>
        <w:t>均發生短絀，</w:t>
      </w:r>
      <w:r w:rsidRPr="00A31D35">
        <w:rPr>
          <w:rFonts w:hint="eastAsia"/>
          <w:b/>
        </w:rPr>
        <w:t>11</w:t>
      </w:r>
      <w:r>
        <w:rPr>
          <w:b/>
        </w:rPr>
        <w:t>4</w:t>
      </w:r>
      <w:r w:rsidRPr="00A31D35">
        <w:rPr>
          <w:rFonts w:hint="eastAsia"/>
          <w:b/>
        </w:rPr>
        <w:t>年度預計短絀</w:t>
      </w:r>
      <w:r w:rsidRPr="00CB5F33">
        <w:rPr>
          <w:rFonts w:hint="eastAsia"/>
          <w:b/>
        </w:rPr>
        <w:t>1億1,682萬3千元</w:t>
      </w:r>
      <w:r>
        <w:rPr>
          <w:rFonts w:hint="eastAsia"/>
          <w:b/>
        </w:rPr>
        <w:t>為近4年最高</w:t>
      </w:r>
    </w:p>
    <w:p w14:paraId="41419387" w14:textId="77777777" w:rsidR="00CE4A85" w:rsidRDefault="00CE4A85" w:rsidP="00433AB6">
      <w:pPr>
        <w:pStyle w:val="2"/>
        <w:ind w:left="850" w:firstLine="566"/>
        <w:rPr>
          <w:rFonts w:hAnsi="標楷體"/>
        </w:rPr>
      </w:pPr>
      <w:r>
        <w:rPr>
          <w:rFonts w:hAnsi="標楷體" w:hint="eastAsia"/>
        </w:rPr>
        <w:t>檢視高雄大學近4年(111至114年度)收支餘絀情形，</w:t>
      </w:r>
      <w:r>
        <w:rPr>
          <w:rFonts w:hAnsi="標楷體"/>
        </w:rPr>
        <w:t>111</w:t>
      </w:r>
      <w:r>
        <w:rPr>
          <w:rFonts w:hAnsi="標楷體" w:hint="eastAsia"/>
        </w:rPr>
        <w:t>至11</w:t>
      </w:r>
      <w:r>
        <w:rPr>
          <w:rFonts w:hAnsi="標楷體"/>
        </w:rPr>
        <w:t>3</w:t>
      </w:r>
      <w:r>
        <w:rPr>
          <w:rFonts w:hAnsi="標楷體" w:hint="eastAsia"/>
        </w:rPr>
        <w:t>年度預算均編列短絀，實際執行結果，</w:t>
      </w:r>
      <w:r>
        <w:rPr>
          <w:rFonts w:hAnsi="標楷體"/>
        </w:rPr>
        <w:t>111</w:t>
      </w:r>
      <w:r w:rsidRPr="00E9553D">
        <w:rPr>
          <w:rFonts w:hAnsi="標楷體" w:hint="eastAsia"/>
        </w:rPr>
        <w:t>年度決算短絀</w:t>
      </w:r>
      <w:r>
        <w:rPr>
          <w:rFonts w:hAnsi="標楷體" w:hint="eastAsia"/>
        </w:rPr>
        <w:t>9,1</w:t>
      </w:r>
      <w:r>
        <w:rPr>
          <w:rFonts w:hAnsi="標楷體"/>
        </w:rPr>
        <w:t>01</w:t>
      </w:r>
      <w:r w:rsidRPr="00E9553D">
        <w:rPr>
          <w:rFonts w:hAnsi="標楷體" w:hint="eastAsia"/>
        </w:rPr>
        <w:t>萬</w:t>
      </w:r>
      <w:r>
        <w:rPr>
          <w:rFonts w:hAnsi="標楷體"/>
        </w:rPr>
        <w:t>1</w:t>
      </w:r>
      <w:r w:rsidRPr="00E9553D">
        <w:rPr>
          <w:rFonts w:hAnsi="標楷體" w:hint="eastAsia"/>
        </w:rPr>
        <w:t>千元</w:t>
      </w:r>
      <w:bookmarkStart w:id="5" w:name="_Hlk146094342"/>
      <w:r w:rsidRPr="00E9553D">
        <w:rPr>
          <w:rFonts w:hAnsi="標楷體" w:hint="eastAsia"/>
        </w:rPr>
        <w:t>，較預算</w:t>
      </w:r>
      <w:r>
        <w:rPr>
          <w:rFonts w:hAnsi="標楷體" w:hint="eastAsia"/>
        </w:rPr>
        <w:t>減少短絀1,714</w:t>
      </w:r>
      <w:r w:rsidRPr="00E9553D">
        <w:rPr>
          <w:rFonts w:hAnsi="標楷體" w:hint="eastAsia"/>
        </w:rPr>
        <w:t>萬</w:t>
      </w:r>
      <w:r>
        <w:rPr>
          <w:rFonts w:hAnsi="標楷體" w:hint="eastAsia"/>
        </w:rPr>
        <w:t>9</w:t>
      </w:r>
      <w:r w:rsidRPr="00E9553D">
        <w:rPr>
          <w:rFonts w:hAnsi="標楷體" w:hint="eastAsia"/>
        </w:rPr>
        <w:t>千元</w:t>
      </w:r>
      <w:bookmarkEnd w:id="5"/>
      <w:r w:rsidRPr="00E9553D">
        <w:rPr>
          <w:rFonts w:hAnsi="標楷體" w:hint="eastAsia"/>
        </w:rPr>
        <w:t>，</w:t>
      </w:r>
      <w:r>
        <w:rPr>
          <w:rFonts w:hAnsi="標楷體" w:hint="eastAsia"/>
        </w:rPr>
        <w:t>減幅</w:t>
      </w:r>
      <w:r w:rsidRPr="00E9553D">
        <w:rPr>
          <w:rFonts w:hAnsi="標楷體" w:hint="eastAsia"/>
        </w:rPr>
        <w:t>約</w:t>
      </w:r>
      <w:r>
        <w:rPr>
          <w:rFonts w:hAnsi="標楷體" w:hint="eastAsia"/>
        </w:rPr>
        <w:t>15.86</w:t>
      </w:r>
      <w:r w:rsidRPr="00E9553D">
        <w:rPr>
          <w:rFonts w:hAnsi="標楷體" w:hint="eastAsia"/>
        </w:rPr>
        <w:t>%</w:t>
      </w:r>
      <w:r>
        <w:rPr>
          <w:rFonts w:hAnsi="標楷體" w:hint="eastAsia"/>
        </w:rPr>
        <w:t>，主要</w:t>
      </w:r>
      <w:r w:rsidRPr="0062760F">
        <w:rPr>
          <w:rFonts w:hAnsi="標楷體" w:hint="eastAsia"/>
        </w:rPr>
        <w:t>係</w:t>
      </w:r>
      <w:r>
        <w:rPr>
          <w:rFonts w:hAnsi="標楷體" w:hint="eastAsia"/>
        </w:rPr>
        <w:t>因建教合作收入、其他補助收入及學雜費收入</w:t>
      </w:r>
      <w:r w:rsidRPr="0062760F">
        <w:rPr>
          <w:rFonts w:hAnsi="標楷體" w:hint="eastAsia"/>
        </w:rPr>
        <w:t>增加</w:t>
      </w:r>
      <w:r>
        <w:rPr>
          <w:rFonts w:hAnsi="標楷體" w:hint="eastAsia"/>
        </w:rPr>
        <w:t>；112年度決算短絀9</w:t>
      </w:r>
      <w:r>
        <w:rPr>
          <w:rFonts w:hAnsi="標楷體"/>
        </w:rPr>
        <w:t>,</w:t>
      </w:r>
      <w:r>
        <w:rPr>
          <w:rFonts w:hAnsi="標楷體" w:hint="eastAsia"/>
        </w:rPr>
        <w:t>857萬4千元</w:t>
      </w:r>
      <w:r w:rsidRPr="007F6858">
        <w:rPr>
          <w:rFonts w:hAnsi="標楷體" w:hint="eastAsia"/>
        </w:rPr>
        <w:t>，</w:t>
      </w:r>
      <w:r>
        <w:rPr>
          <w:rFonts w:hAnsi="標楷體" w:hint="eastAsia"/>
        </w:rPr>
        <w:t>雖</w:t>
      </w:r>
      <w:r w:rsidRPr="007F6858">
        <w:rPr>
          <w:rFonts w:hAnsi="標楷體" w:hint="eastAsia"/>
        </w:rPr>
        <w:t>較預算減少</w:t>
      </w:r>
      <w:r>
        <w:rPr>
          <w:rFonts w:hAnsi="標楷體" w:hint="eastAsia"/>
        </w:rPr>
        <w:t>615</w:t>
      </w:r>
      <w:r w:rsidRPr="007F6858">
        <w:rPr>
          <w:rFonts w:hAnsi="標楷體" w:hint="eastAsia"/>
        </w:rPr>
        <w:t>萬</w:t>
      </w:r>
      <w:r>
        <w:rPr>
          <w:rFonts w:hAnsi="標楷體" w:hint="eastAsia"/>
        </w:rPr>
        <w:t>2千</w:t>
      </w:r>
      <w:r w:rsidRPr="007F6858">
        <w:rPr>
          <w:rFonts w:hAnsi="標楷體" w:hint="eastAsia"/>
        </w:rPr>
        <w:t>元</w:t>
      </w:r>
      <w:r>
        <w:rPr>
          <w:rFonts w:hAnsi="標楷體" w:hint="eastAsia"/>
        </w:rPr>
        <w:t>(減幅5.87%)</w:t>
      </w:r>
      <w:r w:rsidRPr="00E9553D">
        <w:rPr>
          <w:rFonts w:hAnsi="標楷體" w:hint="eastAsia"/>
        </w:rPr>
        <w:t>，</w:t>
      </w:r>
      <w:r>
        <w:rPr>
          <w:rFonts w:hAnsi="標楷體" w:hint="eastAsia"/>
        </w:rPr>
        <w:t>惟較111年決算短絀增加；又113年截至8月底止短絀8,277萬8千元，較累計預算分配數</w:t>
      </w:r>
      <w:r w:rsidRPr="00BB3178">
        <w:rPr>
          <w:rFonts w:hAnsi="標楷體" w:hint="eastAsia"/>
        </w:rPr>
        <w:t>1億3,762萬5千元</w:t>
      </w:r>
      <w:r>
        <w:rPr>
          <w:rFonts w:hAnsi="標楷體" w:hint="eastAsia"/>
        </w:rPr>
        <w:t>減少短絀</w:t>
      </w:r>
      <w:r>
        <w:rPr>
          <w:rFonts w:hAnsi="標楷體"/>
        </w:rPr>
        <w:t>5,484</w:t>
      </w:r>
      <w:r>
        <w:rPr>
          <w:rFonts w:hAnsi="標楷體" w:hint="eastAsia"/>
        </w:rPr>
        <w:t>萬</w:t>
      </w:r>
      <w:r>
        <w:rPr>
          <w:rFonts w:hAnsi="標楷體"/>
        </w:rPr>
        <w:t>7</w:t>
      </w:r>
      <w:r>
        <w:rPr>
          <w:rFonts w:hAnsi="標楷體" w:hint="eastAsia"/>
        </w:rPr>
        <w:t>千元(減幅</w:t>
      </w:r>
      <w:r w:rsidRPr="00E9553D">
        <w:rPr>
          <w:rFonts w:hAnsi="標楷體" w:hint="eastAsia"/>
        </w:rPr>
        <w:t>約</w:t>
      </w:r>
      <w:r>
        <w:rPr>
          <w:rFonts w:hAnsi="標楷體" w:hint="eastAsia"/>
        </w:rPr>
        <w:t>39.85</w:t>
      </w:r>
      <w:r w:rsidRPr="00E9553D">
        <w:rPr>
          <w:rFonts w:hAnsi="標楷體" w:hint="eastAsia"/>
        </w:rPr>
        <w:t>%</w:t>
      </w:r>
      <w:r>
        <w:rPr>
          <w:rFonts w:hAnsi="標楷體" w:hint="eastAsia"/>
        </w:rPr>
        <w:t>)，據說明係因學雜費收入較預算增加且教學研究及訓輔成本減少所致。</w:t>
      </w:r>
    </w:p>
    <w:p w14:paraId="0BC58015" w14:textId="77777777" w:rsidR="00CE4A85" w:rsidRDefault="00CE4A85" w:rsidP="00433AB6">
      <w:pPr>
        <w:pStyle w:val="2"/>
        <w:ind w:left="850" w:firstLine="566"/>
        <w:rPr>
          <w:rFonts w:hAnsi="標楷體"/>
        </w:rPr>
      </w:pPr>
      <w:r>
        <w:rPr>
          <w:rFonts w:hAnsi="標楷體" w:hint="eastAsia"/>
        </w:rPr>
        <w:t>另該校114年度預算案編列短絀1億1</w:t>
      </w:r>
      <w:r>
        <w:rPr>
          <w:rFonts w:hAnsi="標楷體"/>
        </w:rPr>
        <w:t>,</w:t>
      </w:r>
      <w:r>
        <w:rPr>
          <w:rFonts w:hAnsi="標楷體" w:hint="eastAsia"/>
        </w:rPr>
        <w:t>682萬</w:t>
      </w:r>
      <w:r>
        <w:rPr>
          <w:rFonts w:hAnsi="標楷體"/>
        </w:rPr>
        <w:t>3</w:t>
      </w:r>
      <w:r>
        <w:rPr>
          <w:rFonts w:hAnsi="標楷體" w:hint="eastAsia"/>
        </w:rPr>
        <w:t>千元，為近4年預、決</w:t>
      </w:r>
      <w:r w:rsidRPr="00F62269">
        <w:rPr>
          <w:rFonts w:hAnsi="標楷體" w:hint="eastAsia"/>
        </w:rPr>
        <w:t>算</w:t>
      </w:r>
      <w:r>
        <w:rPr>
          <w:rFonts w:hAnsi="標楷體" w:hint="eastAsia"/>
        </w:rPr>
        <w:t>短絀數最高，主要係預期</w:t>
      </w:r>
      <w:r w:rsidRPr="00EC3815">
        <w:rPr>
          <w:rFonts w:hAnsi="標楷體" w:hint="eastAsia"/>
        </w:rPr>
        <w:t>教學研究及訓輔成本</w:t>
      </w:r>
      <w:r>
        <w:rPr>
          <w:rFonts w:hAnsi="標楷體" w:hint="eastAsia"/>
        </w:rPr>
        <w:t>增加所致，與</w:t>
      </w:r>
      <w:r w:rsidRPr="000B28F1">
        <w:rPr>
          <w:rFonts w:hAnsi="標楷體" w:hint="eastAsia"/>
        </w:rPr>
        <w:t>校務基金設置條例</w:t>
      </w:r>
      <w:r>
        <w:rPr>
          <w:rFonts w:hAnsi="標楷體" w:hint="eastAsia"/>
        </w:rPr>
        <w:t>等規範所定「</w:t>
      </w:r>
      <w:r w:rsidRPr="00243790">
        <w:rPr>
          <w:rFonts w:hint="eastAsia"/>
        </w:rPr>
        <w:t>維持收支平衡</w:t>
      </w:r>
      <w:r>
        <w:rPr>
          <w:rFonts w:hint="eastAsia"/>
        </w:rPr>
        <w:t>」原則</w:t>
      </w:r>
      <w:r>
        <w:rPr>
          <w:rFonts w:hAnsi="標楷體" w:hint="eastAsia"/>
        </w:rPr>
        <w:t>未合，允宜加強開源節流措施，節約經費支出。</w:t>
      </w:r>
    </w:p>
    <w:p w14:paraId="32CF6E89" w14:textId="2070ED9F" w:rsidR="00CE4A85" w:rsidRPr="00DB100D" w:rsidRDefault="00CE4A85" w:rsidP="007B2E2E">
      <w:pPr>
        <w:ind w:left="566" w:firstLine="566"/>
        <w:rPr>
          <w:sz w:val="24"/>
        </w:rPr>
      </w:pPr>
      <w:r w:rsidRPr="005967D3">
        <w:rPr>
          <w:rFonts w:hint="eastAsia"/>
        </w:rPr>
        <w:t>綜上，高雄大學111年度至113年截至8月底止均發生短絀，且114年度預算案預計短絀1億</w:t>
      </w:r>
      <w:r w:rsidRPr="005967D3">
        <w:rPr>
          <w:rFonts w:hAnsi="標楷體" w:hint="eastAsia"/>
        </w:rPr>
        <w:t>1,682萬3千元為近</w:t>
      </w:r>
      <w:r>
        <w:rPr>
          <w:rFonts w:hAnsi="標楷體" w:hint="eastAsia"/>
        </w:rPr>
        <w:t>4</w:t>
      </w:r>
      <w:r w:rsidRPr="005967D3">
        <w:rPr>
          <w:rFonts w:hAnsi="標楷體" w:hint="eastAsia"/>
        </w:rPr>
        <w:t>年預、決算最高</w:t>
      </w:r>
      <w:r w:rsidRPr="005967D3">
        <w:rPr>
          <w:rFonts w:hint="eastAsia"/>
        </w:rPr>
        <w:t>，與校務基金設置條例等規範所定「維持收支平衡」原則</w:t>
      </w:r>
      <w:r w:rsidRPr="005967D3">
        <w:rPr>
          <w:rFonts w:hint="eastAsia"/>
        </w:rPr>
        <w:lastRenderedPageBreak/>
        <w:t>未符，允宜確實檢討，加強開源節流，以提升基金營運績效</w:t>
      </w:r>
      <w:r>
        <w:rPr>
          <w:rFonts w:hint="eastAsia"/>
        </w:rPr>
        <w:t>。</w:t>
      </w:r>
      <w:bookmarkEnd w:id="4"/>
    </w:p>
    <w:p w14:paraId="5AD04D7E" w14:textId="77777777" w:rsidR="00CE4A85" w:rsidRDefault="00CE4A85" w:rsidP="00DD217B">
      <w:pPr>
        <w:pStyle w:val="ab"/>
      </w:pPr>
      <w:r w:rsidRPr="0073470B">
        <w:rPr>
          <w:rFonts w:hint="eastAsia"/>
        </w:rPr>
        <w:t>（分機：</w:t>
      </w:r>
      <w:r>
        <w:rPr>
          <w:rFonts w:hint="eastAsia"/>
        </w:rPr>
        <w:t>8663</w:t>
      </w:r>
      <w:r w:rsidRPr="0073470B">
        <w:rPr>
          <w:rFonts w:hint="eastAsia"/>
        </w:rPr>
        <w:t xml:space="preserve"> </w:t>
      </w:r>
      <w:r>
        <w:rPr>
          <w:rFonts w:hint="eastAsia"/>
        </w:rPr>
        <w:t>鄭寧</w:t>
      </w:r>
      <w:r w:rsidRPr="0073470B">
        <w:rPr>
          <w:rFonts w:hint="eastAsia"/>
        </w:rPr>
        <w:t>）</w:t>
      </w:r>
    </w:p>
    <w:sectPr w:rsidR="00CE4A85"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D673E8">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1508D12E"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673E8">
      <w:rPr>
        <w:rStyle w:val="af6"/>
        <w:noProof/>
      </w:rPr>
      <w:t>3</w:t>
    </w:r>
    <w:r>
      <w:rPr>
        <w:rStyle w:val="af6"/>
      </w:rPr>
      <w:fldChar w:fldCharType="end"/>
    </w:r>
  </w:p>
  <w:p w14:paraId="44D11F74" w14:textId="77777777" w:rsidR="00D36F94" w:rsidRPr="001F2930" w:rsidRDefault="00D673E8"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D673E8">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0439BECF" w14:textId="682C3445" w:rsidR="00CE4A85" w:rsidRPr="00105EBB" w:rsidRDefault="00CE4A85" w:rsidP="00A715C1">
      <w:pPr>
        <w:pStyle w:val="142"/>
        <w:ind w:leftChars="1" w:left="83" w:hangingChars="33" w:hanging="80"/>
      </w:pPr>
      <w:r w:rsidRPr="00105EBB">
        <w:rPr>
          <w:rStyle w:val="af2"/>
          <w:rFonts w:hAnsi="標楷體"/>
          <w:szCs w:val="24"/>
        </w:rPr>
        <w:footnoteRef/>
      </w:r>
      <w:r w:rsidRPr="00EF0BA9">
        <w:rPr>
          <w:rFonts w:hint="eastAsia"/>
          <w:spacing w:val="4"/>
        </w:rPr>
        <w:t>國立大學校院校務基金設置條例第11條第1項規定：「校務基金預算之編製，應以國立大學校院中長程發展計畫為基礎，審酌基金之財務及預估收支情形，</w:t>
      </w:r>
      <w:r w:rsidRPr="00EF0BA9">
        <w:rPr>
          <w:rFonts w:hint="eastAsia"/>
          <w:spacing w:val="4"/>
          <w:u w:val="single"/>
        </w:rPr>
        <w:t>在維持基金收支平衡或有賸餘之原則下</w:t>
      </w:r>
      <w:r w:rsidRPr="00EF0BA9">
        <w:rPr>
          <w:rFonts w:hint="eastAsia"/>
          <w:spacing w:val="4"/>
        </w:rPr>
        <w:t>，定明預估之教育績效目標，並納入年度財務規劃報告書，由國立大學校院公告之。」</w:t>
      </w:r>
      <w:r w:rsidRPr="00105EBB">
        <w:t xml:space="preserve"> </w:t>
      </w:r>
    </w:p>
  </w:footnote>
  <w:footnote w:id="2">
    <w:p w14:paraId="3659AB1F" w14:textId="3E45173D" w:rsidR="00CE4A85" w:rsidRPr="00E466C3" w:rsidRDefault="00CE4A85" w:rsidP="001F2930">
      <w:pPr>
        <w:pStyle w:val="142"/>
      </w:pPr>
      <w:r w:rsidRPr="00E466C3">
        <w:rPr>
          <w:rStyle w:val="af2"/>
          <w:rFonts w:hAnsi="標楷體"/>
          <w:szCs w:val="24"/>
        </w:rPr>
        <w:footnoteRef/>
      </w:r>
      <w:r w:rsidRPr="00E466C3">
        <w:rPr>
          <w:rFonts w:hint="eastAsia"/>
        </w:rPr>
        <w:t>國立大學校院校務基金管理及監督辦法第23條</w:t>
      </w:r>
      <w:r>
        <w:rPr>
          <w:rFonts w:hint="eastAsia"/>
        </w:rPr>
        <w:t>規定</w:t>
      </w:r>
      <w:r w:rsidRPr="00E466C3">
        <w:rPr>
          <w:rFonts w:hint="eastAsia"/>
        </w:rPr>
        <w:t>：「學校校務基金及各項自</w:t>
      </w:r>
      <w:r w:rsidR="00267452">
        <w:rPr>
          <w:rFonts w:hint="eastAsia"/>
        </w:rPr>
        <w:t xml:space="preserve">  </w:t>
      </w:r>
      <w:r w:rsidRPr="00E466C3">
        <w:rPr>
          <w:rFonts w:hint="eastAsia"/>
        </w:rPr>
        <w:t>籌收入之執行，應以有賸餘或維持收支平衡為原則；如實際執行有短絀情形，學校應擬訂開源節流計畫，經管理委員會審議通過後執行。」「前項開源節流計畫，應包括提升學校各項自籌收入之具體措施與資本支出及人事費等各項支出之必要性檢討。」「稽核人員或稽核單位應將第1項開源節流計畫之執行情形，納入年度稽核計畫，定期追蹤其改善成效，並作成年度稽核報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D673E8">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D673E8"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D673E8">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673E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9369F-DAE5-4E43-BF19-C1B93FC4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263</Words>
  <Characters>1504</Characters>
  <Application>Microsoft Office Word</Application>
  <DocSecurity>0</DocSecurity>
  <Lines>12</Lines>
  <Paragraphs>3</Paragraphs>
  <ScaleCrop>false</ScaleCrop>
  <Company>HOME</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