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22B8B752" w14:textId="601766EB" w:rsidR="00703000" w:rsidRPr="00E429C1" w:rsidRDefault="00703000" w:rsidP="00E429C1">
      <w:pPr>
        <w:pStyle w:val="14"/>
        <w:ind w:left="567" w:hanging="567"/>
      </w:pPr>
      <w:bookmarkStart w:id="1" w:name="_Toc384304726"/>
      <w:bookmarkStart w:id="2" w:name="_Toc466981716"/>
      <w:bookmarkStart w:id="3" w:name="_Toc180413012"/>
      <w:r w:rsidRPr="00E429C1">
        <w:rPr>
          <w:rFonts w:hint="eastAsia"/>
        </w:rPr>
        <w:t>一七、</w:t>
      </w:r>
      <w:bookmarkEnd w:id="1"/>
      <w:bookmarkEnd w:id="2"/>
      <w:r w:rsidRPr="00E429C1">
        <w:rPr>
          <w:rFonts w:hint="eastAsia"/>
        </w:rPr>
        <w:t>彰化師範大學</w:t>
      </w:r>
      <w:r w:rsidRPr="00920AB4">
        <w:rPr>
          <w:rFonts w:hint="eastAsia"/>
        </w:rPr>
        <w:t>寶山校區</w:t>
      </w:r>
      <w:r>
        <w:rPr>
          <w:rFonts w:hint="eastAsia"/>
        </w:rPr>
        <w:t>相關</w:t>
      </w:r>
      <w:r w:rsidRPr="00E429C1">
        <w:rPr>
          <w:rFonts w:hint="eastAsia"/>
        </w:rPr>
        <w:t>工程</w:t>
      </w:r>
      <w:r>
        <w:rPr>
          <w:rFonts w:hint="eastAsia"/>
        </w:rPr>
        <w:t>未能辦理驗收，致預算保留多年未能執行，允宜研謀改善</w:t>
      </w:r>
      <w:bookmarkEnd w:id="3"/>
    </w:p>
    <w:p w14:paraId="235D799E" w14:textId="77777777" w:rsidR="00703000" w:rsidRDefault="00703000" w:rsidP="00F8413A">
      <w:pPr>
        <w:ind w:left="566" w:firstLine="566"/>
        <w:rPr>
          <w:snapToGrid/>
        </w:rPr>
      </w:pPr>
      <w:r>
        <w:rPr>
          <w:rFonts w:hint="eastAsia"/>
        </w:rPr>
        <w:t>國立</w:t>
      </w:r>
      <w:r w:rsidRPr="00495CF2">
        <w:rPr>
          <w:rFonts w:hint="eastAsia"/>
        </w:rPr>
        <w:t>彰化師範大學(以下簡稱彰師大)校務基金11</w:t>
      </w:r>
      <w:r>
        <w:rPr>
          <w:rFonts w:hint="eastAsia"/>
        </w:rPr>
        <w:t>4年度預算案一般建築及設備計畫編列1億1,183萬4千元，包括房屋及建築3</w:t>
      </w:r>
      <w:r>
        <w:t>,</w:t>
      </w:r>
      <w:r>
        <w:rPr>
          <w:rFonts w:hint="eastAsia"/>
        </w:rPr>
        <w:t>461萬2千元、機械及設備5</w:t>
      </w:r>
      <w:r>
        <w:t>,</w:t>
      </w:r>
      <w:r>
        <w:rPr>
          <w:rFonts w:hint="eastAsia"/>
        </w:rPr>
        <w:t>275萬元、交通及運輸設備230萬元及什項設備2</w:t>
      </w:r>
      <w:r>
        <w:t>,</w:t>
      </w:r>
      <w:r>
        <w:rPr>
          <w:rFonts w:hint="eastAsia"/>
        </w:rPr>
        <w:t>217萬2千元。經查：</w:t>
      </w:r>
    </w:p>
    <w:p w14:paraId="540F580C" w14:textId="77777777" w:rsidR="00703000" w:rsidRPr="00AF7E49" w:rsidRDefault="00703000" w:rsidP="00F8413A">
      <w:pPr>
        <w:pStyle w:val="a4"/>
        <w:ind w:left="849" w:hanging="283"/>
        <w:rPr>
          <w:b/>
          <w:snapToGrid/>
        </w:rPr>
      </w:pPr>
      <w:r w:rsidRPr="00AF7E49">
        <w:rPr>
          <w:rFonts w:hint="eastAsia"/>
          <w:b/>
          <w:snapToGrid/>
        </w:rPr>
        <w:t>(一)1</w:t>
      </w:r>
      <w:r w:rsidRPr="00AF7E49">
        <w:rPr>
          <w:b/>
          <w:snapToGrid/>
        </w:rPr>
        <w:t>12</w:t>
      </w:r>
      <w:r w:rsidRPr="00AF7E49">
        <w:rPr>
          <w:rFonts w:hint="eastAsia"/>
          <w:b/>
          <w:snapToGrid/>
        </w:rPr>
        <w:t>年度一般建築及設備計畫</w:t>
      </w:r>
      <w:r>
        <w:rPr>
          <w:rFonts w:hint="eastAsia"/>
          <w:b/>
          <w:snapToGrid/>
        </w:rPr>
        <w:t>執行率未達8成，</w:t>
      </w:r>
      <w:r w:rsidRPr="00D96325">
        <w:rPr>
          <w:rFonts w:hint="eastAsia"/>
          <w:b/>
          <w:snapToGrid/>
        </w:rPr>
        <w:t>主要係寶山校區教學大樓</w:t>
      </w:r>
      <w:r>
        <w:rPr>
          <w:rFonts w:hint="eastAsia"/>
          <w:b/>
          <w:snapToGrid/>
        </w:rPr>
        <w:t>及</w:t>
      </w:r>
      <w:r w:rsidRPr="00D96325">
        <w:rPr>
          <w:rFonts w:hint="eastAsia"/>
          <w:b/>
          <w:snapToGrid/>
        </w:rPr>
        <w:t>寶山校區風雨球場新建工程</w:t>
      </w:r>
      <w:r>
        <w:rPr>
          <w:rFonts w:hint="eastAsia"/>
          <w:b/>
          <w:snapToGrid/>
        </w:rPr>
        <w:t>進度落後</w:t>
      </w:r>
    </w:p>
    <w:p w14:paraId="6BB1A04B" w14:textId="77777777" w:rsidR="00703000" w:rsidRDefault="00703000" w:rsidP="00F8413A">
      <w:pPr>
        <w:pStyle w:val="2"/>
        <w:ind w:left="850" w:firstLine="566"/>
        <w:rPr>
          <w:snapToGrid/>
        </w:rPr>
      </w:pPr>
      <w:r>
        <w:rPr>
          <w:rFonts w:hint="eastAsia"/>
          <w:snapToGrid/>
        </w:rPr>
        <w:t>1</w:t>
      </w:r>
      <w:r>
        <w:rPr>
          <w:snapToGrid/>
        </w:rPr>
        <w:t>12</w:t>
      </w:r>
      <w:r>
        <w:rPr>
          <w:rFonts w:hint="eastAsia"/>
          <w:snapToGrid/>
        </w:rPr>
        <w:t>年度</w:t>
      </w:r>
      <w:r w:rsidRPr="00A41122">
        <w:rPr>
          <w:rFonts w:hint="eastAsia"/>
          <w:snapToGrid/>
        </w:rPr>
        <w:t>一般建築及設備計畫</w:t>
      </w:r>
      <w:r>
        <w:rPr>
          <w:rFonts w:hint="eastAsia"/>
          <w:snapToGrid/>
        </w:rPr>
        <w:t>可用預算數3億891萬元，決算數2億2</w:t>
      </w:r>
      <w:r>
        <w:rPr>
          <w:snapToGrid/>
        </w:rPr>
        <w:t>,</w:t>
      </w:r>
      <w:r>
        <w:rPr>
          <w:rFonts w:hint="eastAsia"/>
          <w:snapToGrid/>
        </w:rPr>
        <w:t>430萬8千元，執行率72.61%(詳表1)，主要係房屋建築設備執行進度落後，112年度預算需保留3</w:t>
      </w:r>
      <w:r>
        <w:rPr>
          <w:snapToGrid/>
        </w:rPr>
        <w:t>,</w:t>
      </w:r>
      <w:r>
        <w:rPr>
          <w:rFonts w:hint="eastAsia"/>
          <w:snapToGrid/>
        </w:rPr>
        <w:t>729萬2千元</w:t>
      </w:r>
      <w:r>
        <w:rPr>
          <w:rStyle w:val="af2"/>
          <w:snapToGrid/>
        </w:rPr>
        <w:footnoteReference w:id="1"/>
      </w:r>
      <w:r>
        <w:rPr>
          <w:rFonts w:hint="eastAsia"/>
          <w:snapToGrid/>
        </w:rPr>
        <w:t>，原因如下</w:t>
      </w:r>
      <w:r>
        <w:rPr>
          <w:rFonts w:hAnsi="標楷體" w:hint="eastAsia"/>
          <w:snapToGrid/>
        </w:rPr>
        <w:t>：</w:t>
      </w:r>
    </w:p>
    <w:p w14:paraId="185F5895" w14:textId="77777777" w:rsidR="00703000" w:rsidRDefault="00703000" w:rsidP="00AF7E49">
      <w:pPr>
        <w:pStyle w:val="123"/>
        <w:ind w:left="1133" w:hanging="283"/>
        <w:rPr>
          <w:snapToGrid/>
        </w:rPr>
      </w:pPr>
      <w:r>
        <w:rPr>
          <w:rFonts w:hint="eastAsia"/>
          <w:snapToGrid/>
        </w:rPr>
        <w:t>1.</w:t>
      </w:r>
      <w:r w:rsidRPr="00E429C1">
        <w:rPr>
          <w:rFonts w:hint="eastAsia"/>
          <w:snapToGrid/>
        </w:rPr>
        <w:t>寶山校區教學大樓新建工程多功能演講廳裝修工程缺失，因廠商迄未改善無法辦理驗收，目前訴訟中，爰保留相關預算</w:t>
      </w:r>
      <w:r>
        <w:rPr>
          <w:rFonts w:hint="eastAsia"/>
          <w:snapToGrid/>
        </w:rPr>
        <w:t>1</w:t>
      </w:r>
      <w:r>
        <w:rPr>
          <w:snapToGrid/>
        </w:rPr>
        <w:t>,</w:t>
      </w:r>
      <w:r>
        <w:rPr>
          <w:rFonts w:hint="eastAsia"/>
          <w:snapToGrid/>
        </w:rPr>
        <w:t>539萬</w:t>
      </w:r>
      <w:r>
        <w:rPr>
          <w:snapToGrid/>
        </w:rPr>
        <w:t>8</w:t>
      </w:r>
      <w:r>
        <w:rPr>
          <w:rFonts w:hint="eastAsia"/>
          <w:snapToGrid/>
        </w:rPr>
        <w:t>千元。</w:t>
      </w:r>
    </w:p>
    <w:p w14:paraId="1CD5FF02" w14:textId="77777777" w:rsidR="00703000" w:rsidRDefault="00703000" w:rsidP="00AF7E49">
      <w:pPr>
        <w:pStyle w:val="123"/>
        <w:ind w:left="1133" w:hanging="283"/>
      </w:pPr>
      <w:r>
        <w:rPr>
          <w:rFonts w:hint="eastAsia"/>
          <w:snapToGrid/>
        </w:rPr>
        <w:t>2.</w:t>
      </w:r>
      <w:r w:rsidRPr="00E429C1">
        <w:rPr>
          <w:rFonts w:hint="eastAsia"/>
          <w:snapToGrid/>
        </w:rPr>
        <w:t>寶山校區風雨球場新建工程細部設計多次修改而延後開標，致</w:t>
      </w:r>
      <w:r>
        <w:rPr>
          <w:rFonts w:hint="eastAsia"/>
          <w:snapToGrid/>
        </w:rPr>
        <w:t>工程</w:t>
      </w:r>
      <w:r w:rsidRPr="00E429C1">
        <w:rPr>
          <w:rFonts w:hint="eastAsia"/>
          <w:snapToGrid/>
        </w:rPr>
        <w:t>進度落後</w:t>
      </w:r>
      <w:r>
        <w:rPr>
          <w:rFonts w:hint="eastAsia"/>
          <w:snapToGrid/>
        </w:rPr>
        <w:t>，需保留2</w:t>
      </w:r>
      <w:r>
        <w:rPr>
          <w:snapToGrid/>
        </w:rPr>
        <w:t>,</w:t>
      </w:r>
      <w:r>
        <w:rPr>
          <w:rFonts w:hint="eastAsia"/>
          <w:snapToGrid/>
        </w:rPr>
        <w:t>189萬4千元</w:t>
      </w:r>
      <w:r w:rsidRPr="00E429C1">
        <w:rPr>
          <w:rFonts w:hint="eastAsia"/>
          <w:snapToGrid/>
        </w:rPr>
        <w:t>。</w:t>
      </w:r>
    </w:p>
    <w:p w14:paraId="58A4B004" w14:textId="77777777" w:rsidR="00703000" w:rsidRPr="00E429C1" w:rsidRDefault="00703000" w:rsidP="00920AB4">
      <w:pPr>
        <w:ind w:leftChars="0" w:left="567" w:hangingChars="200" w:hanging="567"/>
        <w:rPr>
          <w:sz w:val="24"/>
          <w:szCs w:val="24"/>
        </w:rPr>
      </w:pPr>
      <w:r w:rsidRPr="00E429C1">
        <w:rPr>
          <w:rFonts w:hint="eastAsia"/>
          <w:b/>
        </w:rPr>
        <w:t xml:space="preserve">表1 </w:t>
      </w:r>
      <w:r w:rsidRPr="004748C2">
        <w:rPr>
          <w:rFonts w:hint="eastAsia"/>
          <w:b/>
          <w:snapToGrid/>
          <w:spacing w:val="-14"/>
        </w:rPr>
        <w:t>彰師大</w:t>
      </w:r>
      <w:r w:rsidRPr="00E429C1">
        <w:rPr>
          <w:rFonts w:hint="eastAsia"/>
          <w:b/>
          <w:snapToGrid/>
          <w:spacing w:val="-14"/>
        </w:rPr>
        <w:t>112年</w:t>
      </w:r>
      <w:r w:rsidRPr="00AD7D51">
        <w:rPr>
          <w:rFonts w:hint="eastAsia"/>
          <w:b/>
          <w:snapToGrid/>
          <w:spacing w:val="-14"/>
        </w:rPr>
        <w:t>度</w:t>
      </w:r>
      <w:r w:rsidRPr="00AD7D51">
        <w:rPr>
          <w:rFonts w:hint="eastAsia"/>
          <w:b/>
        </w:rPr>
        <w:t>一般建築及設備計畫</w:t>
      </w:r>
      <w:r w:rsidRPr="00E429C1">
        <w:rPr>
          <w:rFonts w:hint="eastAsia"/>
          <w:b/>
          <w:snapToGrid/>
          <w:spacing w:val="-14"/>
        </w:rPr>
        <w:t>執行情形表</w:t>
      </w:r>
      <w:r>
        <w:rPr>
          <w:rFonts w:hint="eastAsia"/>
          <w:b/>
          <w:snapToGrid/>
          <w:spacing w:val="-14"/>
        </w:rPr>
        <w:t xml:space="preserve">  </w:t>
      </w:r>
      <w:r w:rsidRPr="00E429C1">
        <w:rPr>
          <w:rFonts w:hint="eastAsia"/>
          <w:snapToGrid/>
          <w:spacing w:val="-14"/>
          <w:sz w:val="24"/>
          <w:szCs w:val="24"/>
        </w:rPr>
        <w:t>單位</w:t>
      </w:r>
      <w:r>
        <w:rPr>
          <w:rFonts w:hAnsi="標楷體" w:hint="eastAsia"/>
          <w:snapToGrid/>
          <w:spacing w:val="-14"/>
          <w:sz w:val="24"/>
          <w:szCs w:val="24"/>
        </w:rPr>
        <w:t>：</w:t>
      </w:r>
      <w:r>
        <w:rPr>
          <w:rFonts w:hint="eastAsia"/>
          <w:snapToGrid/>
          <w:spacing w:val="-14"/>
          <w:sz w:val="24"/>
          <w:szCs w:val="24"/>
        </w:rPr>
        <w:t>新臺幣千元</w:t>
      </w:r>
      <w:r>
        <w:rPr>
          <w:rFonts w:ascii="新細明體" w:eastAsia="新細明體" w:hAnsi="新細明體" w:hint="eastAsia"/>
          <w:snapToGrid/>
          <w:spacing w:val="-14"/>
          <w:sz w:val="24"/>
          <w:szCs w:val="24"/>
        </w:rPr>
        <w:t>；</w:t>
      </w:r>
      <w:r>
        <w:rPr>
          <w:rFonts w:hint="eastAsia"/>
          <w:snapToGrid/>
          <w:spacing w:val="-14"/>
          <w:sz w:val="24"/>
          <w:szCs w:val="24"/>
        </w:rPr>
        <w:t>%</w:t>
      </w:r>
    </w:p>
    <w:tbl>
      <w:tblPr>
        <w:tblW w:w="852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31"/>
        <w:gridCol w:w="1026"/>
        <w:gridCol w:w="1029"/>
        <w:gridCol w:w="1052"/>
        <w:gridCol w:w="980"/>
        <w:gridCol w:w="1054"/>
        <w:gridCol w:w="1196"/>
        <w:gridCol w:w="1259"/>
      </w:tblGrid>
      <w:tr w:rsidR="00703000" w:rsidRPr="00BD1E90" w14:paraId="534ACD04" w14:textId="77777777" w:rsidTr="00A41122">
        <w:trPr>
          <w:trHeight w:val="408"/>
        </w:trPr>
        <w:tc>
          <w:tcPr>
            <w:tcW w:w="2986" w:type="dxa"/>
            <w:gridSpan w:val="3"/>
            <w:shd w:val="clear" w:color="auto" w:fill="auto"/>
            <w:noWrap/>
            <w:vAlign w:val="center"/>
            <w:hideMark/>
          </w:tcPr>
          <w:p w14:paraId="41015D73"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可用預算數</w:t>
            </w:r>
          </w:p>
        </w:tc>
        <w:tc>
          <w:tcPr>
            <w:tcW w:w="3086" w:type="dxa"/>
            <w:gridSpan w:val="3"/>
            <w:shd w:val="clear" w:color="auto" w:fill="auto"/>
            <w:noWrap/>
            <w:vAlign w:val="center"/>
            <w:hideMark/>
          </w:tcPr>
          <w:p w14:paraId="6C6AD001"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決算數</w:t>
            </w:r>
          </w:p>
        </w:tc>
        <w:tc>
          <w:tcPr>
            <w:tcW w:w="1196" w:type="dxa"/>
            <w:vMerge w:val="restart"/>
            <w:vAlign w:val="center"/>
          </w:tcPr>
          <w:p w14:paraId="58BA9E4A"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本年度保留數</w:t>
            </w:r>
          </w:p>
        </w:tc>
        <w:tc>
          <w:tcPr>
            <w:tcW w:w="1259" w:type="dxa"/>
            <w:vMerge w:val="restart"/>
            <w:shd w:val="clear" w:color="auto" w:fill="auto"/>
            <w:vAlign w:val="center"/>
            <w:hideMark/>
          </w:tcPr>
          <w:p w14:paraId="0A575454"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執行率</w:t>
            </w:r>
            <w:r w:rsidRPr="00BD1E90">
              <w:rPr>
                <w:rStyle w:val="1410"/>
                <w:rFonts w:hint="eastAsia"/>
              </w:rPr>
              <w:br/>
              <w:t>(B/A)</w:t>
            </w:r>
            <w:r w:rsidRPr="00BD1E90">
              <w:rPr>
                <w:rStyle w:val="1410"/>
              </w:rPr>
              <w:t></w:t>
            </w:r>
            <w:r w:rsidRPr="00BD1E90">
              <w:rPr>
                <w:rStyle w:val="1410"/>
                <w:rFonts w:hint="eastAsia"/>
              </w:rPr>
              <w:t>100</w:t>
            </w:r>
          </w:p>
        </w:tc>
      </w:tr>
      <w:tr w:rsidR="00703000" w:rsidRPr="00BD1E90" w14:paraId="5503C55F" w14:textId="77777777" w:rsidTr="00F8413A">
        <w:trPr>
          <w:trHeight w:val="188"/>
        </w:trPr>
        <w:tc>
          <w:tcPr>
            <w:tcW w:w="931" w:type="dxa"/>
            <w:shd w:val="clear" w:color="auto" w:fill="auto"/>
            <w:vAlign w:val="center"/>
            <w:hideMark/>
          </w:tcPr>
          <w:p w14:paraId="77A7FCA0"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以前年度保留數</w:t>
            </w:r>
          </w:p>
        </w:tc>
        <w:tc>
          <w:tcPr>
            <w:tcW w:w="1026" w:type="dxa"/>
            <w:shd w:val="clear" w:color="auto" w:fill="auto"/>
            <w:vAlign w:val="center"/>
            <w:hideMark/>
          </w:tcPr>
          <w:p w14:paraId="02936EBB"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本年度預算數</w:t>
            </w:r>
          </w:p>
        </w:tc>
        <w:tc>
          <w:tcPr>
            <w:tcW w:w="1029" w:type="dxa"/>
            <w:shd w:val="clear" w:color="auto" w:fill="auto"/>
            <w:vAlign w:val="center"/>
            <w:hideMark/>
          </w:tcPr>
          <w:p w14:paraId="6D0B9EEC" w14:textId="77777777" w:rsidR="00703000" w:rsidRPr="00BD1E90" w:rsidRDefault="00703000" w:rsidP="00AD7D51">
            <w:pPr>
              <w:widowControl/>
              <w:spacing w:line="240" w:lineRule="exact"/>
              <w:ind w:leftChars="0" w:left="0" w:firstLineChars="0" w:firstLine="0"/>
              <w:jc w:val="center"/>
              <w:rPr>
                <w:rStyle w:val="1410"/>
              </w:rPr>
            </w:pPr>
            <w:r w:rsidRPr="00BD1E90">
              <w:rPr>
                <w:rStyle w:val="1410"/>
                <w:rFonts w:hint="eastAsia"/>
              </w:rPr>
              <w:t>可用預算數合計</w:t>
            </w:r>
            <w:r w:rsidRPr="00BD1E90">
              <w:rPr>
                <w:rStyle w:val="1410"/>
                <w:rFonts w:hint="eastAsia"/>
              </w:rPr>
              <w:br/>
              <w:t>(A)</w:t>
            </w:r>
          </w:p>
        </w:tc>
        <w:tc>
          <w:tcPr>
            <w:tcW w:w="1052" w:type="dxa"/>
            <w:shd w:val="clear" w:color="auto" w:fill="auto"/>
            <w:vAlign w:val="center"/>
            <w:hideMark/>
          </w:tcPr>
          <w:p w14:paraId="71DCBD45"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以前年度保留數</w:t>
            </w:r>
          </w:p>
        </w:tc>
        <w:tc>
          <w:tcPr>
            <w:tcW w:w="980" w:type="dxa"/>
            <w:shd w:val="clear" w:color="auto" w:fill="auto"/>
            <w:vAlign w:val="center"/>
            <w:hideMark/>
          </w:tcPr>
          <w:p w14:paraId="3C55E273"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本年度預算數</w:t>
            </w:r>
          </w:p>
        </w:tc>
        <w:tc>
          <w:tcPr>
            <w:tcW w:w="1054" w:type="dxa"/>
            <w:shd w:val="clear" w:color="auto" w:fill="auto"/>
            <w:vAlign w:val="center"/>
            <w:hideMark/>
          </w:tcPr>
          <w:p w14:paraId="45DD1C49"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決算數 合計</w:t>
            </w:r>
            <w:r w:rsidRPr="00BD1E90">
              <w:rPr>
                <w:rStyle w:val="1410"/>
                <w:rFonts w:hint="eastAsia"/>
              </w:rPr>
              <w:br/>
              <w:t>(B)</w:t>
            </w:r>
          </w:p>
        </w:tc>
        <w:tc>
          <w:tcPr>
            <w:tcW w:w="1196" w:type="dxa"/>
            <w:vMerge/>
          </w:tcPr>
          <w:p w14:paraId="4E92F370" w14:textId="77777777" w:rsidR="00703000" w:rsidRPr="00BD1E90" w:rsidRDefault="00703000" w:rsidP="00E429C1">
            <w:pPr>
              <w:widowControl/>
              <w:spacing w:line="240" w:lineRule="exact"/>
              <w:ind w:leftChars="0" w:left="0" w:firstLineChars="0" w:firstLine="0"/>
              <w:jc w:val="left"/>
              <w:rPr>
                <w:rStyle w:val="1410"/>
              </w:rPr>
            </w:pPr>
          </w:p>
        </w:tc>
        <w:tc>
          <w:tcPr>
            <w:tcW w:w="1259" w:type="dxa"/>
            <w:vMerge/>
            <w:vAlign w:val="center"/>
            <w:hideMark/>
          </w:tcPr>
          <w:p w14:paraId="7691DE22" w14:textId="77777777" w:rsidR="00703000" w:rsidRPr="00BD1E90" w:rsidRDefault="00703000" w:rsidP="00E429C1">
            <w:pPr>
              <w:widowControl/>
              <w:spacing w:line="240" w:lineRule="exact"/>
              <w:ind w:leftChars="0" w:left="0" w:firstLineChars="0" w:firstLine="0"/>
              <w:jc w:val="left"/>
              <w:rPr>
                <w:rStyle w:val="1410"/>
              </w:rPr>
            </w:pPr>
          </w:p>
        </w:tc>
      </w:tr>
      <w:tr w:rsidR="00703000" w:rsidRPr="00BD1E90" w14:paraId="5AF82D84" w14:textId="77777777" w:rsidTr="00F8413A">
        <w:trPr>
          <w:trHeight w:val="474"/>
        </w:trPr>
        <w:tc>
          <w:tcPr>
            <w:tcW w:w="931" w:type="dxa"/>
            <w:shd w:val="clear" w:color="auto" w:fill="auto"/>
            <w:vAlign w:val="center"/>
            <w:hideMark/>
          </w:tcPr>
          <w:p w14:paraId="0CB7B3A4"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39,688 </w:t>
            </w:r>
          </w:p>
        </w:tc>
        <w:tc>
          <w:tcPr>
            <w:tcW w:w="1026" w:type="dxa"/>
            <w:shd w:val="clear" w:color="auto" w:fill="auto"/>
            <w:vAlign w:val="center"/>
            <w:hideMark/>
          </w:tcPr>
          <w:p w14:paraId="7E736427"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269,222 </w:t>
            </w:r>
          </w:p>
        </w:tc>
        <w:tc>
          <w:tcPr>
            <w:tcW w:w="1029" w:type="dxa"/>
            <w:shd w:val="clear" w:color="auto" w:fill="auto"/>
            <w:vAlign w:val="center"/>
            <w:hideMark/>
          </w:tcPr>
          <w:p w14:paraId="2BD63A9C"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308,910 </w:t>
            </w:r>
          </w:p>
        </w:tc>
        <w:tc>
          <w:tcPr>
            <w:tcW w:w="1052" w:type="dxa"/>
            <w:shd w:val="clear" w:color="auto" w:fill="auto"/>
            <w:vAlign w:val="center"/>
            <w:hideMark/>
          </w:tcPr>
          <w:p w14:paraId="549331B0"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2,396 </w:t>
            </w:r>
          </w:p>
        </w:tc>
        <w:tc>
          <w:tcPr>
            <w:tcW w:w="980" w:type="dxa"/>
            <w:shd w:val="clear" w:color="auto" w:fill="auto"/>
            <w:vAlign w:val="center"/>
            <w:hideMark/>
          </w:tcPr>
          <w:p w14:paraId="2DE5FD90"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221,912 </w:t>
            </w:r>
          </w:p>
        </w:tc>
        <w:tc>
          <w:tcPr>
            <w:tcW w:w="1054" w:type="dxa"/>
            <w:shd w:val="clear" w:color="auto" w:fill="auto"/>
            <w:vAlign w:val="center"/>
            <w:hideMark/>
          </w:tcPr>
          <w:p w14:paraId="6B3D41DF"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224,308 </w:t>
            </w:r>
          </w:p>
        </w:tc>
        <w:tc>
          <w:tcPr>
            <w:tcW w:w="1196" w:type="dxa"/>
          </w:tcPr>
          <w:p w14:paraId="2814E992" w14:textId="77777777" w:rsidR="00703000" w:rsidRPr="00BD1E90" w:rsidRDefault="00703000" w:rsidP="00E429C1">
            <w:pPr>
              <w:widowControl/>
              <w:spacing w:line="240" w:lineRule="auto"/>
              <w:ind w:leftChars="0" w:left="0" w:firstLineChars="0" w:firstLine="0"/>
              <w:jc w:val="right"/>
              <w:rPr>
                <w:rStyle w:val="1410"/>
              </w:rPr>
            </w:pPr>
            <w:r w:rsidRPr="00BD1E90">
              <w:rPr>
                <w:rStyle w:val="1410"/>
                <w:rFonts w:hint="eastAsia"/>
              </w:rPr>
              <w:t>37</w:t>
            </w:r>
            <w:r w:rsidRPr="00BD1E90">
              <w:rPr>
                <w:rStyle w:val="1410"/>
              </w:rPr>
              <w:t>,</w:t>
            </w:r>
            <w:r w:rsidRPr="00BD1E90">
              <w:rPr>
                <w:rStyle w:val="1410"/>
                <w:rFonts w:hint="eastAsia"/>
              </w:rPr>
              <w:t>292</w:t>
            </w:r>
          </w:p>
        </w:tc>
        <w:tc>
          <w:tcPr>
            <w:tcW w:w="1259" w:type="dxa"/>
            <w:shd w:val="clear" w:color="auto" w:fill="auto"/>
            <w:noWrap/>
            <w:vAlign w:val="center"/>
            <w:hideMark/>
          </w:tcPr>
          <w:p w14:paraId="45514CB2" w14:textId="77777777" w:rsidR="00703000" w:rsidRPr="00BD1E90" w:rsidRDefault="00703000" w:rsidP="00E429C1">
            <w:pPr>
              <w:widowControl/>
              <w:spacing w:line="240" w:lineRule="auto"/>
              <w:ind w:leftChars="0" w:left="0" w:firstLineChars="0" w:firstLine="0"/>
              <w:jc w:val="right"/>
              <w:rPr>
                <w:rStyle w:val="1410"/>
              </w:rPr>
            </w:pPr>
            <w:r w:rsidRPr="00BD1E90">
              <w:rPr>
                <w:rStyle w:val="1410"/>
                <w:rFonts w:hint="eastAsia"/>
              </w:rPr>
              <w:t xml:space="preserve">72.61 </w:t>
            </w:r>
          </w:p>
        </w:tc>
      </w:tr>
    </w:tbl>
    <w:p w14:paraId="7DF70D85" w14:textId="77777777" w:rsidR="00703000" w:rsidRDefault="00703000" w:rsidP="004748C2">
      <w:pPr>
        <w:widowControl/>
        <w:spacing w:line="240" w:lineRule="exact"/>
        <w:ind w:leftChars="0" w:left="0" w:firstLineChars="0" w:firstLine="0"/>
        <w:jc w:val="left"/>
        <w:rPr>
          <w:rStyle w:val="1410"/>
        </w:rPr>
      </w:pPr>
      <w:r>
        <w:rPr>
          <w:rStyle w:val="1410"/>
          <w:rFonts w:hint="eastAsia"/>
        </w:rPr>
        <w:t>資料來源</w:t>
      </w:r>
      <w:r>
        <w:rPr>
          <w:rStyle w:val="1410"/>
          <w:rFonts w:hAnsi="標楷體" w:hint="eastAsia"/>
        </w:rPr>
        <w:t>：</w:t>
      </w:r>
      <w:r w:rsidRPr="004748C2">
        <w:rPr>
          <w:rStyle w:val="1410"/>
          <w:rFonts w:hAnsi="標楷體" w:hint="eastAsia"/>
        </w:rPr>
        <w:t>彰師大</w:t>
      </w:r>
      <w:r>
        <w:rPr>
          <w:rStyle w:val="1410"/>
          <w:rFonts w:hAnsi="標楷體" w:hint="eastAsia"/>
        </w:rPr>
        <w:t>112年度決算書。</w:t>
      </w:r>
    </w:p>
    <w:p w14:paraId="09CEAF17" w14:textId="77777777" w:rsidR="00703000" w:rsidRPr="00D96325" w:rsidRDefault="00703000" w:rsidP="004748C2">
      <w:pPr>
        <w:pStyle w:val="a4"/>
        <w:ind w:left="849" w:hanging="283"/>
        <w:rPr>
          <w:b/>
        </w:rPr>
      </w:pPr>
      <w:r w:rsidRPr="00D96325">
        <w:rPr>
          <w:rFonts w:hint="eastAsia"/>
          <w:b/>
        </w:rPr>
        <w:lastRenderedPageBreak/>
        <w:t>(二)以前年度保留數因</w:t>
      </w:r>
      <w:r>
        <w:rPr>
          <w:rFonts w:hint="eastAsia"/>
          <w:b/>
        </w:rPr>
        <w:t>辦理</w:t>
      </w:r>
      <w:r w:rsidRPr="00920AB4">
        <w:rPr>
          <w:rFonts w:hint="eastAsia"/>
          <w:b/>
        </w:rPr>
        <w:t>訴訟程序</w:t>
      </w:r>
      <w:r>
        <w:rPr>
          <w:rFonts w:hint="eastAsia"/>
          <w:b/>
        </w:rPr>
        <w:t>中或招標延後</w:t>
      </w:r>
      <w:r w:rsidRPr="00D96325">
        <w:rPr>
          <w:rFonts w:hint="eastAsia"/>
          <w:b/>
        </w:rPr>
        <w:t>等因素</w:t>
      </w:r>
      <w:r>
        <w:rPr>
          <w:rFonts w:hint="eastAsia"/>
          <w:b/>
        </w:rPr>
        <w:t>，未能完成驗收作業，尚需辦理保留</w:t>
      </w:r>
      <w:r w:rsidRPr="00D96325">
        <w:rPr>
          <w:rFonts w:hint="eastAsia"/>
          <w:b/>
        </w:rPr>
        <w:t xml:space="preserve"> </w:t>
      </w:r>
    </w:p>
    <w:p w14:paraId="591FBDED" w14:textId="77777777" w:rsidR="00703000" w:rsidRDefault="00703000" w:rsidP="00D93D8F">
      <w:pPr>
        <w:pStyle w:val="2"/>
        <w:ind w:left="850" w:firstLine="566"/>
        <w:rPr>
          <w:rFonts w:hAnsi="標楷體" w:cs="新細明體"/>
          <w:noProof/>
        </w:rPr>
      </w:pPr>
      <w:r>
        <w:rPr>
          <w:rFonts w:hint="eastAsia"/>
        </w:rPr>
        <w:t>113年度截至7月底止，</w:t>
      </w:r>
      <w:r w:rsidRPr="005E1CE0">
        <w:rPr>
          <w:rFonts w:hint="eastAsia"/>
        </w:rPr>
        <w:t>以前年</w:t>
      </w:r>
      <w:r>
        <w:rPr>
          <w:rFonts w:hint="eastAsia"/>
        </w:rPr>
        <w:t>度</w:t>
      </w:r>
      <w:r w:rsidRPr="005E1CE0">
        <w:rPr>
          <w:rFonts w:hint="eastAsia"/>
        </w:rPr>
        <w:t>保留數</w:t>
      </w:r>
      <w:r>
        <w:rPr>
          <w:rFonts w:hint="eastAsia"/>
        </w:rPr>
        <w:t>餘</w:t>
      </w:r>
      <w:r w:rsidRPr="00D93D8F">
        <w:rPr>
          <w:rFonts w:hint="eastAsia"/>
        </w:rPr>
        <w:t>額</w:t>
      </w:r>
      <w:r w:rsidRPr="00D93D8F">
        <w:rPr>
          <w:rFonts w:hAnsi="標楷體" w:cs="新細明體"/>
          <w:noProof/>
        </w:rPr>
        <w:t>5,025</w:t>
      </w:r>
      <w:r w:rsidRPr="00D93D8F">
        <w:rPr>
          <w:rFonts w:hAnsi="標楷體" w:cs="新細明體" w:hint="eastAsia"/>
          <w:noProof/>
        </w:rPr>
        <w:t>萬2千元</w:t>
      </w:r>
      <w:r>
        <w:rPr>
          <w:rFonts w:hint="eastAsia"/>
          <w:snapToGrid/>
        </w:rPr>
        <w:t>(詳表2)</w:t>
      </w:r>
      <w:r>
        <w:rPr>
          <w:rFonts w:hAnsi="標楷體" w:cs="新細明體" w:hint="eastAsia"/>
          <w:noProof/>
        </w:rPr>
        <w:t>，保留原因如下：</w:t>
      </w:r>
    </w:p>
    <w:p w14:paraId="31C60C42" w14:textId="77777777" w:rsidR="00703000" w:rsidRPr="00D93D8F" w:rsidRDefault="00703000" w:rsidP="00D93D8F">
      <w:pPr>
        <w:pStyle w:val="123"/>
        <w:ind w:left="1133" w:hanging="283"/>
      </w:pPr>
      <w:r w:rsidRPr="00B36EAD">
        <w:rPr>
          <w:rFonts w:hint="eastAsia"/>
          <w:b/>
        </w:rPr>
        <w:t>1.108(含)</w:t>
      </w:r>
      <w:r>
        <w:rPr>
          <w:rFonts w:hint="eastAsia"/>
          <w:b/>
        </w:rPr>
        <w:t>年度</w:t>
      </w:r>
      <w:r w:rsidRPr="00B36EAD">
        <w:rPr>
          <w:rFonts w:hint="eastAsia"/>
          <w:b/>
        </w:rPr>
        <w:t>以前</w:t>
      </w:r>
      <w:r>
        <w:rPr>
          <w:rFonts w:hAnsi="標楷體" w:hint="eastAsia"/>
        </w:rPr>
        <w:t>：</w:t>
      </w:r>
      <w:r w:rsidRPr="00D93D8F">
        <w:rPr>
          <w:rFonts w:hint="eastAsia"/>
        </w:rPr>
        <w:t>寶山校區教學大樓多功能演講廳裝修工程因承商未依契約規定施做防火角材且拒不改善，</w:t>
      </w:r>
      <w:r>
        <w:rPr>
          <w:rFonts w:hint="eastAsia"/>
        </w:rPr>
        <w:t>該</w:t>
      </w:r>
      <w:r w:rsidRPr="00D93D8F">
        <w:rPr>
          <w:rFonts w:hint="eastAsia"/>
        </w:rPr>
        <w:t>校終止契約及扣留工程款，承商向法院提出給付工程款訴訟，目前高等法院審理中，因訴訟程序尚未結束，需保留未執行之預算</w:t>
      </w:r>
      <w:r>
        <w:rPr>
          <w:rFonts w:hint="eastAsia"/>
        </w:rPr>
        <w:t>1</w:t>
      </w:r>
      <w:r>
        <w:t>,</w:t>
      </w:r>
      <w:r>
        <w:rPr>
          <w:rFonts w:hint="eastAsia"/>
        </w:rPr>
        <w:t>539萬9千元。</w:t>
      </w:r>
    </w:p>
    <w:p w14:paraId="15D10DAE" w14:textId="77777777" w:rsidR="00703000" w:rsidRDefault="00703000" w:rsidP="005D7807">
      <w:pPr>
        <w:pStyle w:val="123"/>
        <w:ind w:left="1133" w:hanging="283"/>
      </w:pPr>
      <w:r w:rsidRPr="00B36EAD">
        <w:rPr>
          <w:rFonts w:hint="eastAsia"/>
          <w:b/>
        </w:rPr>
        <w:t>2</w:t>
      </w:r>
      <w:r w:rsidRPr="00B36EAD">
        <w:rPr>
          <w:b/>
        </w:rPr>
        <w:t>.</w:t>
      </w:r>
      <w:r w:rsidRPr="00B36EAD">
        <w:rPr>
          <w:rFonts w:hint="eastAsia"/>
          <w:b/>
        </w:rPr>
        <w:t>111年度</w:t>
      </w:r>
      <w:r>
        <w:rPr>
          <w:rFonts w:hAnsi="標楷體" w:hint="eastAsia"/>
        </w:rPr>
        <w:t>：</w:t>
      </w:r>
      <w:r w:rsidRPr="005D7807">
        <w:rPr>
          <w:rFonts w:hint="eastAsia"/>
        </w:rPr>
        <w:t>寶山校區風雨球場(第1期)新建工程招標期間多次修改文件而延後開標，致整體計畫時程進度落後</w:t>
      </w:r>
      <w:r>
        <w:rPr>
          <w:rFonts w:hint="eastAsia"/>
        </w:rPr>
        <w:t>，需保留預算972萬7千元。</w:t>
      </w:r>
    </w:p>
    <w:p w14:paraId="10068D8D" w14:textId="77777777" w:rsidR="00703000" w:rsidRPr="005D7807" w:rsidRDefault="00703000" w:rsidP="005D7807">
      <w:pPr>
        <w:pStyle w:val="123"/>
        <w:ind w:left="1133" w:hanging="283"/>
      </w:pPr>
      <w:r w:rsidRPr="00B36EAD">
        <w:rPr>
          <w:rFonts w:hint="eastAsia"/>
          <w:b/>
        </w:rPr>
        <w:t>3</w:t>
      </w:r>
      <w:r w:rsidRPr="00B36EAD">
        <w:rPr>
          <w:b/>
        </w:rPr>
        <w:t>.</w:t>
      </w:r>
      <w:r w:rsidRPr="00B36EAD">
        <w:rPr>
          <w:rFonts w:hint="eastAsia"/>
          <w:b/>
        </w:rPr>
        <w:t>112年度</w:t>
      </w:r>
      <w:r>
        <w:rPr>
          <w:rFonts w:hAnsi="標楷體" w:hint="eastAsia"/>
        </w:rPr>
        <w:t>：</w:t>
      </w:r>
      <w:r w:rsidRPr="005D7807">
        <w:rPr>
          <w:rFonts w:hint="eastAsia"/>
        </w:rPr>
        <w:t>寶山校區教學大樓多功能演講廳裝修工程因承商未依契約規定施做</w:t>
      </w:r>
      <w:r>
        <w:rPr>
          <w:rFonts w:hint="eastAsia"/>
        </w:rPr>
        <w:t>，</w:t>
      </w:r>
      <w:r w:rsidRPr="00D93D8F">
        <w:rPr>
          <w:rFonts w:hint="eastAsia"/>
        </w:rPr>
        <w:t>訴訟程序尚未結束</w:t>
      </w:r>
      <w:r>
        <w:rPr>
          <w:rFonts w:hint="eastAsia"/>
        </w:rPr>
        <w:t>；</w:t>
      </w:r>
      <w:r w:rsidRPr="005D7807">
        <w:rPr>
          <w:rFonts w:hint="eastAsia"/>
        </w:rPr>
        <w:t>風雨球場(第1期)新建工程招標期間多次修改文件而延後開標</w:t>
      </w:r>
      <w:r>
        <w:rPr>
          <w:rFonts w:hint="eastAsia"/>
        </w:rPr>
        <w:t>(</w:t>
      </w:r>
      <w:r w:rsidRPr="005D7807">
        <w:rPr>
          <w:rFonts w:hint="eastAsia"/>
        </w:rPr>
        <w:t>已於112年10月6日開工</w:t>
      </w:r>
      <w:r>
        <w:rPr>
          <w:rFonts w:hint="eastAsia"/>
        </w:rPr>
        <w:t>)</w:t>
      </w:r>
      <w:r w:rsidRPr="005D7807">
        <w:rPr>
          <w:rFonts w:hint="eastAsia"/>
        </w:rPr>
        <w:t>，致整體計畫時程進度落後，</w:t>
      </w:r>
      <w:r>
        <w:rPr>
          <w:rFonts w:hint="eastAsia"/>
        </w:rPr>
        <w:t>需保留預算2</w:t>
      </w:r>
      <w:r>
        <w:t>,</w:t>
      </w:r>
      <w:r>
        <w:rPr>
          <w:rFonts w:hint="eastAsia"/>
        </w:rPr>
        <w:t>512萬6千元。</w:t>
      </w:r>
    </w:p>
    <w:p w14:paraId="66711CAF" w14:textId="77777777" w:rsidR="00703000" w:rsidRPr="00BD1E90" w:rsidRDefault="00703000" w:rsidP="00BD1E90">
      <w:pPr>
        <w:ind w:leftChars="0" w:left="0" w:firstLineChars="0" w:firstLine="0"/>
        <w:rPr>
          <w:b/>
        </w:rPr>
      </w:pPr>
      <w:r w:rsidRPr="00BD1E90">
        <w:rPr>
          <w:rFonts w:hint="eastAsia"/>
          <w:b/>
        </w:rPr>
        <w:t xml:space="preserve">表2 </w:t>
      </w:r>
      <w:r w:rsidRPr="00BD1E90">
        <w:rPr>
          <w:rFonts w:hint="eastAsia"/>
          <w:b/>
          <w:snapToGrid/>
          <w:spacing w:val="-14"/>
        </w:rPr>
        <w:t>彰師大113年度截至7月底止</w:t>
      </w:r>
      <w:r w:rsidRPr="00BD1E90">
        <w:rPr>
          <w:rFonts w:hint="eastAsia"/>
          <w:b/>
        </w:rPr>
        <w:t>以前年度保留數明細表</w:t>
      </w:r>
    </w:p>
    <w:p w14:paraId="1C6643D6" w14:textId="77777777" w:rsidR="00703000" w:rsidRPr="00BD1E90" w:rsidRDefault="00703000" w:rsidP="00BD1E90">
      <w:pPr>
        <w:ind w:left="566" w:firstLine="486"/>
        <w:jc w:val="right"/>
        <w:rPr>
          <w:b/>
          <w:sz w:val="24"/>
          <w:szCs w:val="24"/>
        </w:rPr>
      </w:pPr>
      <w:r w:rsidRPr="00BD1E90">
        <w:rPr>
          <w:rFonts w:hint="eastAsia"/>
          <w:snapToGrid/>
          <w:sz w:val="24"/>
          <w:szCs w:val="24"/>
        </w:rPr>
        <w:t>單位</w:t>
      </w:r>
      <w:r w:rsidRPr="00BD1E90">
        <w:rPr>
          <w:rFonts w:hAnsi="標楷體" w:hint="eastAsia"/>
          <w:snapToGrid/>
          <w:sz w:val="24"/>
          <w:szCs w:val="24"/>
        </w:rPr>
        <w:t>：</w:t>
      </w:r>
      <w:r w:rsidRPr="00BD1E90">
        <w:rPr>
          <w:rFonts w:hint="eastAsia"/>
          <w:snapToGrid/>
          <w:sz w:val="24"/>
          <w:szCs w:val="24"/>
        </w:rPr>
        <w:t>新臺幣千元</w:t>
      </w:r>
    </w:p>
    <w:tbl>
      <w:tblPr>
        <w:tblW w:w="848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000000" w:fill="FFFFFF"/>
        <w:tblCellMar>
          <w:left w:w="28" w:type="dxa"/>
          <w:right w:w="28" w:type="dxa"/>
        </w:tblCellMar>
        <w:tblLook w:val="04A0" w:firstRow="1" w:lastRow="0" w:firstColumn="1" w:lastColumn="0" w:noHBand="0" w:noVBand="1"/>
      </w:tblPr>
      <w:tblGrid>
        <w:gridCol w:w="2393"/>
        <w:gridCol w:w="2762"/>
        <w:gridCol w:w="3325"/>
      </w:tblGrid>
      <w:tr w:rsidR="00703000" w:rsidRPr="00AC56C0" w14:paraId="0CA35D16" w14:textId="77777777" w:rsidTr="00920AB4">
        <w:trPr>
          <w:trHeight w:val="325"/>
        </w:trPr>
        <w:tc>
          <w:tcPr>
            <w:tcW w:w="2393" w:type="dxa"/>
            <w:shd w:val="clear" w:color="000000" w:fill="FFFFFF"/>
            <w:vAlign w:val="center"/>
          </w:tcPr>
          <w:p w14:paraId="1A452F8D"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預算保留年度</w:t>
            </w:r>
          </w:p>
        </w:tc>
        <w:tc>
          <w:tcPr>
            <w:tcW w:w="2762" w:type="dxa"/>
            <w:shd w:val="clear" w:color="000000" w:fill="FFFFFF"/>
            <w:vAlign w:val="center"/>
          </w:tcPr>
          <w:p w14:paraId="6B3E00A6"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112年度保留數轉入數</w:t>
            </w:r>
          </w:p>
        </w:tc>
        <w:tc>
          <w:tcPr>
            <w:tcW w:w="3325" w:type="dxa"/>
            <w:shd w:val="clear" w:color="000000" w:fill="FFFFFF"/>
            <w:vAlign w:val="center"/>
          </w:tcPr>
          <w:p w14:paraId="44ABC4A2"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113年度截至7月底止餘額</w:t>
            </w:r>
          </w:p>
        </w:tc>
      </w:tr>
      <w:tr w:rsidR="00703000" w:rsidRPr="00AC56C0" w14:paraId="15C0C367" w14:textId="77777777" w:rsidTr="00920AB4">
        <w:trPr>
          <w:trHeight w:val="225"/>
        </w:trPr>
        <w:tc>
          <w:tcPr>
            <w:tcW w:w="2393" w:type="dxa"/>
            <w:shd w:val="clear" w:color="000000" w:fill="FFFFFF"/>
            <w:vAlign w:val="center"/>
            <w:hideMark/>
          </w:tcPr>
          <w:p w14:paraId="7236CD7C"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108(含)以前</w:t>
            </w:r>
          </w:p>
        </w:tc>
        <w:tc>
          <w:tcPr>
            <w:tcW w:w="2762" w:type="dxa"/>
            <w:shd w:val="clear" w:color="000000" w:fill="FFFFFF"/>
            <w:vAlign w:val="center"/>
            <w:hideMark/>
          </w:tcPr>
          <w:p w14:paraId="3B760C9A"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 xml:space="preserve">15,399 </w:t>
            </w:r>
          </w:p>
        </w:tc>
        <w:tc>
          <w:tcPr>
            <w:tcW w:w="3325" w:type="dxa"/>
            <w:shd w:val="clear" w:color="000000" w:fill="FFFFFF"/>
            <w:vAlign w:val="center"/>
          </w:tcPr>
          <w:p w14:paraId="3ACE41D8"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1</w:t>
            </w:r>
            <w:r w:rsidRPr="00BD1E90">
              <w:rPr>
                <w:rStyle w:val="1410"/>
              </w:rPr>
              <w:t>5,399</w:t>
            </w:r>
          </w:p>
        </w:tc>
      </w:tr>
      <w:tr w:rsidR="00703000" w:rsidRPr="00AC56C0" w14:paraId="01CC2C02" w14:textId="77777777" w:rsidTr="00920AB4">
        <w:trPr>
          <w:trHeight w:val="261"/>
        </w:trPr>
        <w:tc>
          <w:tcPr>
            <w:tcW w:w="2393" w:type="dxa"/>
            <w:shd w:val="clear" w:color="000000" w:fill="FFFFFF"/>
            <w:vAlign w:val="center"/>
          </w:tcPr>
          <w:p w14:paraId="1F150848"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111</w:t>
            </w:r>
          </w:p>
        </w:tc>
        <w:tc>
          <w:tcPr>
            <w:tcW w:w="2762" w:type="dxa"/>
            <w:shd w:val="clear" w:color="000000" w:fill="FFFFFF"/>
            <w:vAlign w:val="center"/>
          </w:tcPr>
          <w:p w14:paraId="04EB7F09"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 xml:space="preserve">21,894 </w:t>
            </w:r>
          </w:p>
        </w:tc>
        <w:tc>
          <w:tcPr>
            <w:tcW w:w="3325" w:type="dxa"/>
            <w:shd w:val="clear" w:color="000000" w:fill="FFFFFF"/>
            <w:vAlign w:val="center"/>
          </w:tcPr>
          <w:p w14:paraId="59753DAE" w14:textId="77777777" w:rsidR="00703000" w:rsidRPr="00BD1E90" w:rsidRDefault="00703000" w:rsidP="00D96325">
            <w:pPr>
              <w:spacing w:line="240" w:lineRule="exact"/>
              <w:ind w:leftChars="0" w:left="0" w:firstLineChars="0" w:firstLine="0"/>
              <w:jc w:val="right"/>
              <w:rPr>
                <w:rStyle w:val="1410"/>
                <w:highlight w:val="green"/>
              </w:rPr>
            </w:pPr>
            <w:r w:rsidRPr="00BD1E90">
              <w:rPr>
                <w:rStyle w:val="1410"/>
              </w:rPr>
              <w:t>9,727</w:t>
            </w:r>
          </w:p>
        </w:tc>
      </w:tr>
      <w:tr w:rsidR="00703000" w:rsidRPr="00AC56C0" w14:paraId="4E7A81B9" w14:textId="77777777" w:rsidTr="00920AB4">
        <w:trPr>
          <w:trHeight w:val="158"/>
        </w:trPr>
        <w:tc>
          <w:tcPr>
            <w:tcW w:w="2393" w:type="dxa"/>
            <w:shd w:val="clear" w:color="000000" w:fill="FFFFFF"/>
            <w:vAlign w:val="center"/>
          </w:tcPr>
          <w:p w14:paraId="10C0FC81"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112</w:t>
            </w:r>
          </w:p>
        </w:tc>
        <w:tc>
          <w:tcPr>
            <w:tcW w:w="2762" w:type="dxa"/>
            <w:shd w:val="clear" w:color="000000" w:fill="FFFFFF"/>
            <w:vAlign w:val="center"/>
          </w:tcPr>
          <w:p w14:paraId="56A3A80C"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37</w:t>
            </w:r>
            <w:r w:rsidRPr="00BD1E90">
              <w:rPr>
                <w:rStyle w:val="1410"/>
              </w:rPr>
              <w:t>,</w:t>
            </w:r>
            <w:r w:rsidRPr="00BD1E90">
              <w:rPr>
                <w:rStyle w:val="1410"/>
                <w:rFonts w:hint="eastAsia"/>
              </w:rPr>
              <w:t>292</w:t>
            </w:r>
          </w:p>
        </w:tc>
        <w:tc>
          <w:tcPr>
            <w:tcW w:w="3325" w:type="dxa"/>
            <w:shd w:val="clear" w:color="000000" w:fill="FFFFFF"/>
            <w:vAlign w:val="center"/>
          </w:tcPr>
          <w:p w14:paraId="5F72B444" w14:textId="77777777" w:rsidR="00703000" w:rsidRPr="00BD1E90" w:rsidRDefault="00703000" w:rsidP="00D96325">
            <w:pPr>
              <w:spacing w:line="240" w:lineRule="exact"/>
              <w:ind w:leftChars="0" w:left="0" w:firstLineChars="0" w:firstLine="0"/>
              <w:jc w:val="right"/>
              <w:rPr>
                <w:rStyle w:val="1410"/>
              </w:rPr>
            </w:pPr>
            <w:r w:rsidRPr="00BD1E90">
              <w:rPr>
                <w:rStyle w:val="1410"/>
              </w:rPr>
              <w:t>25,126</w:t>
            </w:r>
          </w:p>
        </w:tc>
      </w:tr>
      <w:tr w:rsidR="00703000" w:rsidRPr="00AC56C0" w14:paraId="3479D9A4" w14:textId="77777777" w:rsidTr="00920AB4">
        <w:trPr>
          <w:trHeight w:val="295"/>
        </w:trPr>
        <w:tc>
          <w:tcPr>
            <w:tcW w:w="2393" w:type="dxa"/>
            <w:shd w:val="clear" w:color="000000" w:fill="FFFFFF"/>
            <w:vAlign w:val="center"/>
          </w:tcPr>
          <w:p w14:paraId="4CCF7B0F"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合計</w:t>
            </w:r>
          </w:p>
        </w:tc>
        <w:tc>
          <w:tcPr>
            <w:tcW w:w="2762" w:type="dxa"/>
            <w:shd w:val="clear" w:color="000000" w:fill="FFFFFF"/>
            <w:vAlign w:val="center"/>
          </w:tcPr>
          <w:p w14:paraId="4EB0DB05" w14:textId="77777777" w:rsidR="00703000" w:rsidRPr="00BD1E90" w:rsidRDefault="00703000" w:rsidP="00D96325">
            <w:pPr>
              <w:spacing w:line="240" w:lineRule="exact"/>
              <w:ind w:leftChars="0" w:left="0" w:firstLineChars="0" w:firstLine="0"/>
              <w:jc w:val="right"/>
              <w:rPr>
                <w:rStyle w:val="1410"/>
              </w:rPr>
            </w:pPr>
            <w:r w:rsidRPr="00BD1E90">
              <w:rPr>
                <w:rStyle w:val="1410"/>
              </w:rPr>
              <w:fldChar w:fldCharType="begin"/>
            </w:r>
            <w:r w:rsidRPr="00BD1E90">
              <w:rPr>
                <w:rStyle w:val="1410"/>
              </w:rPr>
              <w:instrText xml:space="preserve"> </w:instrText>
            </w:r>
            <w:r w:rsidRPr="00BD1E90">
              <w:rPr>
                <w:rStyle w:val="1410"/>
                <w:rFonts w:hint="eastAsia"/>
              </w:rPr>
              <w:instrText>=SUM(ABOVE)</w:instrText>
            </w:r>
            <w:r w:rsidRPr="00BD1E90">
              <w:rPr>
                <w:rStyle w:val="1410"/>
              </w:rPr>
              <w:instrText xml:space="preserve"> </w:instrText>
            </w:r>
            <w:r w:rsidRPr="00BD1E90">
              <w:rPr>
                <w:rStyle w:val="1410"/>
              </w:rPr>
              <w:fldChar w:fldCharType="separate"/>
            </w:r>
            <w:r w:rsidRPr="00BD1E90">
              <w:rPr>
                <w:rStyle w:val="1410"/>
              </w:rPr>
              <w:t>74,585</w:t>
            </w:r>
            <w:r w:rsidRPr="00BD1E90">
              <w:rPr>
                <w:rStyle w:val="1410"/>
              </w:rPr>
              <w:fldChar w:fldCharType="end"/>
            </w:r>
          </w:p>
        </w:tc>
        <w:tc>
          <w:tcPr>
            <w:tcW w:w="3325" w:type="dxa"/>
            <w:shd w:val="clear" w:color="000000" w:fill="FFFFFF"/>
            <w:vAlign w:val="center"/>
          </w:tcPr>
          <w:p w14:paraId="71CF3038" w14:textId="77777777" w:rsidR="00703000" w:rsidRPr="00BD1E90" w:rsidRDefault="00703000" w:rsidP="00D96325">
            <w:pPr>
              <w:spacing w:line="240" w:lineRule="exact"/>
              <w:ind w:leftChars="0" w:left="0" w:firstLineChars="0" w:firstLine="0"/>
              <w:jc w:val="right"/>
              <w:rPr>
                <w:rStyle w:val="1410"/>
              </w:rPr>
            </w:pPr>
            <w:r w:rsidRPr="00BD1E90">
              <w:rPr>
                <w:rStyle w:val="1410"/>
              </w:rPr>
              <w:fldChar w:fldCharType="begin"/>
            </w:r>
            <w:r w:rsidRPr="00BD1E90">
              <w:rPr>
                <w:rStyle w:val="1410"/>
              </w:rPr>
              <w:instrText xml:space="preserve"> =SUM(ABOVE) </w:instrText>
            </w:r>
            <w:r w:rsidRPr="00BD1E90">
              <w:rPr>
                <w:rStyle w:val="1410"/>
              </w:rPr>
              <w:fldChar w:fldCharType="separate"/>
            </w:r>
            <w:r w:rsidRPr="00BD1E90">
              <w:rPr>
                <w:rStyle w:val="1410"/>
              </w:rPr>
              <w:t>50,252</w:t>
            </w:r>
            <w:r w:rsidRPr="00BD1E90">
              <w:rPr>
                <w:rStyle w:val="1410"/>
              </w:rPr>
              <w:fldChar w:fldCharType="end"/>
            </w:r>
          </w:p>
        </w:tc>
      </w:tr>
    </w:tbl>
    <w:p w14:paraId="419F47D0" w14:textId="77777777" w:rsidR="00703000" w:rsidRDefault="00703000" w:rsidP="00D96325">
      <w:pPr>
        <w:pStyle w:val="2"/>
        <w:spacing w:line="360" w:lineRule="exact"/>
        <w:ind w:leftChars="0" w:left="730" w:hangingChars="300" w:hanging="730"/>
        <w:rPr>
          <w:rStyle w:val="1410"/>
          <w:rFonts w:hAnsi="標楷體"/>
        </w:rPr>
      </w:pPr>
      <w:r>
        <w:rPr>
          <w:rStyle w:val="1410"/>
          <w:rFonts w:hint="eastAsia"/>
        </w:rPr>
        <w:t>資料來源</w:t>
      </w:r>
      <w:r>
        <w:rPr>
          <w:rStyle w:val="1410"/>
          <w:rFonts w:hAnsi="標楷體" w:hint="eastAsia"/>
        </w:rPr>
        <w:t>：</w:t>
      </w:r>
      <w:r w:rsidRPr="004748C2">
        <w:rPr>
          <w:rStyle w:val="1410"/>
          <w:rFonts w:hAnsi="標楷體" w:hint="eastAsia"/>
        </w:rPr>
        <w:t>彰師大</w:t>
      </w:r>
      <w:r>
        <w:rPr>
          <w:rStyle w:val="1410"/>
          <w:rFonts w:hAnsi="標楷體" w:hint="eastAsia"/>
        </w:rPr>
        <w:t>提供。</w:t>
      </w:r>
    </w:p>
    <w:p w14:paraId="1692CB3C" w14:textId="77777777" w:rsidR="00703000" w:rsidRDefault="00703000" w:rsidP="005D7807">
      <w:pPr>
        <w:ind w:left="566" w:firstLine="486"/>
        <w:rPr>
          <w:rStyle w:val="1410"/>
        </w:rPr>
      </w:pPr>
      <w:r w:rsidRPr="005D7807">
        <w:rPr>
          <w:rStyle w:val="1410"/>
          <w:rFonts w:hint="eastAsia"/>
        </w:rPr>
        <w:t>綜上，</w:t>
      </w:r>
      <w:r w:rsidRPr="00495CF2">
        <w:rPr>
          <w:rFonts w:hint="eastAsia"/>
        </w:rPr>
        <w:t>彰師大</w:t>
      </w:r>
      <w:r>
        <w:rPr>
          <w:rFonts w:hint="eastAsia"/>
        </w:rPr>
        <w:t>112年度</w:t>
      </w:r>
      <w:r w:rsidRPr="005E1B89">
        <w:rPr>
          <w:rFonts w:hint="eastAsia"/>
        </w:rPr>
        <w:t>寶山校區教學大樓及寶山校區風雨球場新建工程進度落後</w:t>
      </w:r>
      <w:r>
        <w:rPr>
          <w:rFonts w:hint="eastAsia"/>
        </w:rPr>
        <w:t>，致</w:t>
      </w:r>
      <w:r w:rsidRPr="00C337E9">
        <w:rPr>
          <w:rFonts w:hint="eastAsia"/>
          <w:snapToGrid/>
        </w:rPr>
        <w:t>一般建築及設備計畫執行率未達8成</w:t>
      </w:r>
      <w:r w:rsidRPr="00C337E9">
        <w:rPr>
          <w:rFonts w:hint="eastAsia"/>
        </w:rPr>
        <w:t>，</w:t>
      </w:r>
      <w:r>
        <w:rPr>
          <w:rFonts w:hint="eastAsia"/>
        </w:rPr>
        <w:t>另以前年度</w:t>
      </w:r>
      <w:r w:rsidRPr="005D7807">
        <w:rPr>
          <w:rFonts w:hint="eastAsia"/>
        </w:rPr>
        <w:t>寶山校區</w:t>
      </w:r>
      <w:r>
        <w:rPr>
          <w:rFonts w:hint="eastAsia"/>
        </w:rPr>
        <w:t>相關工程尚進行</w:t>
      </w:r>
      <w:r w:rsidRPr="00D93D8F">
        <w:rPr>
          <w:rFonts w:hint="eastAsia"/>
        </w:rPr>
        <w:t>訴訟程序</w:t>
      </w:r>
      <w:r>
        <w:rPr>
          <w:rFonts w:hint="eastAsia"/>
        </w:rPr>
        <w:t>中，或工程招標延後等因素，致未能辦理結案，相關預算仍需保留，允宜掌握辦理進</w:t>
      </w:r>
      <w:r>
        <w:rPr>
          <w:rFonts w:hint="eastAsia"/>
        </w:rPr>
        <w:lastRenderedPageBreak/>
        <w:t>度，積極研謀改善。</w:t>
      </w:r>
    </w:p>
    <w:p w14:paraId="188B7A04" w14:textId="77777777" w:rsidR="00703000" w:rsidRPr="00920AB4" w:rsidRDefault="00703000" w:rsidP="00920AB4">
      <w:pPr>
        <w:pStyle w:val="ab"/>
      </w:pPr>
      <w:r w:rsidRPr="00920AB4">
        <w:rPr>
          <w:rFonts w:hint="eastAsia"/>
        </w:rPr>
        <w:t>（分機：1930芮家楨）</w:t>
      </w:r>
    </w:p>
    <w:sectPr w:rsidR="00703000" w:rsidRPr="00920AB4"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B3170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4735CCA"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B3170D">
      <w:rPr>
        <w:rStyle w:val="af6"/>
        <w:noProof/>
      </w:rPr>
      <w:t>3</w:t>
    </w:r>
    <w:r>
      <w:rPr>
        <w:rStyle w:val="af6"/>
      </w:rPr>
      <w:fldChar w:fldCharType="end"/>
    </w:r>
  </w:p>
  <w:p w14:paraId="44D11F74" w14:textId="77777777" w:rsidR="00D36F94" w:rsidRPr="001F2930" w:rsidRDefault="00B3170D"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B3170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39D4AE4A" w14:textId="77777777" w:rsidR="00703000" w:rsidRDefault="00703000" w:rsidP="001F2930">
      <w:pPr>
        <w:pStyle w:val="142"/>
      </w:pPr>
      <w:r>
        <w:rPr>
          <w:rStyle w:val="af2"/>
        </w:rPr>
        <w:footnoteRef/>
      </w:r>
      <w:r>
        <w:rPr>
          <w:rStyle w:val="1410"/>
          <w:rFonts w:hint="eastAsia"/>
        </w:rPr>
        <w:t>111年度</w:t>
      </w:r>
      <w:r w:rsidRPr="0027004B">
        <w:rPr>
          <w:rStyle w:val="1410"/>
          <w:rFonts w:hint="eastAsia"/>
        </w:rPr>
        <w:t>以前年度保留數餘額詳表2。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B3170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B3170D"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B3170D">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3170D"/>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FD4E-0D21-46A4-BFF7-45AA01AC1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211</Words>
  <Characters>1209</Characters>
  <Application>Microsoft Office Word</Application>
  <DocSecurity>0</DocSecurity>
  <Lines>10</Lines>
  <Paragraphs>2</Paragraphs>
  <ScaleCrop>false</ScaleCrop>
  <Company>HOME</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