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5E49D025" w14:textId="3CDF7D0F" w:rsidR="00703000" w:rsidRPr="000D3041" w:rsidRDefault="00703000" w:rsidP="000D3041">
      <w:pPr>
        <w:pStyle w:val="14"/>
        <w:ind w:left="567" w:hanging="567"/>
      </w:pPr>
      <w:bookmarkStart w:id="1" w:name="_Toc180413013"/>
      <w:r>
        <w:rPr>
          <w:rFonts w:hint="eastAsia"/>
        </w:rPr>
        <w:t>一八</w:t>
      </w:r>
      <w:r w:rsidRPr="000D3041">
        <w:rPr>
          <w:rFonts w:hint="eastAsia"/>
        </w:rPr>
        <w:t>、</w:t>
      </w:r>
      <w:r>
        <w:rPr>
          <w:rFonts w:hint="eastAsia"/>
        </w:rPr>
        <w:t>高雄師範大學校務基金短絀未獲有效改善，惟編制外人力經費仍成長，</w:t>
      </w:r>
      <w:r w:rsidRPr="000D3041">
        <w:rPr>
          <w:rFonts w:hint="eastAsia"/>
        </w:rPr>
        <w:t>允宜</w:t>
      </w:r>
      <w:r>
        <w:rPr>
          <w:rFonts w:hint="eastAsia"/>
        </w:rPr>
        <w:t>積極研謀改善</w:t>
      </w:r>
      <w:bookmarkEnd w:id="1"/>
    </w:p>
    <w:p w14:paraId="50C30F34" w14:textId="77777777" w:rsidR="00703000" w:rsidRPr="000D3041" w:rsidRDefault="00703000" w:rsidP="000D3041">
      <w:pPr>
        <w:ind w:left="566" w:firstLine="566"/>
      </w:pPr>
      <w:r>
        <w:rPr>
          <w:rFonts w:hint="eastAsia"/>
        </w:rPr>
        <w:t>國立</w:t>
      </w:r>
      <w:r w:rsidRPr="000D3041">
        <w:rPr>
          <w:rFonts w:hint="eastAsia"/>
        </w:rPr>
        <w:t>高雄師範大學(以下簡稱高師大)校務基金11</w:t>
      </w:r>
      <w:r>
        <w:rPr>
          <w:rFonts w:hint="eastAsia"/>
        </w:rPr>
        <w:t>4</w:t>
      </w:r>
      <w:r w:rsidRPr="000D3041">
        <w:rPr>
          <w:rFonts w:hint="eastAsia"/>
        </w:rPr>
        <w:t>年度預算案</w:t>
      </w:r>
      <w:r>
        <w:rPr>
          <w:rFonts w:hint="eastAsia"/>
        </w:rPr>
        <w:t>用人費用彙計表所列之</w:t>
      </w:r>
      <w:r>
        <w:rPr>
          <w:rFonts w:hAnsi="標楷體" w:hint="eastAsia"/>
        </w:rPr>
        <w:t>「</w:t>
      </w:r>
      <w:r>
        <w:rPr>
          <w:rFonts w:hint="eastAsia"/>
        </w:rPr>
        <w:t>計時與計件人員酬金</w:t>
      </w:r>
      <w:r>
        <w:rPr>
          <w:rFonts w:hAnsi="標楷體" w:hint="eastAsia"/>
        </w:rPr>
        <w:t>」2</w:t>
      </w:r>
      <w:r>
        <w:rPr>
          <w:rFonts w:hint="eastAsia"/>
        </w:rPr>
        <w:t>億691萬元</w:t>
      </w:r>
      <w:r>
        <w:rPr>
          <w:rFonts w:hAnsi="標楷體" w:hint="eastAsia"/>
        </w:rPr>
        <w:t>，較113年度之</w:t>
      </w:r>
      <w:r>
        <w:rPr>
          <w:rFonts w:hint="eastAsia"/>
        </w:rPr>
        <w:t>1億9</w:t>
      </w:r>
      <w:r>
        <w:t>,</w:t>
      </w:r>
      <w:r>
        <w:rPr>
          <w:rFonts w:hint="eastAsia"/>
        </w:rPr>
        <w:t>948萬2千元</w:t>
      </w:r>
      <w:r>
        <w:rPr>
          <w:rFonts w:hAnsi="標楷體" w:hint="eastAsia"/>
        </w:rPr>
        <w:t>增加742萬8千元(增幅3</w:t>
      </w:r>
      <w:r>
        <w:rPr>
          <w:rFonts w:hAnsi="標楷體"/>
        </w:rPr>
        <w:t>.</w:t>
      </w:r>
      <w:r>
        <w:rPr>
          <w:rFonts w:hAnsi="標楷體" w:hint="eastAsia"/>
        </w:rPr>
        <w:t>72</w:t>
      </w:r>
      <w:r>
        <w:rPr>
          <w:rFonts w:hAnsi="標楷體"/>
        </w:rPr>
        <w:t>%</w:t>
      </w:r>
      <w:r>
        <w:rPr>
          <w:rFonts w:hAnsi="標楷體" w:hint="eastAsia"/>
        </w:rPr>
        <w:t>)，</w:t>
      </w:r>
      <w:r>
        <w:rPr>
          <w:rFonts w:hint="eastAsia"/>
        </w:rPr>
        <w:t>預計僱用編制外人員合計</w:t>
      </w:r>
      <w:r>
        <w:t>751</w:t>
      </w:r>
      <w:r>
        <w:rPr>
          <w:rFonts w:hint="eastAsia"/>
        </w:rPr>
        <w:t>人</w:t>
      </w:r>
      <w:r>
        <w:rPr>
          <w:rFonts w:hAnsi="標楷體" w:hint="eastAsia"/>
        </w:rPr>
        <w:t>，</w:t>
      </w:r>
      <w:r>
        <w:rPr>
          <w:rFonts w:hint="eastAsia"/>
        </w:rPr>
        <w:t>較11</w:t>
      </w:r>
      <w:r>
        <w:t>3</w:t>
      </w:r>
      <w:r>
        <w:rPr>
          <w:rFonts w:hint="eastAsia"/>
        </w:rPr>
        <w:t>年度</w:t>
      </w:r>
      <w:r>
        <w:t>573</w:t>
      </w:r>
      <w:r>
        <w:rPr>
          <w:rFonts w:hint="eastAsia"/>
        </w:rPr>
        <w:t>人增加178人。</w:t>
      </w:r>
      <w:r w:rsidRPr="00260C29">
        <w:rPr>
          <w:rFonts w:hint="eastAsia"/>
          <w:spacing w:val="-6"/>
        </w:rPr>
        <w:t>謹將該校近年收支</w:t>
      </w:r>
      <w:r w:rsidRPr="00260C29">
        <w:rPr>
          <w:rFonts w:hAnsi="標楷體" w:hint="eastAsia"/>
          <w:spacing w:val="-6"/>
        </w:rPr>
        <w:t>與</w:t>
      </w:r>
      <w:r w:rsidRPr="00260C29">
        <w:rPr>
          <w:rFonts w:hint="eastAsia"/>
          <w:spacing w:val="-6"/>
        </w:rPr>
        <w:t>編制外人力經費運用情形，說明如次：</w:t>
      </w:r>
    </w:p>
    <w:p w14:paraId="662B3014" w14:textId="77777777" w:rsidR="00703000" w:rsidRPr="000C6EB9" w:rsidRDefault="00703000" w:rsidP="00401D03">
      <w:pPr>
        <w:pStyle w:val="a4"/>
        <w:ind w:left="849" w:hanging="283"/>
        <w:rPr>
          <w:b/>
        </w:rPr>
      </w:pPr>
      <w:r w:rsidRPr="000C6EB9">
        <w:rPr>
          <w:rFonts w:hint="eastAsia"/>
          <w:b/>
        </w:rPr>
        <w:t>(一)</w:t>
      </w:r>
      <w:r>
        <w:rPr>
          <w:rFonts w:hint="eastAsia"/>
          <w:b/>
        </w:rPr>
        <w:t>國立大專校院編制外人力運用之</w:t>
      </w:r>
      <w:r w:rsidRPr="000C6EB9">
        <w:rPr>
          <w:rFonts w:hint="eastAsia"/>
          <w:b/>
        </w:rPr>
        <w:t>規範</w:t>
      </w:r>
      <w:r w:rsidRPr="000C6EB9">
        <w:rPr>
          <w:b/>
        </w:rPr>
        <w:t xml:space="preserve"> </w:t>
      </w:r>
    </w:p>
    <w:p w14:paraId="21E06894" w14:textId="77777777" w:rsidR="00703000" w:rsidRDefault="00703000" w:rsidP="00AD4226">
      <w:pPr>
        <w:pStyle w:val="2"/>
        <w:ind w:left="850" w:firstLine="566"/>
        <w:rPr>
          <w:rFonts w:hAnsi="標楷體"/>
        </w:rPr>
      </w:pPr>
      <w:r>
        <w:rPr>
          <w:rFonts w:hint="eastAsia"/>
        </w:rPr>
        <w:t>近年來為因應國立大專校院教育環境發展趨勢</w:t>
      </w:r>
      <w:r>
        <w:rPr>
          <w:rFonts w:hAnsi="標楷體" w:hint="eastAsia"/>
        </w:rPr>
        <w:t>，</w:t>
      </w:r>
      <w:r>
        <w:rPr>
          <w:rFonts w:hint="eastAsia"/>
        </w:rPr>
        <w:t>為提升教育品質與教學績效及行政效能</w:t>
      </w:r>
      <w:r>
        <w:rPr>
          <w:rFonts w:hAnsi="標楷體" w:hint="eastAsia"/>
        </w:rPr>
        <w:t>，促進</w:t>
      </w:r>
      <w:r>
        <w:rPr>
          <w:rFonts w:hint="eastAsia"/>
        </w:rPr>
        <w:t>彈性</w:t>
      </w:r>
      <w:r>
        <w:rPr>
          <w:rFonts w:hAnsi="標楷體" w:hint="eastAsia"/>
        </w:rPr>
        <w:t>、</w:t>
      </w:r>
      <w:r>
        <w:rPr>
          <w:rFonts w:hint="eastAsia"/>
        </w:rPr>
        <w:t>多元</w:t>
      </w:r>
      <w:r>
        <w:rPr>
          <w:rFonts w:hAnsi="標楷體" w:hint="eastAsia"/>
        </w:rPr>
        <w:t>、</w:t>
      </w:r>
      <w:r>
        <w:rPr>
          <w:rFonts w:hint="eastAsia"/>
        </w:rPr>
        <w:t>自主發展</w:t>
      </w:r>
      <w:r>
        <w:rPr>
          <w:rFonts w:hAnsi="標楷體" w:hint="eastAsia"/>
        </w:rPr>
        <w:t>，</w:t>
      </w:r>
      <w:r>
        <w:rPr>
          <w:rFonts w:hint="eastAsia"/>
        </w:rPr>
        <w:t>教育部於87年11月13日</w:t>
      </w:r>
      <w:r>
        <w:rPr>
          <w:rFonts w:hAnsi="標楷體" w:hint="eastAsia"/>
        </w:rPr>
        <w:t>頒布「國立大學校院進用專案計畫教學人員研究人員暨工作人員實施原則」，於111年7月11日修正為「</w:t>
      </w:r>
      <w:r w:rsidRPr="00AD4226">
        <w:rPr>
          <w:rFonts w:hAnsi="標楷體" w:hint="eastAsia"/>
        </w:rPr>
        <w:t>國立大學校務基金進用研究人員及工作人員實施原則</w:t>
      </w:r>
      <w:r>
        <w:rPr>
          <w:rFonts w:hAnsi="標楷體" w:hint="eastAsia"/>
        </w:rPr>
        <w:t>」，以利各校院</w:t>
      </w:r>
      <w:r w:rsidRPr="00AD4226">
        <w:rPr>
          <w:rFonts w:hAnsi="標楷體" w:hint="eastAsia"/>
        </w:rPr>
        <w:t>校務基金</w:t>
      </w:r>
      <w:r>
        <w:rPr>
          <w:rFonts w:hAnsi="標楷體" w:hint="eastAsia"/>
        </w:rPr>
        <w:t>運用自籌財源聘請</w:t>
      </w:r>
      <w:r w:rsidRPr="00AD4226">
        <w:rPr>
          <w:rFonts w:hAnsi="標楷體" w:hint="eastAsia"/>
        </w:rPr>
        <w:t>編制外</w:t>
      </w:r>
      <w:r>
        <w:rPr>
          <w:rFonts w:hAnsi="標楷體" w:hint="eastAsia"/>
        </w:rPr>
        <w:t>之</w:t>
      </w:r>
      <w:r w:rsidRPr="00AD4226">
        <w:rPr>
          <w:rFonts w:hAnsi="標楷體" w:hint="eastAsia"/>
        </w:rPr>
        <w:t>研究人員及工作人員</w:t>
      </w:r>
      <w:r>
        <w:rPr>
          <w:rFonts w:hAnsi="標楷體" w:hint="eastAsia"/>
        </w:rPr>
        <w:t>；復於93年12月23日頒布「國立大專校院行政人力契僱化實施原則」，據此各校院於</w:t>
      </w:r>
      <w:r w:rsidRPr="00AD4226">
        <w:rPr>
          <w:rFonts w:hAnsi="標楷體" w:hint="eastAsia"/>
        </w:rPr>
        <w:t>編制內職員出缺時，得控留員額改以契約用人方式取代之</w:t>
      </w:r>
      <w:r>
        <w:rPr>
          <w:rFonts w:hAnsi="標楷體" w:hint="eastAsia"/>
        </w:rPr>
        <w:t>，俾提升國立大專校院用人彈性。</w:t>
      </w:r>
    </w:p>
    <w:p w14:paraId="3918AC2A" w14:textId="77777777" w:rsidR="00703000" w:rsidRPr="000C6EB9" w:rsidRDefault="00703000" w:rsidP="004F2881">
      <w:pPr>
        <w:pStyle w:val="a4"/>
        <w:ind w:left="849" w:hanging="283"/>
        <w:rPr>
          <w:b/>
        </w:rPr>
      </w:pPr>
      <w:r w:rsidRPr="000C6EB9">
        <w:rPr>
          <w:rFonts w:hint="eastAsia"/>
          <w:b/>
        </w:rPr>
        <w:t>(</w:t>
      </w:r>
      <w:r>
        <w:rPr>
          <w:rFonts w:hint="eastAsia"/>
          <w:b/>
        </w:rPr>
        <w:t>二</w:t>
      </w:r>
      <w:r w:rsidRPr="000C6EB9">
        <w:rPr>
          <w:rFonts w:hint="eastAsia"/>
          <w:b/>
        </w:rPr>
        <w:t>)</w:t>
      </w:r>
      <w:r>
        <w:rPr>
          <w:rFonts w:hint="eastAsia"/>
          <w:b/>
        </w:rPr>
        <w:t>11</w:t>
      </w:r>
      <w:r>
        <w:rPr>
          <w:b/>
        </w:rPr>
        <w:t>4</w:t>
      </w:r>
      <w:r>
        <w:rPr>
          <w:rFonts w:hint="eastAsia"/>
          <w:b/>
        </w:rPr>
        <w:t>年度預計進用編制外人員情形</w:t>
      </w:r>
    </w:p>
    <w:p w14:paraId="02919C28" w14:textId="77777777" w:rsidR="00703000" w:rsidRPr="00C65C21" w:rsidRDefault="00703000" w:rsidP="00260C29">
      <w:pPr>
        <w:pStyle w:val="2"/>
        <w:spacing w:line="480" w:lineRule="exact"/>
        <w:ind w:left="850" w:firstLine="566"/>
        <w:rPr>
          <w:rFonts w:ascii="Times New Roman"/>
          <w:szCs w:val="24"/>
        </w:rPr>
      </w:pPr>
      <w:r w:rsidRPr="00DE4FC3">
        <w:rPr>
          <w:rFonts w:hint="eastAsia"/>
        </w:rPr>
        <w:t>依</w:t>
      </w:r>
      <w:r w:rsidRPr="006D123F">
        <w:rPr>
          <w:rFonts w:hint="eastAsia"/>
        </w:rPr>
        <w:t>高師大</w:t>
      </w:r>
      <w:r w:rsidRPr="00DE4FC3">
        <w:rPr>
          <w:rFonts w:hint="eastAsia"/>
        </w:rPr>
        <w:t>提供</w:t>
      </w:r>
      <w:r>
        <w:rPr>
          <w:rFonts w:hAnsi="標楷體" w:hint="eastAsia"/>
        </w:rPr>
        <w:t>11</w:t>
      </w:r>
      <w:r>
        <w:rPr>
          <w:rFonts w:hAnsi="標楷體"/>
        </w:rPr>
        <w:t>4</w:t>
      </w:r>
      <w:r>
        <w:rPr>
          <w:rFonts w:hAnsi="標楷體" w:hint="eastAsia"/>
        </w:rPr>
        <w:t>年度進用編制外人員人力之規劃，預計於行政部門、學術單位、研究及服務中心等單位，僱</w:t>
      </w:r>
      <w:r w:rsidRPr="006D123F">
        <w:rPr>
          <w:rFonts w:hAnsi="標楷體" w:hint="eastAsia"/>
        </w:rPr>
        <w:t>用</w:t>
      </w:r>
      <w:r>
        <w:rPr>
          <w:rFonts w:hAnsi="標楷體" w:hint="eastAsia"/>
        </w:rPr>
        <w:t>長期及短期人力分別600</w:t>
      </w:r>
      <w:r w:rsidRPr="006D123F">
        <w:rPr>
          <w:rFonts w:hAnsi="標楷體" w:hint="eastAsia"/>
        </w:rPr>
        <w:t>人、</w:t>
      </w:r>
      <w:r>
        <w:rPr>
          <w:rFonts w:hAnsi="標楷體" w:hint="eastAsia"/>
        </w:rPr>
        <w:t>151人，共</w:t>
      </w:r>
      <w:r w:rsidRPr="006D123F">
        <w:rPr>
          <w:rFonts w:hAnsi="標楷體" w:hint="eastAsia"/>
        </w:rPr>
        <w:t>計</w:t>
      </w:r>
      <w:r>
        <w:rPr>
          <w:rFonts w:hAnsi="標楷體" w:hint="eastAsia"/>
        </w:rPr>
        <w:t>751</w:t>
      </w:r>
      <w:r w:rsidRPr="006D123F">
        <w:rPr>
          <w:rFonts w:hAnsi="標楷體" w:hint="eastAsia"/>
        </w:rPr>
        <w:t>人。</w:t>
      </w:r>
      <w:r>
        <w:rPr>
          <w:rFonts w:hint="eastAsia"/>
        </w:rPr>
        <w:t>據</w:t>
      </w:r>
      <w:r w:rsidRPr="00DE4FC3">
        <w:rPr>
          <w:rFonts w:hint="eastAsia"/>
        </w:rPr>
        <w:t>該校</w:t>
      </w:r>
      <w:r w:rsidRPr="006D123F">
        <w:rPr>
          <w:rFonts w:hint="eastAsia"/>
        </w:rPr>
        <w:t>說明</w:t>
      </w:r>
      <w:r w:rsidRPr="006D123F">
        <w:rPr>
          <w:rFonts w:hAnsi="標楷體" w:hint="eastAsia"/>
        </w:rPr>
        <w:t>，</w:t>
      </w:r>
      <w:r>
        <w:rPr>
          <w:rFonts w:hAnsi="標楷體" w:hint="eastAsia"/>
        </w:rPr>
        <w:t>因</w:t>
      </w:r>
      <w:r w:rsidRPr="00145A47">
        <w:rPr>
          <w:rFonts w:hAnsi="標楷體" w:hint="eastAsia"/>
        </w:rPr>
        <w:t>高等教育競爭日趨激烈，各單位業務亦越加繁重，人力需求反增不減，為提升</w:t>
      </w:r>
      <w:r>
        <w:rPr>
          <w:rFonts w:hAnsi="標楷體" w:hint="eastAsia"/>
        </w:rPr>
        <w:t>學</w:t>
      </w:r>
      <w:r w:rsidRPr="00145A47">
        <w:rPr>
          <w:rFonts w:hAnsi="標楷體" w:hint="eastAsia"/>
        </w:rPr>
        <w:t>校行政效率及降低用人成本，且同時達到人力運用之彈性與多元化，爰進用編制外人員。</w:t>
      </w:r>
    </w:p>
    <w:p w14:paraId="2720564B" w14:textId="77777777" w:rsidR="00703000" w:rsidRPr="000C6EB9" w:rsidRDefault="00703000" w:rsidP="00260C29">
      <w:pPr>
        <w:pStyle w:val="a4"/>
        <w:spacing w:line="480" w:lineRule="exact"/>
        <w:ind w:left="849" w:hanging="283"/>
        <w:rPr>
          <w:b/>
        </w:rPr>
      </w:pPr>
      <w:r w:rsidRPr="000335A6">
        <w:rPr>
          <w:rFonts w:hint="eastAsia"/>
          <w:b/>
        </w:rPr>
        <w:lastRenderedPageBreak/>
        <w:t>(三)11</w:t>
      </w:r>
      <w:r>
        <w:rPr>
          <w:rFonts w:hint="eastAsia"/>
          <w:b/>
        </w:rPr>
        <w:t>2</w:t>
      </w:r>
      <w:r w:rsidRPr="000335A6">
        <w:rPr>
          <w:rFonts w:hint="eastAsia"/>
          <w:b/>
        </w:rPr>
        <w:t>年度</w:t>
      </w:r>
      <w:r>
        <w:rPr>
          <w:rFonts w:hint="eastAsia"/>
          <w:b/>
        </w:rPr>
        <w:t>該校</w:t>
      </w:r>
      <w:r w:rsidRPr="000335A6">
        <w:rPr>
          <w:rFonts w:hint="eastAsia"/>
          <w:b/>
        </w:rPr>
        <w:t>校務基金短絀較11</w:t>
      </w:r>
      <w:r>
        <w:rPr>
          <w:rFonts w:hint="eastAsia"/>
          <w:b/>
        </w:rPr>
        <w:t>1</w:t>
      </w:r>
      <w:r w:rsidRPr="000335A6">
        <w:rPr>
          <w:rFonts w:hint="eastAsia"/>
          <w:b/>
        </w:rPr>
        <w:t>年度增加</w:t>
      </w:r>
      <w:r>
        <w:rPr>
          <w:rFonts w:hAnsi="標楷體" w:hint="eastAsia"/>
          <w:b/>
        </w:rPr>
        <w:t>，且114年度預計</w:t>
      </w:r>
      <w:r w:rsidRPr="00836241">
        <w:rPr>
          <w:rFonts w:hAnsi="標楷體" w:hint="eastAsia"/>
          <w:b/>
        </w:rPr>
        <w:t>短絀</w:t>
      </w:r>
      <w:r>
        <w:rPr>
          <w:rFonts w:hAnsi="標楷體" w:hint="eastAsia"/>
          <w:b/>
        </w:rPr>
        <w:t>仍未善</w:t>
      </w:r>
      <w:r w:rsidRPr="000335A6">
        <w:rPr>
          <w:rFonts w:hAnsi="標楷體" w:hint="eastAsia"/>
          <w:b/>
        </w:rPr>
        <w:t>，</w:t>
      </w:r>
      <w:r>
        <w:rPr>
          <w:rFonts w:hAnsi="標楷體" w:hint="eastAsia"/>
          <w:b/>
        </w:rPr>
        <w:t>惟編制外人力經費持續增加</w:t>
      </w:r>
    </w:p>
    <w:p w14:paraId="1E9B31B9" w14:textId="77777777" w:rsidR="00703000" w:rsidRDefault="00703000" w:rsidP="00260C29">
      <w:pPr>
        <w:pStyle w:val="2"/>
        <w:spacing w:line="480" w:lineRule="exact"/>
        <w:ind w:left="850" w:firstLine="566"/>
        <w:rPr>
          <w:rFonts w:hAnsi="標楷體"/>
          <w:spacing w:val="-10"/>
          <w:kern w:val="0"/>
          <w:sz w:val="24"/>
          <w:szCs w:val="24"/>
        </w:rPr>
      </w:pPr>
      <w:r>
        <w:rPr>
          <w:rFonts w:hint="eastAsia"/>
        </w:rPr>
        <w:t>依高師大提供資料(詳表1)</w:t>
      </w:r>
      <w:r>
        <w:rPr>
          <w:rFonts w:hAnsi="標楷體" w:hint="eastAsia"/>
        </w:rPr>
        <w:t>，該校校務基金112年度收入決算數</w:t>
      </w:r>
      <w:r>
        <w:rPr>
          <w:rFonts w:hAnsi="標楷體"/>
        </w:rPr>
        <w:t>15</w:t>
      </w:r>
      <w:r>
        <w:rPr>
          <w:rFonts w:hAnsi="標楷體" w:hint="eastAsia"/>
        </w:rPr>
        <w:t>億5,216萬</w:t>
      </w:r>
      <w:r w:rsidRPr="008637B4">
        <w:rPr>
          <w:rFonts w:hAnsi="標楷體"/>
        </w:rPr>
        <w:t>2</w:t>
      </w:r>
      <w:r>
        <w:rPr>
          <w:rFonts w:hAnsi="標楷體" w:hint="eastAsia"/>
        </w:rPr>
        <w:t>千元，支出決算數</w:t>
      </w:r>
      <w:r w:rsidRPr="008637B4">
        <w:rPr>
          <w:rFonts w:hAnsi="標楷體"/>
        </w:rPr>
        <w:t>1</w:t>
      </w:r>
      <w:r>
        <w:rPr>
          <w:rFonts w:hAnsi="標楷體" w:hint="eastAsia"/>
        </w:rPr>
        <w:t>6億3,166萬5千元，年度短絀7,</w:t>
      </w:r>
      <w:r>
        <w:rPr>
          <w:rFonts w:hAnsi="標楷體"/>
        </w:rPr>
        <w:t>9</w:t>
      </w:r>
      <w:r>
        <w:rPr>
          <w:rFonts w:hAnsi="標楷體" w:hint="eastAsia"/>
        </w:rPr>
        <w:t>50萬3千元，與111年度決算短絀</w:t>
      </w:r>
      <w:r>
        <w:rPr>
          <w:rFonts w:hAnsi="標楷體"/>
        </w:rPr>
        <w:t>6</w:t>
      </w:r>
      <w:r>
        <w:rPr>
          <w:rFonts w:hAnsi="標楷體" w:hint="eastAsia"/>
        </w:rPr>
        <w:t>,987萬8千元相較</w:t>
      </w:r>
      <w:r w:rsidRPr="008637B4">
        <w:rPr>
          <w:rFonts w:hAnsi="標楷體" w:hint="eastAsia"/>
        </w:rPr>
        <w:t>，</w:t>
      </w:r>
      <w:r>
        <w:rPr>
          <w:rFonts w:hAnsi="標楷體" w:hint="eastAsia"/>
        </w:rPr>
        <w:t>增加962萬5千元，</w:t>
      </w:r>
      <w:r w:rsidRPr="008637B4">
        <w:rPr>
          <w:rFonts w:hAnsi="標楷體" w:hint="eastAsia"/>
        </w:rPr>
        <w:t>短絀</w:t>
      </w:r>
      <w:r>
        <w:rPr>
          <w:rFonts w:hAnsi="標楷體" w:hint="eastAsia"/>
        </w:rPr>
        <w:t>增幅13.77%；且預計114年度校務基金年度短絀</w:t>
      </w:r>
      <w:r>
        <w:rPr>
          <w:rFonts w:hAnsi="標楷體"/>
        </w:rPr>
        <w:t>1</w:t>
      </w:r>
      <w:r>
        <w:rPr>
          <w:rFonts w:hAnsi="標楷體" w:hint="eastAsia"/>
        </w:rPr>
        <w:t>億6</w:t>
      </w:r>
      <w:r>
        <w:rPr>
          <w:rFonts w:hAnsi="標楷體"/>
        </w:rPr>
        <w:t>20</w:t>
      </w:r>
      <w:r w:rsidRPr="008637B4">
        <w:rPr>
          <w:rFonts w:hAnsi="標楷體" w:hint="eastAsia"/>
        </w:rPr>
        <w:t>萬</w:t>
      </w:r>
      <w:r>
        <w:rPr>
          <w:rFonts w:hAnsi="標楷體"/>
        </w:rPr>
        <w:t>8</w:t>
      </w:r>
      <w:r w:rsidRPr="008637B4">
        <w:rPr>
          <w:rFonts w:hAnsi="標楷體" w:hint="eastAsia"/>
        </w:rPr>
        <w:t>千元</w:t>
      </w:r>
      <w:r>
        <w:rPr>
          <w:rFonts w:hAnsi="標楷體" w:hint="eastAsia"/>
        </w:rPr>
        <w:t>，較113年度預計短絀9</w:t>
      </w:r>
      <w:r>
        <w:rPr>
          <w:rFonts w:hAnsi="標楷體"/>
        </w:rPr>
        <w:t>,</w:t>
      </w:r>
      <w:r>
        <w:rPr>
          <w:rFonts w:hAnsi="標楷體" w:hint="eastAsia"/>
        </w:rPr>
        <w:t>627萬4千元增加993萬4千元，增幅1</w:t>
      </w:r>
      <w:r>
        <w:rPr>
          <w:rFonts w:hAnsi="標楷體"/>
        </w:rPr>
        <w:t>0</w:t>
      </w:r>
      <w:r>
        <w:rPr>
          <w:rFonts w:hAnsi="標楷體" w:hint="eastAsia"/>
        </w:rPr>
        <w:t>.</w:t>
      </w:r>
      <w:r>
        <w:rPr>
          <w:rFonts w:hAnsi="標楷體"/>
        </w:rPr>
        <w:t>32</w:t>
      </w:r>
      <w:r>
        <w:rPr>
          <w:rFonts w:hAnsi="標楷體" w:hint="eastAsia"/>
        </w:rPr>
        <w:t>%，短絀情形尚未獲改善。</w:t>
      </w:r>
    </w:p>
    <w:p w14:paraId="42CF52B5" w14:textId="77777777" w:rsidR="00703000" w:rsidRDefault="00703000" w:rsidP="00260C29">
      <w:pPr>
        <w:pStyle w:val="2"/>
        <w:spacing w:line="480" w:lineRule="exact"/>
        <w:ind w:left="850" w:firstLine="566"/>
        <w:rPr>
          <w:rFonts w:hAnsi="標楷體"/>
        </w:rPr>
      </w:pPr>
      <w:r>
        <w:rPr>
          <w:rFonts w:hAnsi="標楷體" w:hint="eastAsia"/>
        </w:rPr>
        <w:t>而該校112年度編制外人力經費</w:t>
      </w:r>
      <w:r>
        <w:rPr>
          <w:rFonts w:hint="eastAsia"/>
          <w:snapToGrid/>
          <w:kern w:val="0"/>
        </w:rPr>
        <w:t>2億2,623萬6千元</w:t>
      </w:r>
      <w:r>
        <w:rPr>
          <w:rFonts w:hAnsi="標楷體" w:hint="eastAsia"/>
          <w:snapToGrid/>
          <w:kern w:val="0"/>
        </w:rPr>
        <w:t>，</w:t>
      </w:r>
      <w:r>
        <w:rPr>
          <w:rFonts w:hint="eastAsia"/>
          <w:snapToGrid/>
          <w:kern w:val="0"/>
        </w:rPr>
        <w:t>較111年度決算數增加952萬3千元</w:t>
      </w:r>
      <w:r>
        <w:rPr>
          <w:rFonts w:hAnsi="標楷體" w:hint="eastAsia"/>
          <w:snapToGrid/>
          <w:kern w:val="0"/>
        </w:rPr>
        <w:t>，增幅4</w:t>
      </w:r>
      <w:r w:rsidRPr="00836241">
        <w:rPr>
          <w:snapToGrid/>
          <w:kern w:val="0"/>
        </w:rPr>
        <w:t>.</w:t>
      </w:r>
      <w:r>
        <w:rPr>
          <w:rFonts w:hint="eastAsia"/>
          <w:snapToGrid/>
          <w:kern w:val="0"/>
        </w:rPr>
        <w:t>3</w:t>
      </w:r>
      <w:r w:rsidRPr="00836241">
        <w:rPr>
          <w:snapToGrid/>
          <w:kern w:val="0"/>
        </w:rPr>
        <w:t>9</w:t>
      </w:r>
      <w:r>
        <w:rPr>
          <w:rFonts w:hint="eastAsia"/>
          <w:snapToGrid/>
          <w:kern w:val="0"/>
        </w:rPr>
        <w:t>%</w:t>
      </w:r>
      <w:r>
        <w:rPr>
          <w:rFonts w:hAnsi="標楷體" w:hint="eastAsia"/>
          <w:snapToGrid/>
          <w:kern w:val="0"/>
        </w:rPr>
        <w:t>，且</w:t>
      </w:r>
      <w:r w:rsidRPr="00836241">
        <w:rPr>
          <w:rFonts w:hAnsi="標楷體" w:hint="eastAsia"/>
        </w:rPr>
        <w:t>編制外人力經費占整體人力經費</w:t>
      </w:r>
      <w:r>
        <w:rPr>
          <w:rFonts w:hAnsi="標楷體" w:hint="eastAsia"/>
        </w:rPr>
        <w:t>由110年度20</w:t>
      </w:r>
      <w:r w:rsidRPr="00836241">
        <w:rPr>
          <w:rFonts w:hAnsi="標楷體"/>
        </w:rPr>
        <w:t>.9</w:t>
      </w:r>
      <w:r>
        <w:rPr>
          <w:rFonts w:hAnsi="標楷體" w:hint="eastAsia"/>
        </w:rPr>
        <w:t>1%，成長至112年度</w:t>
      </w:r>
      <w:r w:rsidRPr="00836241">
        <w:rPr>
          <w:rFonts w:hAnsi="標楷體"/>
        </w:rPr>
        <w:t>23.</w:t>
      </w:r>
      <w:r>
        <w:rPr>
          <w:rFonts w:hAnsi="標楷體" w:hint="eastAsia"/>
        </w:rPr>
        <w:t>81%，其占校務基金總支出比率，亦由110年度之</w:t>
      </w:r>
      <w:r w:rsidRPr="004F4D4A">
        <w:rPr>
          <w:rFonts w:hAnsi="標楷體"/>
        </w:rPr>
        <w:t>12.39</w:t>
      </w:r>
      <w:r>
        <w:rPr>
          <w:rFonts w:hAnsi="標楷體" w:hint="eastAsia"/>
        </w:rPr>
        <w:t>%，成長至112年度</w:t>
      </w:r>
      <w:r w:rsidRPr="004F4D4A">
        <w:rPr>
          <w:rFonts w:hAnsi="標楷體"/>
        </w:rPr>
        <w:t>13.</w:t>
      </w:r>
      <w:r>
        <w:rPr>
          <w:rFonts w:hAnsi="標楷體" w:hint="eastAsia"/>
        </w:rPr>
        <w:t>87%。</w:t>
      </w:r>
    </w:p>
    <w:p w14:paraId="26A4D50E" w14:textId="77777777" w:rsidR="00703000" w:rsidRPr="00C15320" w:rsidRDefault="00703000" w:rsidP="00260C29">
      <w:pPr>
        <w:pStyle w:val="2"/>
        <w:spacing w:line="480" w:lineRule="exact"/>
        <w:ind w:left="850" w:firstLine="566"/>
        <w:rPr>
          <w:rFonts w:hAnsi="標楷體"/>
          <w:snapToGrid/>
          <w:kern w:val="0"/>
        </w:rPr>
      </w:pPr>
      <w:r>
        <w:rPr>
          <w:rFonts w:hint="eastAsia"/>
          <w:snapToGrid/>
          <w:kern w:val="0"/>
        </w:rPr>
        <w:t>另112年度</w:t>
      </w:r>
      <w:r w:rsidRPr="008328E9">
        <w:rPr>
          <w:rFonts w:hint="eastAsia"/>
          <w:snapToGrid/>
          <w:kern w:val="0"/>
        </w:rPr>
        <w:t>校務基金支出</w:t>
      </w:r>
      <w:r>
        <w:rPr>
          <w:rFonts w:hint="eastAsia"/>
          <w:snapToGrid/>
          <w:kern w:val="0"/>
        </w:rPr>
        <w:t>成長幅度3</w:t>
      </w:r>
      <w:r w:rsidRPr="008328E9">
        <w:rPr>
          <w:rFonts w:hint="eastAsia"/>
          <w:snapToGrid/>
          <w:kern w:val="0"/>
        </w:rPr>
        <w:t>.</w:t>
      </w:r>
      <w:r>
        <w:rPr>
          <w:rFonts w:hint="eastAsia"/>
          <w:snapToGrid/>
          <w:kern w:val="0"/>
        </w:rPr>
        <w:t>17%，惟</w:t>
      </w:r>
      <w:r>
        <w:rPr>
          <w:rFonts w:hAnsi="標楷體" w:hint="eastAsia"/>
        </w:rPr>
        <w:t>編制外人力經費</w:t>
      </w:r>
      <w:r>
        <w:rPr>
          <w:rFonts w:hAnsi="標楷體"/>
        </w:rPr>
        <w:t>2</w:t>
      </w:r>
      <w:r>
        <w:rPr>
          <w:rFonts w:hAnsi="標楷體" w:hint="eastAsia"/>
        </w:rPr>
        <w:t>億</w:t>
      </w:r>
      <w:r>
        <w:rPr>
          <w:rFonts w:hAnsi="標楷體"/>
        </w:rPr>
        <w:t>2,6</w:t>
      </w:r>
      <w:r w:rsidRPr="001A227F">
        <w:rPr>
          <w:rFonts w:hAnsi="標楷體"/>
        </w:rPr>
        <w:t>23</w:t>
      </w:r>
      <w:r>
        <w:rPr>
          <w:rFonts w:hAnsi="標楷體" w:hint="eastAsia"/>
        </w:rPr>
        <w:t>萬</w:t>
      </w:r>
      <w:r w:rsidRPr="001A227F">
        <w:rPr>
          <w:rFonts w:hAnsi="標楷體"/>
        </w:rPr>
        <w:t>6</w:t>
      </w:r>
      <w:r>
        <w:rPr>
          <w:rFonts w:hAnsi="標楷體" w:hint="eastAsia"/>
        </w:rPr>
        <w:t>千元，較111年度增加952萬3千元，增幅4</w:t>
      </w:r>
      <w:r w:rsidRPr="008328E9">
        <w:rPr>
          <w:rFonts w:hint="eastAsia"/>
          <w:snapToGrid/>
          <w:kern w:val="0"/>
        </w:rPr>
        <w:t>.</w:t>
      </w:r>
      <w:r>
        <w:rPr>
          <w:rFonts w:hint="eastAsia"/>
          <w:snapToGrid/>
          <w:kern w:val="0"/>
        </w:rPr>
        <w:t>39%</w:t>
      </w:r>
      <w:r>
        <w:rPr>
          <w:rFonts w:hAnsi="標楷體" w:hint="eastAsia"/>
        </w:rPr>
        <w:t>，超過</w:t>
      </w:r>
      <w:r w:rsidRPr="008328E9">
        <w:rPr>
          <w:rFonts w:hint="eastAsia"/>
          <w:snapToGrid/>
          <w:kern w:val="0"/>
        </w:rPr>
        <w:t>支出</w:t>
      </w:r>
      <w:r>
        <w:rPr>
          <w:rFonts w:hint="eastAsia"/>
          <w:snapToGrid/>
          <w:kern w:val="0"/>
        </w:rPr>
        <w:t>成長幅度</w:t>
      </w:r>
      <w:r>
        <w:rPr>
          <w:rFonts w:hAnsi="標楷體" w:hint="eastAsia"/>
          <w:snapToGrid/>
          <w:kern w:val="0"/>
        </w:rPr>
        <w:t>；且114年度預估</w:t>
      </w:r>
      <w:r w:rsidRPr="00C15320">
        <w:rPr>
          <w:rFonts w:hAnsi="標楷體" w:hint="eastAsia"/>
          <w:snapToGrid/>
          <w:kern w:val="0"/>
        </w:rPr>
        <w:t>計時與計件人員</w:t>
      </w:r>
      <w:r>
        <w:rPr>
          <w:rFonts w:hAnsi="標楷體" w:hint="eastAsia"/>
          <w:snapToGrid/>
          <w:kern w:val="0"/>
        </w:rPr>
        <w:t>等</w:t>
      </w:r>
      <w:r w:rsidRPr="00C15320">
        <w:rPr>
          <w:rFonts w:hAnsi="標楷體" w:hint="eastAsia"/>
          <w:snapToGrid/>
          <w:kern w:val="0"/>
        </w:rPr>
        <w:t>編制外人力</w:t>
      </w:r>
      <w:r>
        <w:rPr>
          <w:rFonts w:hAnsi="標楷體" w:hint="eastAsia"/>
          <w:snapToGrid/>
          <w:kern w:val="0"/>
        </w:rPr>
        <w:t>經費仍較113年度</w:t>
      </w:r>
      <w:r>
        <w:rPr>
          <w:rFonts w:hAnsi="標楷體" w:hint="eastAsia"/>
        </w:rPr>
        <w:t>增加742萬8千元。</w:t>
      </w:r>
    </w:p>
    <w:p w14:paraId="1C8E31C3" w14:textId="77777777" w:rsidR="00703000" w:rsidRPr="00607D63" w:rsidRDefault="00703000" w:rsidP="00607D63">
      <w:pPr>
        <w:ind w:leftChars="0" w:left="0" w:firstLineChars="0" w:firstLine="0"/>
        <w:rPr>
          <w:rFonts w:hAnsi="標楷體"/>
          <w:b/>
          <w:snapToGrid/>
          <w:w w:val="90"/>
          <w:szCs w:val="20"/>
        </w:rPr>
      </w:pPr>
      <w:r w:rsidRPr="00607D63">
        <w:rPr>
          <w:rFonts w:hint="eastAsia"/>
          <w:b/>
          <w:snapToGrid/>
        </w:rPr>
        <w:t>表1</w:t>
      </w:r>
      <w:r w:rsidRPr="00607D63">
        <w:rPr>
          <w:rFonts w:hAnsi="標楷體" w:hint="eastAsia"/>
          <w:b/>
          <w:snapToGrid/>
          <w:w w:val="90"/>
          <w:szCs w:val="20"/>
        </w:rPr>
        <w:t xml:space="preserve">  </w:t>
      </w:r>
      <w:r w:rsidRPr="00607D63">
        <w:rPr>
          <w:rFonts w:hint="eastAsia"/>
          <w:b/>
          <w:snapToGrid/>
        </w:rPr>
        <w:t>高師大校務基金110至112年度收支及編制外人力費用比較表</w:t>
      </w:r>
    </w:p>
    <w:p w14:paraId="1617B7BF" w14:textId="77777777" w:rsidR="00703000" w:rsidRPr="00C231EB" w:rsidRDefault="00703000" w:rsidP="008328E9">
      <w:pPr>
        <w:spacing w:line="400" w:lineRule="exact"/>
        <w:ind w:leftChars="168" w:left="1048" w:hangingChars="235" w:hanging="572"/>
        <w:jc w:val="right"/>
        <w:rPr>
          <w:rFonts w:hAnsi="標楷體"/>
          <w:b/>
          <w:snapToGrid/>
          <w:w w:val="90"/>
          <w:szCs w:val="20"/>
        </w:rPr>
      </w:pPr>
      <w:r w:rsidRPr="00C231EB">
        <w:rPr>
          <w:rFonts w:hAnsi="標楷體" w:hint="eastAsia"/>
          <w:snapToGrid/>
          <w:sz w:val="24"/>
          <w:szCs w:val="24"/>
        </w:rPr>
        <w:t>單位：新臺幣千元；%</w:t>
      </w:r>
    </w:p>
    <w:tbl>
      <w:tblPr>
        <w:tblW w:w="8533" w:type="dxa"/>
        <w:tblInd w:w="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37"/>
        <w:gridCol w:w="1594"/>
        <w:gridCol w:w="1592"/>
        <w:gridCol w:w="1710"/>
      </w:tblGrid>
      <w:tr w:rsidR="00703000" w:rsidRPr="006534CD" w14:paraId="531763D4" w14:textId="77777777" w:rsidTr="006534CD">
        <w:trPr>
          <w:trHeight w:val="392"/>
          <w:tblHeader/>
        </w:trPr>
        <w:tc>
          <w:tcPr>
            <w:tcW w:w="3637" w:type="dxa"/>
            <w:shd w:val="clear" w:color="auto" w:fill="auto"/>
            <w:vAlign w:val="center"/>
          </w:tcPr>
          <w:p w14:paraId="26F0CCD1" w14:textId="77777777" w:rsidR="00703000" w:rsidRPr="006534CD" w:rsidRDefault="00703000" w:rsidP="00FC0BD0">
            <w:pPr>
              <w:pStyle w:val="20"/>
              <w:spacing w:line="220" w:lineRule="exact"/>
              <w:ind w:left="760" w:hanging="772"/>
              <w:jc w:val="center"/>
              <w:rPr>
                <w:snapToGrid/>
                <w:kern w:val="0"/>
                <w:sz w:val="22"/>
                <w:szCs w:val="22"/>
              </w:rPr>
            </w:pPr>
            <w:r w:rsidRPr="006534CD">
              <w:rPr>
                <w:rFonts w:hint="eastAsia"/>
                <w:snapToGrid/>
                <w:kern w:val="0"/>
                <w:sz w:val="22"/>
                <w:szCs w:val="22"/>
              </w:rPr>
              <w:t>項目</w:t>
            </w:r>
          </w:p>
        </w:tc>
        <w:tc>
          <w:tcPr>
            <w:tcW w:w="1594" w:type="dxa"/>
            <w:shd w:val="clear" w:color="auto" w:fill="auto"/>
            <w:vAlign w:val="center"/>
          </w:tcPr>
          <w:p w14:paraId="7EEE2AC4" w14:textId="77777777" w:rsidR="00703000" w:rsidRPr="006534CD" w:rsidRDefault="00703000" w:rsidP="006534CD">
            <w:pPr>
              <w:pStyle w:val="20"/>
              <w:spacing w:line="220" w:lineRule="exact"/>
              <w:jc w:val="center"/>
              <w:rPr>
                <w:snapToGrid/>
                <w:kern w:val="0"/>
                <w:sz w:val="22"/>
                <w:szCs w:val="22"/>
              </w:rPr>
            </w:pPr>
            <w:r w:rsidRPr="006534CD">
              <w:rPr>
                <w:rFonts w:hint="eastAsia"/>
                <w:snapToGrid/>
                <w:kern w:val="0"/>
                <w:sz w:val="22"/>
                <w:szCs w:val="22"/>
              </w:rPr>
              <w:t>110年度</w:t>
            </w:r>
          </w:p>
        </w:tc>
        <w:tc>
          <w:tcPr>
            <w:tcW w:w="1592" w:type="dxa"/>
            <w:shd w:val="clear" w:color="auto" w:fill="auto"/>
            <w:vAlign w:val="center"/>
          </w:tcPr>
          <w:p w14:paraId="11EB8DED" w14:textId="77777777" w:rsidR="00703000" w:rsidRPr="006534CD" w:rsidRDefault="00703000" w:rsidP="006534CD">
            <w:pPr>
              <w:pStyle w:val="20"/>
              <w:spacing w:line="220" w:lineRule="exact"/>
              <w:jc w:val="center"/>
              <w:rPr>
                <w:snapToGrid/>
                <w:kern w:val="0"/>
                <w:sz w:val="22"/>
                <w:szCs w:val="22"/>
              </w:rPr>
            </w:pPr>
            <w:r w:rsidRPr="006534CD">
              <w:rPr>
                <w:rFonts w:hint="eastAsia"/>
                <w:snapToGrid/>
                <w:kern w:val="0"/>
                <w:sz w:val="22"/>
                <w:szCs w:val="22"/>
              </w:rPr>
              <w:t>111年度</w:t>
            </w:r>
          </w:p>
        </w:tc>
        <w:tc>
          <w:tcPr>
            <w:tcW w:w="1710" w:type="dxa"/>
            <w:vAlign w:val="center"/>
          </w:tcPr>
          <w:p w14:paraId="14B08628" w14:textId="77777777" w:rsidR="00703000" w:rsidRPr="006534CD" w:rsidRDefault="00703000" w:rsidP="006534CD">
            <w:pPr>
              <w:pStyle w:val="20"/>
              <w:spacing w:line="220" w:lineRule="exact"/>
              <w:jc w:val="center"/>
              <w:rPr>
                <w:snapToGrid/>
                <w:kern w:val="0"/>
                <w:sz w:val="22"/>
                <w:szCs w:val="22"/>
              </w:rPr>
            </w:pPr>
            <w:r w:rsidRPr="006534CD">
              <w:rPr>
                <w:rFonts w:hint="eastAsia"/>
                <w:snapToGrid/>
                <w:kern w:val="0"/>
                <w:sz w:val="22"/>
                <w:szCs w:val="22"/>
              </w:rPr>
              <w:t>112年度</w:t>
            </w:r>
          </w:p>
        </w:tc>
      </w:tr>
      <w:tr w:rsidR="00703000" w:rsidRPr="006534CD" w14:paraId="243F82F5" w14:textId="77777777" w:rsidTr="006534CD">
        <w:trPr>
          <w:trHeight w:hRule="exact" w:val="302"/>
        </w:trPr>
        <w:tc>
          <w:tcPr>
            <w:tcW w:w="3637" w:type="dxa"/>
            <w:shd w:val="clear" w:color="auto" w:fill="auto"/>
            <w:vAlign w:val="center"/>
          </w:tcPr>
          <w:p w14:paraId="435D97CE" w14:textId="77777777" w:rsidR="00703000" w:rsidRPr="006534CD" w:rsidRDefault="00703000" w:rsidP="00141EA6">
            <w:pPr>
              <w:pStyle w:val="20"/>
              <w:spacing w:line="220" w:lineRule="exact"/>
              <w:ind w:left="760" w:hanging="760"/>
              <w:rPr>
                <w:snapToGrid/>
                <w:kern w:val="0"/>
                <w:sz w:val="22"/>
                <w:szCs w:val="22"/>
              </w:rPr>
            </w:pPr>
            <w:r w:rsidRPr="006534CD">
              <w:rPr>
                <w:rFonts w:hint="eastAsia"/>
                <w:snapToGrid/>
                <w:kern w:val="0"/>
                <w:sz w:val="22"/>
                <w:szCs w:val="22"/>
              </w:rPr>
              <w:t>校務基金總收入A</w:t>
            </w:r>
          </w:p>
        </w:tc>
        <w:tc>
          <w:tcPr>
            <w:tcW w:w="1594" w:type="dxa"/>
            <w:shd w:val="clear" w:color="auto" w:fill="auto"/>
            <w:vAlign w:val="center"/>
          </w:tcPr>
          <w:p w14:paraId="789580DD"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1,450,092</w:t>
            </w:r>
          </w:p>
        </w:tc>
        <w:tc>
          <w:tcPr>
            <w:tcW w:w="1592" w:type="dxa"/>
            <w:shd w:val="clear" w:color="auto" w:fill="auto"/>
            <w:vAlign w:val="center"/>
          </w:tcPr>
          <w:p w14:paraId="1A7DA5FC"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1,511,602</w:t>
            </w:r>
          </w:p>
        </w:tc>
        <w:tc>
          <w:tcPr>
            <w:tcW w:w="1710" w:type="dxa"/>
            <w:vAlign w:val="center"/>
          </w:tcPr>
          <w:p w14:paraId="61556639"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w:t>
            </w:r>
            <w:r w:rsidRPr="006534CD">
              <w:rPr>
                <w:snapToGrid/>
                <w:kern w:val="0"/>
                <w:sz w:val="22"/>
                <w:szCs w:val="22"/>
              </w:rPr>
              <w:t>,552,162</w:t>
            </w:r>
          </w:p>
        </w:tc>
      </w:tr>
      <w:tr w:rsidR="00703000" w:rsidRPr="006534CD" w14:paraId="5ADB0D20" w14:textId="77777777" w:rsidTr="006534CD">
        <w:trPr>
          <w:trHeight w:hRule="exact" w:val="302"/>
        </w:trPr>
        <w:tc>
          <w:tcPr>
            <w:tcW w:w="3637" w:type="dxa"/>
            <w:shd w:val="clear" w:color="auto" w:fill="auto"/>
            <w:vAlign w:val="center"/>
          </w:tcPr>
          <w:p w14:paraId="338FBA36" w14:textId="77777777" w:rsidR="00703000" w:rsidRPr="006534CD" w:rsidRDefault="00703000" w:rsidP="00141EA6">
            <w:pPr>
              <w:pStyle w:val="20"/>
              <w:spacing w:line="220" w:lineRule="exact"/>
              <w:ind w:left="760" w:hanging="760"/>
              <w:rPr>
                <w:snapToGrid/>
                <w:kern w:val="0"/>
                <w:sz w:val="22"/>
                <w:szCs w:val="22"/>
              </w:rPr>
            </w:pPr>
            <w:r w:rsidRPr="006534CD">
              <w:rPr>
                <w:rFonts w:hint="eastAsia"/>
                <w:snapToGrid/>
                <w:kern w:val="0"/>
                <w:sz w:val="22"/>
                <w:szCs w:val="22"/>
              </w:rPr>
              <w:t>校務基金總支出B</w:t>
            </w:r>
          </w:p>
        </w:tc>
        <w:tc>
          <w:tcPr>
            <w:tcW w:w="1594" w:type="dxa"/>
            <w:shd w:val="clear" w:color="auto" w:fill="auto"/>
            <w:vAlign w:val="center"/>
          </w:tcPr>
          <w:p w14:paraId="2BE76EDA"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1,512,054</w:t>
            </w:r>
          </w:p>
        </w:tc>
        <w:tc>
          <w:tcPr>
            <w:tcW w:w="1592" w:type="dxa"/>
            <w:shd w:val="clear" w:color="auto" w:fill="auto"/>
            <w:vAlign w:val="center"/>
          </w:tcPr>
          <w:p w14:paraId="689474BD"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1,581,480</w:t>
            </w:r>
          </w:p>
        </w:tc>
        <w:tc>
          <w:tcPr>
            <w:tcW w:w="1710" w:type="dxa"/>
            <w:vAlign w:val="center"/>
          </w:tcPr>
          <w:p w14:paraId="224F64CF"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w:t>
            </w:r>
            <w:r w:rsidRPr="006534CD">
              <w:rPr>
                <w:snapToGrid/>
                <w:kern w:val="0"/>
                <w:sz w:val="22"/>
                <w:szCs w:val="22"/>
              </w:rPr>
              <w:t>,631,665</w:t>
            </w:r>
          </w:p>
        </w:tc>
      </w:tr>
      <w:tr w:rsidR="00703000" w:rsidRPr="006534CD" w14:paraId="14714E9B" w14:textId="77777777" w:rsidTr="006534CD">
        <w:trPr>
          <w:trHeight w:hRule="exact" w:val="302"/>
        </w:trPr>
        <w:tc>
          <w:tcPr>
            <w:tcW w:w="3637" w:type="dxa"/>
            <w:shd w:val="clear" w:color="auto" w:fill="auto"/>
            <w:vAlign w:val="center"/>
          </w:tcPr>
          <w:p w14:paraId="209359BF" w14:textId="77777777" w:rsidR="00703000" w:rsidRPr="006534CD" w:rsidRDefault="00703000" w:rsidP="006534CD">
            <w:pPr>
              <w:pStyle w:val="20"/>
              <w:spacing w:line="220" w:lineRule="exact"/>
              <w:ind w:left="760" w:hanging="760"/>
              <w:rPr>
                <w:snapToGrid/>
                <w:kern w:val="0"/>
                <w:sz w:val="22"/>
                <w:szCs w:val="22"/>
              </w:rPr>
            </w:pPr>
            <w:r w:rsidRPr="006534CD">
              <w:rPr>
                <w:rFonts w:hint="eastAsia"/>
                <w:snapToGrid/>
                <w:kern w:val="0"/>
                <w:sz w:val="22"/>
                <w:szCs w:val="22"/>
              </w:rPr>
              <w:t>校務基金年度餘絀=A-B</w:t>
            </w:r>
          </w:p>
        </w:tc>
        <w:tc>
          <w:tcPr>
            <w:tcW w:w="1594" w:type="dxa"/>
            <w:shd w:val="clear" w:color="auto" w:fill="auto"/>
            <w:vAlign w:val="center"/>
          </w:tcPr>
          <w:p w14:paraId="4FE6B50D"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w:t>
            </w:r>
            <w:r w:rsidRPr="006534CD">
              <w:rPr>
                <w:rFonts w:hint="eastAsia"/>
                <w:snapToGrid/>
                <w:kern w:val="0"/>
                <w:sz w:val="22"/>
                <w:szCs w:val="22"/>
              </w:rPr>
              <w:t>61,962</w:t>
            </w:r>
            <w:r w:rsidRPr="006534CD">
              <w:rPr>
                <w:snapToGrid/>
                <w:kern w:val="0"/>
                <w:sz w:val="22"/>
                <w:szCs w:val="22"/>
              </w:rPr>
              <w:t>)</w:t>
            </w:r>
          </w:p>
        </w:tc>
        <w:tc>
          <w:tcPr>
            <w:tcW w:w="1592" w:type="dxa"/>
            <w:shd w:val="clear" w:color="auto" w:fill="auto"/>
            <w:vAlign w:val="center"/>
          </w:tcPr>
          <w:p w14:paraId="60BC8432"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w:t>
            </w:r>
            <w:r w:rsidRPr="006534CD">
              <w:rPr>
                <w:rFonts w:hint="eastAsia"/>
                <w:snapToGrid/>
                <w:kern w:val="0"/>
                <w:sz w:val="22"/>
                <w:szCs w:val="22"/>
              </w:rPr>
              <w:t>69,878</w:t>
            </w:r>
            <w:r w:rsidRPr="006534CD">
              <w:rPr>
                <w:snapToGrid/>
                <w:kern w:val="0"/>
                <w:sz w:val="22"/>
                <w:szCs w:val="22"/>
              </w:rPr>
              <w:t>)</w:t>
            </w:r>
          </w:p>
        </w:tc>
        <w:tc>
          <w:tcPr>
            <w:tcW w:w="1710" w:type="dxa"/>
            <w:vAlign w:val="center"/>
          </w:tcPr>
          <w:p w14:paraId="3B284F27"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(79,503)</w:t>
            </w:r>
          </w:p>
        </w:tc>
      </w:tr>
      <w:tr w:rsidR="00703000" w:rsidRPr="006534CD" w14:paraId="2A6FCAD5" w14:textId="77777777" w:rsidTr="006534CD">
        <w:trPr>
          <w:trHeight w:hRule="exact" w:val="302"/>
        </w:trPr>
        <w:tc>
          <w:tcPr>
            <w:tcW w:w="3637" w:type="dxa"/>
            <w:shd w:val="clear" w:color="auto" w:fill="auto"/>
            <w:vAlign w:val="center"/>
          </w:tcPr>
          <w:p w14:paraId="59E15611" w14:textId="77777777" w:rsidR="00703000" w:rsidRPr="006534CD" w:rsidRDefault="00703000" w:rsidP="006534CD">
            <w:pPr>
              <w:pStyle w:val="20"/>
              <w:spacing w:line="220" w:lineRule="exact"/>
              <w:ind w:left="760" w:hanging="760"/>
              <w:rPr>
                <w:snapToGrid/>
                <w:kern w:val="0"/>
                <w:sz w:val="22"/>
                <w:szCs w:val="22"/>
              </w:rPr>
            </w:pPr>
            <w:r>
              <w:rPr>
                <w:rFonts w:hint="eastAsia"/>
                <w:snapToGrid/>
                <w:kern w:val="0"/>
                <w:sz w:val="22"/>
                <w:szCs w:val="22"/>
              </w:rPr>
              <w:t>整體人力經費合計</w:t>
            </w:r>
            <w:r w:rsidRPr="006534CD">
              <w:rPr>
                <w:rFonts w:hint="eastAsia"/>
                <w:snapToGrid/>
                <w:kern w:val="0"/>
                <w:sz w:val="22"/>
                <w:szCs w:val="22"/>
              </w:rPr>
              <w:t>C</w:t>
            </w:r>
          </w:p>
        </w:tc>
        <w:tc>
          <w:tcPr>
            <w:tcW w:w="1594" w:type="dxa"/>
            <w:shd w:val="clear" w:color="auto" w:fill="auto"/>
            <w:vAlign w:val="center"/>
          </w:tcPr>
          <w:p w14:paraId="34AFA823"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896,020</w:t>
            </w:r>
          </w:p>
        </w:tc>
        <w:tc>
          <w:tcPr>
            <w:tcW w:w="1592" w:type="dxa"/>
            <w:shd w:val="clear" w:color="auto" w:fill="auto"/>
            <w:vAlign w:val="center"/>
          </w:tcPr>
          <w:p w14:paraId="51D21803"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943,215</w:t>
            </w:r>
          </w:p>
        </w:tc>
        <w:tc>
          <w:tcPr>
            <w:tcW w:w="1710" w:type="dxa"/>
            <w:vAlign w:val="center"/>
          </w:tcPr>
          <w:p w14:paraId="03F00801"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949,981</w:t>
            </w:r>
          </w:p>
        </w:tc>
      </w:tr>
      <w:tr w:rsidR="00703000" w:rsidRPr="006534CD" w14:paraId="003DA9D3" w14:textId="77777777" w:rsidTr="006534CD">
        <w:trPr>
          <w:trHeight w:hRule="exact" w:val="302"/>
        </w:trPr>
        <w:tc>
          <w:tcPr>
            <w:tcW w:w="3637" w:type="dxa"/>
            <w:shd w:val="clear" w:color="auto" w:fill="auto"/>
            <w:vAlign w:val="center"/>
          </w:tcPr>
          <w:p w14:paraId="1DC51743" w14:textId="77777777" w:rsidR="00703000" w:rsidRPr="009440DA" w:rsidRDefault="00703000" w:rsidP="006534CD">
            <w:pPr>
              <w:pStyle w:val="20"/>
              <w:spacing w:line="220" w:lineRule="exact"/>
              <w:ind w:left="760" w:hanging="760"/>
              <w:rPr>
                <w:b/>
                <w:snapToGrid/>
                <w:kern w:val="0"/>
                <w:sz w:val="22"/>
                <w:szCs w:val="22"/>
              </w:rPr>
            </w:pPr>
            <w:r>
              <w:rPr>
                <w:rFonts w:hint="eastAsia"/>
                <w:b/>
                <w:snapToGrid/>
                <w:kern w:val="0"/>
                <w:sz w:val="22"/>
                <w:szCs w:val="22"/>
              </w:rPr>
              <w:t>編制外人力經費</w:t>
            </w:r>
            <w:r w:rsidRPr="009440DA">
              <w:rPr>
                <w:rFonts w:hint="eastAsia"/>
                <w:b/>
                <w:snapToGrid/>
                <w:kern w:val="0"/>
                <w:sz w:val="22"/>
                <w:szCs w:val="22"/>
              </w:rPr>
              <w:t>D</w:t>
            </w:r>
          </w:p>
        </w:tc>
        <w:tc>
          <w:tcPr>
            <w:tcW w:w="1594" w:type="dxa"/>
            <w:shd w:val="clear" w:color="auto" w:fill="auto"/>
            <w:vAlign w:val="center"/>
          </w:tcPr>
          <w:p w14:paraId="2D1A1C90"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187,315</w:t>
            </w:r>
          </w:p>
        </w:tc>
        <w:tc>
          <w:tcPr>
            <w:tcW w:w="1592" w:type="dxa"/>
            <w:shd w:val="clear" w:color="auto" w:fill="auto"/>
            <w:vAlign w:val="center"/>
          </w:tcPr>
          <w:p w14:paraId="5DC69521"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216,713</w:t>
            </w:r>
          </w:p>
        </w:tc>
        <w:tc>
          <w:tcPr>
            <w:tcW w:w="1710" w:type="dxa"/>
            <w:vAlign w:val="center"/>
          </w:tcPr>
          <w:p w14:paraId="26540482"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226,236</w:t>
            </w:r>
          </w:p>
        </w:tc>
      </w:tr>
      <w:tr w:rsidR="00703000" w:rsidRPr="006534CD" w14:paraId="370204C4" w14:textId="77777777" w:rsidTr="006534CD">
        <w:trPr>
          <w:trHeight w:hRule="exact" w:val="302"/>
        </w:trPr>
        <w:tc>
          <w:tcPr>
            <w:tcW w:w="3637" w:type="dxa"/>
            <w:shd w:val="clear" w:color="auto" w:fill="auto"/>
            <w:vAlign w:val="center"/>
          </w:tcPr>
          <w:p w14:paraId="58A8B8C6" w14:textId="77777777" w:rsidR="00703000" w:rsidRPr="006534CD" w:rsidRDefault="00703000" w:rsidP="006534CD">
            <w:pPr>
              <w:pStyle w:val="20"/>
              <w:spacing w:line="220" w:lineRule="exact"/>
              <w:ind w:left="760" w:hanging="760"/>
              <w:rPr>
                <w:snapToGrid/>
                <w:spacing w:val="-16"/>
                <w:kern w:val="0"/>
                <w:sz w:val="22"/>
                <w:szCs w:val="22"/>
              </w:rPr>
            </w:pPr>
            <w:r w:rsidRPr="006534CD">
              <w:rPr>
                <w:rFonts w:hint="eastAsia"/>
                <w:snapToGrid/>
                <w:spacing w:val="-16"/>
                <w:kern w:val="0"/>
                <w:sz w:val="22"/>
                <w:szCs w:val="22"/>
              </w:rPr>
              <w:t>編制外人力經費占整體人力經費比D/C</w:t>
            </w:r>
          </w:p>
        </w:tc>
        <w:tc>
          <w:tcPr>
            <w:tcW w:w="1594" w:type="dxa"/>
            <w:shd w:val="clear" w:color="auto" w:fill="auto"/>
            <w:vAlign w:val="center"/>
          </w:tcPr>
          <w:p w14:paraId="5BC57BD1" w14:textId="77777777" w:rsidR="00703000" w:rsidRPr="00751411" w:rsidRDefault="00703000" w:rsidP="006534CD">
            <w:pPr>
              <w:pStyle w:val="20"/>
              <w:spacing w:line="220" w:lineRule="exact"/>
              <w:jc w:val="right"/>
              <w:rPr>
                <w:b/>
                <w:snapToGrid/>
                <w:kern w:val="0"/>
                <w:sz w:val="22"/>
                <w:szCs w:val="22"/>
              </w:rPr>
            </w:pPr>
            <w:r w:rsidRPr="00751411">
              <w:rPr>
                <w:b/>
                <w:snapToGrid/>
                <w:kern w:val="0"/>
                <w:sz w:val="22"/>
                <w:szCs w:val="22"/>
              </w:rPr>
              <w:t xml:space="preserve">20.91% </w:t>
            </w:r>
          </w:p>
        </w:tc>
        <w:tc>
          <w:tcPr>
            <w:tcW w:w="1592" w:type="dxa"/>
            <w:shd w:val="clear" w:color="auto" w:fill="auto"/>
            <w:vAlign w:val="center"/>
          </w:tcPr>
          <w:p w14:paraId="422BDAC4"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2</w:t>
            </w:r>
            <w:r w:rsidRPr="006534CD">
              <w:rPr>
                <w:rFonts w:hint="eastAsia"/>
                <w:snapToGrid/>
                <w:kern w:val="0"/>
                <w:sz w:val="22"/>
                <w:szCs w:val="22"/>
              </w:rPr>
              <w:t>2</w:t>
            </w:r>
            <w:r w:rsidRPr="006534CD">
              <w:rPr>
                <w:snapToGrid/>
                <w:kern w:val="0"/>
                <w:sz w:val="22"/>
                <w:szCs w:val="22"/>
              </w:rPr>
              <w:t>.</w:t>
            </w:r>
            <w:r w:rsidRPr="006534CD">
              <w:rPr>
                <w:rFonts w:hint="eastAsia"/>
                <w:snapToGrid/>
                <w:kern w:val="0"/>
                <w:sz w:val="22"/>
                <w:szCs w:val="22"/>
              </w:rPr>
              <w:t>98</w:t>
            </w:r>
            <w:r w:rsidRPr="006534CD">
              <w:rPr>
                <w:snapToGrid/>
                <w:kern w:val="0"/>
                <w:sz w:val="22"/>
                <w:szCs w:val="22"/>
              </w:rPr>
              <w:t xml:space="preserve">% </w:t>
            </w:r>
          </w:p>
        </w:tc>
        <w:tc>
          <w:tcPr>
            <w:tcW w:w="1710" w:type="dxa"/>
            <w:vAlign w:val="center"/>
          </w:tcPr>
          <w:p w14:paraId="277462E0" w14:textId="77777777" w:rsidR="00703000" w:rsidRPr="006534CD" w:rsidRDefault="00703000" w:rsidP="006534CD">
            <w:pPr>
              <w:pStyle w:val="20"/>
              <w:spacing w:line="220" w:lineRule="exact"/>
              <w:jc w:val="right"/>
              <w:rPr>
                <w:snapToGrid/>
                <w:kern w:val="0"/>
                <w:sz w:val="22"/>
                <w:szCs w:val="22"/>
              </w:rPr>
            </w:pPr>
            <w:r w:rsidRPr="00751411">
              <w:rPr>
                <w:b/>
                <w:snapToGrid/>
                <w:kern w:val="0"/>
                <w:sz w:val="22"/>
                <w:szCs w:val="22"/>
              </w:rPr>
              <w:t>23.81</w:t>
            </w:r>
            <w:r w:rsidRPr="006534CD">
              <w:rPr>
                <w:snapToGrid/>
                <w:kern w:val="0"/>
                <w:sz w:val="22"/>
                <w:szCs w:val="22"/>
              </w:rPr>
              <w:t>%</w:t>
            </w:r>
          </w:p>
        </w:tc>
      </w:tr>
      <w:tr w:rsidR="00703000" w:rsidRPr="006534CD" w14:paraId="160B9B7D" w14:textId="77777777" w:rsidTr="006534CD">
        <w:trPr>
          <w:trHeight w:hRule="exact" w:val="302"/>
        </w:trPr>
        <w:tc>
          <w:tcPr>
            <w:tcW w:w="3637" w:type="dxa"/>
            <w:shd w:val="clear" w:color="auto" w:fill="auto"/>
            <w:vAlign w:val="center"/>
          </w:tcPr>
          <w:p w14:paraId="637DA16D" w14:textId="77777777" w:rsidR="00703000" w:rsidRPr="006534CD" w:rsidRDefault="00703000" w:rsidP="006534CD">
            <w:pPr>
              <w:pStyle w:val="20"/>
              <w:spacing w:line="220" w:lineRule="exact"/>
              <w:ind w:left="760" w:hanging="760"/>
              <w:rPr>
                <w:snapToGrid/>
                <w:kern w:val="0"/>
                <w:sz w:val="22"/>
                <w:szCs w:val="22"/>
              </w:rPr>
            </w:pPr>
            <w:r w:rsidRPr="006534CD">
              <w:rPr>
                <w:rFonts w:hint="eastAsia"/>
                <w:snapToGrid/>
                <w:spacing w:val="-16"/>
                <w:kern w:val="0"/>
                <w:sz w:val="22"/>
                <w:szCs w:val="22"/>
              </w:rPr>
              <w:t>編制外人力經費占校務基金總支出比率D/B</w:t>
            </w:r>
          </w:p>
        </w:tc>
        <w:tc>
          <w:tcPr>
            <w:tcW w:w="1594" w:type="dxa"/>
            <w:shd w:val="clear" w:color="auto" w:fill="auto"/>
            <w:vAlign w:val="center"/>
          </w:tcPr>
          <w:p w14:paraId="65A6C4B6" w14:textId="77777777" w:rsidR="00703000" w:rsidRPr="00751411" w:rsidRDefault="00703000" w:rsidP="006534CD">
            <w:pPr>
              <w:pStyle w:val="20"/>
              <w:spacing w:line="220" w:lineRule="exact"/>
              <w:jc w:val="right"/>
              <w:rPr>
                <w:b/>
                <w:snapToGrid/>
                <w:kern w:val="0"/>
                <w:sz w:val="22"/>
                <w:szCs w:val="22"/>
              </w:rPr>
            </w:pPr>
            <w:r w:rsidRPr="00751411">
              <w:rPr>
                <w:b/>
                <w:snapToGrid/>
                <w:kern w:val="0"/>
                <w:sz w:val="22"/>
                <w:szCs w:val="22"/>
              </w:rPr>
              <w:t xml:space="preserve">12.39% </w:t>
            </w:r>
          </w:p>
        </w:tc>
        <w:tc>
          <w:tcPr>
            <w:tcW w:w="1592" w:type="dxa"/>
            <w:shd w:val="clear" w:color="auto" w:fill="auto"/>
            <w:vAlign w:val="center"/>
          </w:tcPr>
          <w:p w14:paraId="49D56C75"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 xml:space="preserve">13.70% </w:t>
            </w:r>
          </w:p>
        </w:tc>
        <w:tc>
          <w:tcPr>
            <w:tcW w:w="1710" w:type="dxa"/>
            <w:vAlign w:val="center"/>
          </w:tcPr>
          <w:p w14:paraId="1BAEA564" w14:textId="77777777" w:rsidR="00703000" w:rsidRPr="00751411" w:rsidRDefault="00703000" w:rsidP="006534CD">
            <w:pPr>
              <w:pStyle w:val="20"/>
              <w:spacing w:line="220" w:lineRule="exact"/>
              <w:jc w:val="right"/>
              <w:rPr>
                <w:b/>
                <w:snapToGrid/>
                <w:kern w:val="0"/>
                <w:sz w:val="22"/>
                <w:szCs w:val="22"/>
              </w:rPr>
            </w:pPr>
            <w:r w:rsidRPr="00751411">
              <w:rPr>
                <w:b/>
                <w:snapToGrid/>
                <w:kern w:val="0"/>
                <w:sz w:val="22"/>
                <w:szCs w:val="22"/>
              </w:rPr>
              <w:t>13.87%</w:t>
            </w:r>
          </w:p>
        </w:tc>
      </w:tr>
    </w:tbl>
    <w:p w14:paraId="5658B9B0" w14:textId="77777777" w:rsidR="00703000" w:rsidRDefault="00703000" w:rsidP="004876D9">
      <w:pPr>
        <w:spacing w:line="240" w:lineRule="exact"/>
        <w:ind w:leftChars="0" w:left="0" w:firstLineChars="0" w:firstLine="0"/>
        <w:jc w:val="left"/>
        <w:rPr>
          <w:rFonts w:hAnsi="標楷體"/>
          <w:sz w:val="22"/>
          <w:szCs w:val="22"/>
        </w:rPr>
      </w:pPr>
      <w:r>
        <w:rPr>
          <w:rFonts w:hAnsi="標楷體" w:hint="eastAsia"/>
          <w:sz w:val="22"/>
          <w:szCs w:val="22"/>
        </w:rPr>
        <w:t>說    明：本表各項目均為決算數。</w:t>
      </w:r>
    </w:p>
    <w:p w14:paraId="24D88662" w14:textId="77777777" w:rsidR="00703000" w:rsidRPr="00C65C21" w:rsidRDefault="00703000" w:rsidP="004876D9">
      <w:pPr>
        <w:spacing w:line="240" w:lineRule="exact"/>
        <w:ind w:leftChars="0" w:left="0" w:firstLineChars="0" w:firstLine="0"/>
        <w:jc w:val="left"/>
        <w:rPr>
          <w:rFonts w:hAnsi="標楷體"/>
          <w:sz w:val="22"/>
          <w:szCs w:val="22"/>
        </w:rPr>
      </w:pPr>
      <w:r w:rsidRPr="00C65C21">
        <w:rPr>
          <w:rFonts w:hAnsi="標楷體"/>
          <w:sz w:val="22"/>
          <w:szCs w:val="22"/>
        </w:rPr>
        <w:t>資料來源：</w:t>
      </w:r>
      <w:r>
        <w:rPr>
          <w:rFonts w:hAnsi="標楷體" w:hint="eastAsia"/>
          <w:sz w:val="22"/>
          <w:szCs w:val="22"/>
        </w:rPr>
        <w:t>高</w:t>
      </w:r>
      <w:r w:rsidRPr="00C65C21">
        <w:rPr>
          <w:rFonts w:hAnsi="標楷體" w:hint="eastAsia"/>
          <w:sz w:val="22"/>
          <w:szCs w:val="22"/>
        </w:rPr>
        <w:t>師大提供。</w:t>
      </w:r>
    </w:p>
    <w:p w14:paraId="21A8113B" w14:textId="77777777" w:rsidR="00703000" w:rsidRPr="00810891" w:rsidRDefault="00703000" w:rsidP="00260C29">
      <w:pPr>
        <w:spacing w:line="480" w:lineRule="exact"/>
        <w:ind w:left="566" w:firstLine="566"/>
      </w:pPr>
      <w:r>
        <w:rPr>
          <w:rFonts w:hint="eastAsia"/>
        </w:rPr>
        <w:t>綜上</w:t>
      </w:r>
      <w:r>
        <w:rPr>
          <w:rFonts w:hAnsi="標楷體" w:hint="eastAsia"/>
        </w:rPr>
        <w:t>，</w:t>
      </w:r>
      <w:r w:rsidRPr="00214B45">
        <w:rPr>
          <w:rFonts w:hAnsi="標楷體" w:hint="eastAsia"/>
        </w:rPr>
        <w:t>近年高師大因應</w:t>
      </w:r>
      <w:r>
        <w:rPr>
          <w:rFonts w:hAnsi="標楷體" w:hint="eastAsia"/>
        </w:rPr>
        <w:t>高等教育環境之競爭，致</w:t>
      </w:r>
      <w:r w:rsidRPr="00214B45">
        <w:rPr>
          <w:rFonts w:hAnsi="標楷體" w:hint="eastAsia"/>
        </w:rPr>
        <w:t>業務</w:t>
      </w:r>
      <w:r>
        <w:rPr>
          <w:rFonts w:hAnsi="標楷體" w:hint="eastAsia"/>
        </w:rPr>
        <w:t>量增加，</w:t>
      </w:r>
      <w:r>
        <w:rPr>
          <w:rFonts w:hAnsi="標楷體" w:hint="eastAsia"/>
        </w:rPr>
        <w:lastRenderedPageBreak/>
        <w:t>亦使</w:t>
      </w:r>
      <w:r w:rsidRPr="00214B45">
        <w:rPr>
          <w:rFonts w:hAnsi="標楷體" w:hint="eastAsia"/>
        </w:rPr>
        <w:t>編制外人力經費</w:t>
      </w:r>
      <w:r>
        <w:rPr>
          <w:rFonts w:hAnsi="標楷體" w:hint="eastAsia"/>
        </w:rPr>
        <w:t>持續成長，惟鑒於該校校務基金年度短絀未能有效改善，允宜檢視該等</w:t>
      </w:r>
      <w:r w:rsidRPr="00214B45">
        <w:rPr>
          <w:rFonts w:hAnsi="標楷體" w:hint="eastAsia"/>
        </w:rPr>
        <w:t>人</w:t>
      </w:r>
      <w:r>
        <w:rPr>
          <w:rFonts w:hAnsi="標楷體" w:hint="eastAsia"/>
        </w:rPr>
        <w:t>員</w:t>
      </w:r>
      <w:r w:rsidRPr="00214B45">
        <w:rPr>
          <w:rFonts w:hAnsi="標楷體" w:hint="eastAsia"/>
        </w:rPr>
        <w:t>運用</w:t>
      </w:r>
      <w:r>
        <w:rPr>
          <w:rFonts w:hAnsi="標楷體" w:hint="eastAsia"/>
        </w:rPr>
        <w:t>之效益，妥予控管其經費之成長，以降低基金財務負擔。</w:t>
      </w:r>
    </w:p>
    <w:p w14:paraId="47A9BDAE" w14:textId="77777777" w:rsidR="00703000" w:rsidRPr="00810891" w:rsidRDefault="00703000" w:rsidP="00607D63">
      <w:pPr>
        <w:pStyle w:val="ab"/>
        <w:spacing w:line="280" w:lineRule="exact"/>
      </w:pPr>
      <w:r w:rsidRPr="00767970">
        <w:rPr>
          <w:rFonts w:hint="eastAsia"/>
        </w:rPr>
        <w:t>（分機：19</w:t>
      </w:r>
      <w:r>
        <w:rPr>
          <w:rFonts w:hint="eastAsia"/>
        </w:rPr>
        <w:t>30芮家楨</w:t>
      </w:r>
      <w:r w:rsidRPr="00767970">
        <w:rPr>
          <w:rFonts w:hint="eastAsia"/>
        </w:rPr>
        <w:t>）</w:t>
      </w:r>
    </w:p>
    <w:sectPr w:rsidR="00703000" w:rsidRPr="00810891"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2C116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6871B233"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2C1161">
      <w:rPr>
        <w:rStyle w:val="af6"/>
        <w:noProof/>
      </w:rPr>
      <w:t>3</w:t>
    </w:r>
    <w:r>
      <w:rPr>
        <w:rStyle w:val="af6"/>
      </w:rPr>
      <w:fldChar w:fldCharType="end"/>
    </w:r>
  </w:p>
  <w:p w14:paraId="44D11F74" w14:textId="77777777" w:rsidR="00D36F94" w:rsidRPr="001F2930" w:rsidRDefault="002C1161"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2C116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2C116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2C1161"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2C1161">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C1161"/>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F8109-3EA0-4175-8DAB-8FE008D5F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252</Words>
  <Characters>1441</Characters>
  <Application>Microsoft Office Word</Application>
  <DocSecurity>0</DocSecurity>
  <Lines>12</Lines>
  <Paragraphs>3</Paragraphs>
  <ScaleCrop>false</ScaleCrop>
  <Company>HOME</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