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CB16B94" w14:textId="2BC58C76" w:rsidR="00CE22CA" w:rsidRDefault="00CE22CA" w:rsidP="00807ADB">
      <w:pPr>
        <w:pStyle w:val="14"/>
        <w:ind w:left="567" w:hanging="567"/>
      </w:pPr>
      <w:bookmarkStart w:id="1" w:name="_Toc180413024"/>
      <w:r>
        <w:rPr>
          <w:rFonts w:hint="eastAsia"/>
        </w:rPr>
        <w:t>二九、屏東科技大學自籌收入逾3</w:t>
      </w:r>
      <w:r>
        <w:t>成來自學雜費收入</w:t>
      </w:r>
      <w:r>
        <w:rPr>
          <w:rFonts w:hint="eastAsia"/>
        </w:rPr>
        <w:t>，</w:t>
      </w:r>
      <w:r>
        <w:t>惟</w:t>
      </w:r>
      <w:r>
        <w:rPr>
          <w:rFonts w:hint="eastAsia"/>
        </w:rPr>
        <w:t>1</w:t>
      </w:r>
      <w:r>
        <w:t>12年度學雜費收入創近</w:t>
      </w:r>
      <w:r>
        <w:rPr>
          <w:rFonts w:hint="eastAsia"/>
        </w:rPr>
        <w:t>5</w:t>
      </w:r>
      <w:r>
        <w:t>年來新低</w:t>
      </w:r>
      <w:r>
        <w:rPr>
          <w:rFonts w:hint="eastAsia"/>
        </w:rPr>
        <w:t>，允待</w:t>
      </w:r>
      <w:r w:rsidRPr="00807ADB">
        <w:rPr>
          <w:rFonts w:hint="eastAsia"/>
        </w:rPr>
        <w:t>積極開拓其他自籌收入財源，</w:t>
      </w:r>
      <w:bookmarkStart w:id="2" w:name="_Hlk179795883"/>
      <w:r>
        <w:rPr>
          <w:rFonts w:hint="eastAsia"/>
        </w:rPr>
        <w:t>俾</w:t>
      </w:r>
      <w:r w:rsidRPr="000D30B8">
        <w:rPr>
          <w:rFonts w:hint="eastAsia"/>
        </w:rPr>
        <w:t>增裕</w:t>
      </w:r>
      <w:r>
        <w:rPr>
          <w:rFonts w:hint="eastAsia"/>
        </w:rPr>
        <w:t>該校</w:t>
      </w:r>
      <w:r w:rsidRPr="000D30B8">
        <w:rPr>
          <w:rFonts w:hint="eastAsia"/>
        </w:rPr>
        <w:t>營運資金</w:t>
      </w:r>
      <w:bookmarkEnd w:id="1"/>
      <w:bookmarkEnd w:id="2"/>
    </w:p>
    <w:p w14:paraId="1D78FECF" w14:textId="77777777" w:rsidR="00CE22CA" w:rsidRDefault="00CE22CA" w:rsidP="000D30B8">
      <w:pPr>
        <w:ind w:left="566" w:firstLine="566"/>
      </w:pPr>
      <w:r w:rsidRPr="00025B70">
        <w:rPr>
          <w:rFonts w:hint="eastAsia"/>
        </w:rPr>
        <w:t>屏東科技大學校務基金11</w:t>
      </w:r>
      <w:r>
        <w:t>4</w:t>
      </w:r>
      <w:r w:rsidRPr="00025B70">
        <w:rPr>
          <w:rFonts w:hint="eastAsia"/>
        </w:rPr>
        <w:t>年度預算案總收入編列</w:t>
      </w:r>
      <w:r>
        <w:t>28</w:t>
      </w:r>
      <w:r w:rsidRPr="00025B70">
        <w:rPr>
          <w:rFonts w:hint="eastAsia"/>
        </w:rPr>
        <w:t>億</w:t>
      </w:r>
      <w:r>
        <w:rPr>
          <w:rFonts w:hint="eastAsia"/>
        </w:rPr>
        <w:t>5</w:t>
      </w:r>
      <w:r w:rsidRPr="00025B70">
        <w:rPr>
          <w:rFonts w:hint="eastAsia"/>
        </w:rPr>
        <w:t>,</w:t>
      </w:r>
      <w:r>
        <w:t>258</w:t>
      </w:r>
      <w:r w:rsidRPr="00025B70">
        <w:rPr>
          <w:rFonts w:hint="eastAsia"/>
        </w:rPr>
        <w:t>萬</w:t>
      </w:r>
      <w:r>
        <w:rPr>
          <w:rFonts w:hint="eastAsia"/>
        </w:rPr>
        <w:t>3</w:t>
      </w:r>
      <w:r w:rsidRPr="00025B70">
        <w:rPr>
          <w:rFonts w:hint="eastAsia"/>
        </w:rPr>
        <w:t>千元(含業務收入</w:t>
      </w:r>
      <w:r w:rsidRPr="00D44DB9">
        <w:rPr>
          <w:rFonts w:hint="eastAsia"/>
        </w:rPr>
        <w:t>26億7,956萬3千元</w:t>
      </w:r>
      <w:r w:rsidRPr="00025B70">
        <w:rPr>
          <w:rFonts w:hint="eastAsia"/>
        </w:rPr>
        <w:t>、業務外收入1億7,</w:t>
      </w:r>
      <w:r>
        <w:t>302</w:t>
      </w:r>
      <w:r w:rsidRPr="00025B70">
        <w:rPr>
          <w:rFonts w:hint="eastAsia"/>
        </w:rPr>
        <w:t>萬元)，其中政府補助收入14億</w:t>
      </w:r>
      <w:r>
        <w:rPr>
          <w:rFonts w:hint="eastAsia"/>
        </w:rPr>
        <w:t>7</w:t>
      </w:r>
      <w:r>
        <w:t>,239</w:t>
      </w:r>
      <w:r w:rsidRPr="00025B70">
        <w:rPr>
          <w:rFonts w:hint="eastAsia"/>
        </w:rPr>
        <w:t>萬</w:t>
      </w:r>
      <w:r>
        <w:rPr>
          <w:rFonts w:hint="eastAsia"/>
        </w:rPr>
        <w:t>3</w:t>
      </w:r>
      <w:r w:rsidRPr="00025B70">
        <w:rPr>
          <w:rFonts w:hint="eastAsia"/>
        </w:rPr>
        <w:t>千元，占比51.</w:t>
      </w:r>
      <w:r>
        <w:t>62</w:t>
      </w:r>
      <w:r w:rsidRPr="00025B70">
        <w:rPr>
          <w:rFonts w:hint="eastAsia"/>
        </w:rPr>
        <w:t>%；自籌收入 13億</w:t>
      </w:r>
      <w:r>
        <w:rPr>
          <w:rFonts w:hint="eastAsia"/>
        </w:rPr>
        <w:t>8</w:t>
      </w:r>
      <w:r w:rsidRPr="00025B70">
        <w:rPr>
          <w:rFonts w:hint="eastAsia"/>
        </w:rPr>
        <w:t>,</w:t>
      </w:r>
      <w:r>
        <w:t>019</w:t>
      </w:r>
      <w:r w:rsidRPr="00025B70">
        <w:rPr>
          <w:rFonts w:hint="eastAsia"/>
        </w:rPr>
        <w:t>萬元，占比48.</w:t>
      </w:r>
      <w:r>
        <w:t>38</w:t>
      </w:r>
      <w:r w:rsidRPr="00025B70">
        <w:rPr>
          <w:rFonts w:hint="eastAsia"/>
        </w:rPr>
        <w:t>%。經查：</w:t>
      </w:r>
    </w:p>
    <w:p w14:paraId="45D41035" w14:textId="77777777" w:rsidR="00CE22CA" w:rsidRDefault="00CE22CA" w:rsidP="00D44DB9">
      <w:pPr>
        <w:pStyle w:val="a4"/>
        <w:ind w:left="849" w:hanging="283"/>
        <w:rPr>
          <w:b/>
          <w:bCs/>
        </w:rPr>
      </w:pPr>
      <w:r w:rsidRPr="00A07CB6">
        <w:rPr>
          <w:rFonts w:hint="eastAsia"/>
          <w:b/>
          <w:bCs/>
        </w:rPr>
        <w:t>(一</w:t>
      </w:r>
      <w:r w:rsidRPr="00A07CB6">
        <w:rPr>
          <w:b/>
          <w:bCs/>
        </w:rPr>
        <w:t>)</w:t>
      </w:r>
      <w:r w:rsidRPr="002648F4">
        <w:rPr>
          <w:rFonts w:hint="eastAsia"/>
          <w:b/>
          <w:bCs/>
        </w:rPr>
        <w:t>屏東科技大學</w:t>
      </w:r>
      <w:r w:rsidRPr="004046DA">
        <w:rPr>
          <w:rFonts w:hint="eastAsia"/>
          <w:b/>
          <w:bCs/>
        </w:rPr>
        <w:t>校務基金</w:t>
      </w:r>
      <w:r>
        <w:rPr>
          <w:rFonts w:hint="eastAsia"/>
          <w:b/>
          <w:bCs/>
        </w:rPr>
        <w:t>自籌收入比率自1</w:t>
      </w:r>
      <w:r>
        <w:rPr>
          <w:b/>
          <w:bCs/>
        </w:rPr>
        <w:t>10年度起皆未及</w:t>
      </w:r>
      <w:r>
        <w:rPr>
          <w:rFonts w:hint="eastAsia"/>
          <w:b/>
          <w:bCs/>
        </w:rPr>
        <w:t>5</w:t>
      </w:r>
      <w:r>
        <w:rPr>
          <w:b/>
          <w:bCs/>
        </w:rPr>
        <w:t>成</w:t>
      </w:r>
      <w:r>
        <w:rPr>
          <w:rFonts w:hint="eastAsia"/>
          <w:b/>
          <w:bCs/>
        </w:rPr>
        <w:t>，1</w:t>
      </w:r>
      <w:r>
        <w:rPr>
          <w:b/>
          <w:bCs/>
        </w:rPr>
        <w:t>14年度更預計下滑至</w:t>
      </w:r>
      <w:r>
        <w:rPr>
          <w:rFonts w:hint="eastAsia"/>
          <w:b/>
          <w:bCs/>
        </w:rPr>
        <w:t>4</w:t>
      </w:r>
      <w:r>
        <w:rPr>
          <w:b/>
          <w:bCs/>
        </w:rPr>
        <w:t>8.38%</w:t>
      </w:r>
      <w:r w:rsidRPr="006E7622">
        <w:rPr>
          <w:rFonts w:hint="eastAsia"/>
          <w:b/>
          <w:bCs/>
        </w:rPr>
        <w:t>，自籌財源能力容待加強</w:t>
      </w:r>
    </w:p>
    <w:p w14:paraId="737EA641" w14:textId="77777777" w:rsidR="00CE22CA" w:rsidRDefault="00CE22CA" w:rsidP="002648F4">
      <w:pPr>
        <w:pStyle w:val="2"/>
        <w:ind w:left="850" w:firstLine="566"/>
      </w:pPr>
      <w:r w:rsidRPr="00942A60">
        <w:rPr>
          <w:rFonts w:hint="eastAsia"/>
        </w:rPr>
        <w:t>屏東科技大學</w:t>
      </w:r>
      <w:r>
        <w:rPr>
          <w:rFonts w:hint="eastAsia"/>
        </w:rPr>
        <w:t>校務基金10</w:t>
      </w:r>
      <w:r>
        <w:t>8</w:t>
      </w:r>
      <w:r>
        <w:rPr>
          <w:rFonts w:hint="eastAsia"/>
        </w:rPr>
        <w:t>年度決算總收入2</w:t>
      </w:r>
      <w:r>
        <w:t>6</w:t>
      </w:r>
      <w:r>
        <w:rPr>
          <w:rFonts w:hint="eastAsia"/>
        </w:rPr>
        <w:t>.</w:t>
      </w:r>
      <w:r>
        <w:t>25</w:t>
      </w:r>
      <w:r>
        <w:rPr>
          <w:rFonts w:hint="eastAsia"/>
        </w:rPr>
        <w:t>億元，11</w:t>
      </w:r>
      <w:r>
        <w:t>2</w:t>
      </w:r>
      <w:r>
        <w:rPr>
          <w:rFonts w:hint="eastAsia"/>
        </w:rPr>
        <w:t>年度增加至26.</w:t>
      </w:r>
      <w:r>
        <w:t>73</w:t>
      </w:r>
      <w:r>
        <w:rPr>
          <w:rFonts w:hint="eastAsia"/>
        </w:rPr>
        <w:t>億元，同期間就收入來源以觀(詳表1），該校總收入中，自籌部分占比於1</w:t>
      </w:r>
      <w:r>
        <w:t>08及</w:t>
      </w:r>
      <w:r>
        <w:rPr>
          <w:rFonts w:hint="eastAsia"/>
        </w:rPr>
        <w:t>1</w:t>
      </w:r>
      <w:r>
        <w:t>09年度尚及</w:t>
      </w:r>
      <w:r>
        <w:rPr>
          <w:rFonts w:hint="eastAsia"/>
        </w:rPr>
        <w:t>5</w:t>
      </w:r>
      <w:r>
        <w:t>成</w:t>
      </w:r>
      <w:r>
        <w:rPr>
          <w:rFonts w:hint="eastAsia"/>
        </w:rPr>
        <w:t>，</w:t>
      </w:r>
      <w:r>
        <w:t>惟自</w:t>
      </w:r>
      <w:r>
        <w:rPr>
          <w:rFonts w:hint="eastAsia"/>
        </w:rPr>
        <w:t>1</w:t>
      </w:r>
      <w:r>
        <w:t>10年度起開始下滑</w:t>
      </w:r>
      <w:r>
        <w:rPr>
          <w:rFonts w:hint="eastAsia"/>
        </w:rPr>
        <w:t>，1</w:t>
      </w:r>
      <w:r>
        <w:t>11年度最低為</w:t>
      </w:r>
      <w:r>
        <w:rPr>
          <w:rFonts w:hint="eastAsia"/>
        </w:rPr>
        <w:t>4</w:t>
      </w:r>
      <w:r>
        <w:t>8.87%</w:t>
      </w:r>
      <w:r>
        <w:rPr>
          <w:rFonts w:hint="eastAsia"/>
        </w:rPr>
        <w:t>，</w:t>
      </w:r>
      <w:r>
        <w:t>至</w:t>
      </w:r>
      <w:r>
        <w:rPr>
          <w:rFonts w:hint="eastAsia"/>
        </w:rPr>
        <w:t>1</w:t>
      </w:r>
      <w:r>
        <w:t>12年度</w:t>
      </w:r>
      <w:r>
        <w:rPr>
          <w:rFonts w:hint="eastAsia"/>
        </w:rPr>
        <w:t>雖略為上升</w:t>
      </w:r>
      <w:r>
        <w:t>為</w:t>
      </w:r>
      <w:r>
        <w:rPr>
          <w:rFonts w:hint="eastAsia"/>
        </w:rPr>
        <w:t>4</w:t>
      </w:r>
      <w:r>
        <w:t>9.81%</w:t>
      </w:r>
      <w:r>
        <w:rPr>
          <w:rFonts w:hint="eastAsia"/>
        </w:rPr>
        <w:t>，</w:t>
      </w:r>
      <w:r>
        <w:t>仍未及</w:t>
      </w:r>
      <w:r>
        <w:rPr>
          <w:rFonts w:hint="eastAsia"/>
        </w:rPr>
        <w:t>5</w:t>
      </w:r>
      <w:r>
        <w:t>成</w:t>
      </w:r>
      <w:r>
        <w:rPr>
          <w:rFonts w:hint="eastAsia"/>
        </w:rPr>
        <w:t>；並預計1</w:t>
      </w:r>
      <w:r>
        <w:t>13及</w:t>
      </w:r>
      <w:r>
        <w:rPr>
          <w:rFonts w:hint="eastAsia"/>
        </w:rPr>
        <w:t>11</w:t>
      </w:r>
      <w:r>
        <w:t>4</w:t>
      </w:r>
      <w:r>
        <w:rPr>
          <w:rFonts w:hint="eastAsia"/>
        </w:rPr>
        <w:t>年度持續下滑至1</w:t>
      </w:r>
      <w:r>
        <w:t>14年度之</w:t>
      </w:r>
      <w:r>
        <w:rPr>
          <w:rFonts w:hint="eastAsia"/>
        </w:rPr>
        <w:t>4</w:t>
      </w:r>
      <w:r>
        <w:t>8.38%</w:t>
      </w:r>
      <w:r>
        <w:rPr>
          <w:rFonts w:hint="eastAsia"/>
        </w:rPr>
        <w:t>，自籌財源能力容待加強。</w:t>
      </w:r>
    </w:p>
    <w:p w14:paraId="5CBD061F" w14:textId="77777777" w:rsidR="00CE22CA" w:rsidRDefault="00CE22CA" w:rsidP="00387B42">
      <w:pPr>
        <w:pStyle w:val="20"/>
        <w:ind w:leftChars="200" w:left="1314" w:hangingChars="264" w:hanging="748"/>
      </w:pPr>
      <w:r w:rsidRPr="00924ACD">
        <w:rPr>
          <w:rFonts w:hint="eastAsia"/>
          <w:b/>
          <w:sz w:val="28"/>
        </w:rPr>
        <w:t>表</w:t>
      </w:r>
      <w:r>
        <w:rPr>
          <w:rFonts w:hint="eastAsia"/>
          <w:b/>
          <w:sz w:val="28"/>
        </w:rPr>
        <w:t>1</w:t>
      </w:r>
      <w:r w:rsidRPr="00924ACD">
        <w:rPr>
          <w:rFonts w:hint="eastAsia"/>
          <w:b/>
          <w:sz w:val="28"/>
        </w:rPr>
        <w:t xml:space="preserve">  10</w:t>
      </w:r>
      <w:r>
        <w:rPr>
          <w:b/>
          <w:sz w:val="28"/>
        </w:rPr>
        <w:t>8</w:t>
      </w:r>
      <w:r w:rsidRPr="00924ACD">
        <w:rPr>
          <w:rFonts w:hint="eastAsia"/>
          <w:b/>
          <w:sz w:val="28"/>
        </w:rPr>
        <w:t>至11</w:t>
      </w:r>
      <w:r>
        <w:rPr>
          <w:b/>
          <w:sz w:val="28"/>
        </w:rPr>
        <w:t>4</w:t>
      </w:r>
      <w:r w:rsidRPr="00924ACD">
        <w:rPr>
          <w:rFonts w:hint="eastAsia"/>
          <w:b/>
          <w:sz w:val="28"/>
        </w:rPr>
        <w:t>年度屏東科技大學</w:t>
      </w:r>
      <w:r w:rsidRPr="00387B42">
        <w:rPr>
          <w:rFonts w:hint="eastAsia"/>
          <w:b/>
          <w:sz w:val="28"/>
        </w:rPr>
        <w:t>校務基金</w:t>
      </w:r>
      <w:r>
        <w:rPr>
          <w:rFonts w:hint="eastAsia"/>
          <w:b/>
          <w:sz w:val="28"/>
        </w:rPr>
        <w:t>政府補助及自籌收入</w:t>
      </w:r>
      <w:r w:rsidRPr="00924ACD">
        <w:rPr>
          <w:rFonts w:hint="eastAsia"/>
          <w:b/>
          <w:sz w:val="28"/>
        </w:rPr>
        <w:t>情形表</w:t>
      </w:r>
      <w:r>
        <w:rPr>
          <w:rFonts w:hint="eastAsia"/>
          <w:b/>
          <w:sz w:val="28"/>
        </w:rPr>
        <w:t xml:space="preserve"> </w:t>
      </w:r>
      <w:r>
        <w:rPr>
          <w:b/>
          <w:sz w:val="28"/>
        </w:rPr>
        <w:t xml:space="preserve">                            </w:t>
      </w:r>
      <w:r w:rsidRPr="00914924">
        <w:rPr>
          <w:rFonts w:hint="eastAsia"/>
        </w:rPr>
        <w:t>單位：新臺幣千元</w:t>
      </w:r>
      <w:r>
        <w:rPr>
          <w:rFonts w:hint="eastAsia"/>
        </w:rPr>
        <w:t>；%</w:t>
      </w:r>
    </w:p>
    <w:tbl>
      <w:tblPr>
        <w:tblW w:w="7921"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7"/>
        <w:gridCol w:w="1689"/>
        <w:gridCol w:w="1713"/>
        <w:gridCol w:w="1071"/>
        <w:gridCol w:w="1480"/>
        <w:gridCol w:w="1111"/>
      </w:tblGrid>
      <w:tr w:rsidR="00CE22CA" w:rsidRPr="002F7963" w14:paraId="41B536E6" w14:textId="77777777" w:rsidTr="00D26D85">
        <w:trPr>
          <w:trHeight w:val="20"/>
        </w:trPr>
        <w:tc>
          <w:tcPr>
            <w:tcW w:w="857" w:type="dxa"/>
            <w:vMerge w:val="restart"/>
            <w:shd w:val="clear" w:color="auto" w:fill="auto"/>
            <w:noWrap/>
            <w:vAlign w:val="center"/>
          </w:tcPr>
          <w:p w14:paraId="5AA0AC80" w14:textId="77777777" w:rsidR="00CE22CA" w:rsidRPr="002F7963" w:rsidRDefault="00CE22CA" w:rsidP="00D26D85">
            <w:pPr>
              <w:pStyle w:val="142"/>
              <w:jc w:val="center"/>
              <w:rPr>
                <w:b/>
                <w:snapToGrid/>
                <w:kern w:val="0"/>
              </w:rPr>
            </w:pPr>
            <w:r w:rsidRPr="002F7963">
              <w:rPr>
                <w:rFonts w:hint="eastAsia"/>
                <w:b/>
                <w:snapToGrid/>
                <w:kern w:val="0"/>
              </w:rPr>
              <w:t>年度</w:t>
            </w:r>
          </w:p>
        </w:tc>
        <w:tc>
          <w:tcPr>
            <w:tcW w:w="1689" w:type="dxa"/>
            <w:vMerge w:val="restart"/>
            <w:shd w:val="clear" w:color="auto" w:fill="auto"/>
            <w:noWrap/>
            <w:vAlign w:val="center"/>
          </w:tcPr>
          <w:p w14:paraId="61069126" w14:textId="77777777" w:rsidR="00CE22CA" w:rsidRDefault="00CE22CA" w:rsidP="00D26D85">
            <w:pPr>
              <w:pStyle w:val="142"/>
              <w:jc w:val="center"/>
              <w:rPr>
                <w:b/>
                <w:snapToGrid/>
                <w:kern w:val="0"/>
              </w:rPr>
            </w:pPr>
            <w:r w:rsidRPr="002F7963">
              <w:rPr>
                <w:rFonts w:hint="eastAsia"/>
                <w:b/>
                <w:snapToGrid/>
                <w:kern w:val="0"/>
              </w:rPr>
              <w:t>總收入</w:t>
            </w:r>
          </w:p>
          <w:p w14:paraId="53FB5929" w14:textId="77777777" w:rsidR="00CE22CA" w:rsidRPr="002F7963" w:rsidRDefault="00CE22CA" w:rsidP="00D26D85">
            <w:pPr>
              <w:pStyle w:val="142"/>
              <w:jc w:val="center"/>
              <w:rPr>
                <w:b/>
                <w:snapToGrid/>
                <w:kern w:val="0"/>
              </w:rPr>
            </w:pPr>
            <w:r>
              <w:rPr>
                <w:rFonts w:hint="eastAsia"/>
                <w:b/>
                <w:snapToGrid/>
                <w:kern w:val="0"/>
              </w:rPr>
              <w:t>(A+B)</w:t>
            </w:r>
          </w:p>
        </w:tc>
        <w:tc>
          <w:tcPr>
            <w:tcW w:w="2784" w:type="dxa"/>
            <w:gridSpan w:val="2"/>
            <w:shd w:val="clear" w:color="auto" w:fill="auto"/>
            <w:noWrap/>
            <w:vAlign w:val="bottom"/>
          </w:tcPr>
          <w:p w14:paraId="6C986B7C"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政府補助收入</w:t>
            </w:r>
            <w:r>
              <w:rPr>
                <w:rFonts w:hint="eastAsia"/>
                <w:b/>
                <w:snapToGrid/>
                <w:color w:val="000000"/>
                <w:kern w:val="0"/>
              </w:rPr>
              <w:t>(A)</w:t>
            </w:r>
          </w:p>
        </w:tc>
        <w:tc>
          <w:tcPr>
            <w:tcW w:w="2591" w:type="dxa"/>
            <w:gridSpan w:val="2"/>
            <w:shd w:val="clear" w:color="auto" w:fill="auto"/>
            <w:noWrap/>
            <w:vAlign w:val="center"/>
          </w:tcPr>
          <w:p w14:paraId="2E605BF9" w14:textId="77777777" w:rsidR="00CE22CA" w:rsidRPr="002F7963" w:rsidRDefault="00CE22CA" w:rsidP="00D26D85">
            <w:pPr>
              <w:pStyle w:val="142"/>
              <w:jc w:val="center"/>
              <w:rPr>
                <w:b/>
                <w:snapToGrid/>
                <w:kern w:val="0"/>
              </w:rPr>
            </w:pPr>
            <w:r w:rsidRPr="002F7963">
              <w:rPr>
                <w:rFonts w:hint="eastAsia"/>
                <w:b/>
                <w:snapToGrid/>
                <w:kern w:val="0"/>
              </w:rPr>
              <w:t>自籌收入</w:t>
            </w:r>
            <w:r>
              <w:rPr>
                <w:rFonts w:hint="eastAsia"/>
                <w:b/>
                <w:snapToGrid/>
                <w:kern w:val="0"/>
              </w:rPr>
              <w:t>(B)</w:t>
            </w:r>
          </w:p>
        </w:tc>
      </w:tr>
      <w:tr w:rsidR="00CE22CA" w:rsidRPr="002F7963" w14:paraId="1A86B72E" w14:textId="77777777" w:rsidTr="00D26D85">
        <w:trPr>
          <w:trHeight w:val="20"/>
        </w:trPr>
        <w:tc>
          <w:tcPr>
            <w:tcW w:w="857" w:type="dxa"/>
            <w:vMerge/>
            <w:vAlign w:val="center"/>
          </w:tcPr>
          <w:p w14:paraId="6007EE6B" w14:textId="77777777" w:rsidR="00CE22CA" w:rsidRPr="002F7963" w:rsidRDefault="00CE22CA" w:rsidP="00D26D85">
            <w:pPr>
              <w:pStyle w:val="142"/>
              <w:jc w:val="center"/>
              <w:rPr>
                <w:b/>
                <w:snapToGrid/>
                <w:kern w:val="0"/>
              </w:rPr>
            </w:pPr>
          </w:p>
        </w:tc>
        <w:tc>
          <w:tcPr>
            <w:tcW w:w="1689" w:type="dxa"/>
            <w:vMerge/>
            <w:vAlign w:val="center"/>
          </w:tcPr>
          <w:p w14:paraId="2B52690C" w14:textId="77777777" w:rsidR="00CE22CA" w:rsidRPr="002F7963" w:rsidRDefault="00CE22CA" w:rsidP="00D26D85">
            <w:pPr>
              <w:pStyle w:val="142"/>
              <w:jc w:val="center"/>
              <w:rPr>
                <w:b/>
                <w:snapToGrid/>
                <w:kern w:val="0"/>
              </w:rPr>
            </w:pPr>
          </w:p>
        </w:tc>
        <w:tc>
          <w:tcPr>
            <w:tcW w:w="1713" w:type="dxa"/>
            <w:shd w:val="clear" w:color="auto" w:fill="auto"/>
            <w:noWrap/>
            <w:vAlign w:val="bottom"/>
          </w:tcPr>
          <w:p w14:paraId="1394B399"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金額</w:t>
            </w:r>
          </w:p>
        </w:tc>
        <w:tc>
          <w:tcPr>
            <w:tcW w:w="1071" w:type="dxa"/>
            <w:shd w:val="clear" w:color="auto" w:fill="auto"/>
            <w:noWrap/>
            <w:vAlign w:val="bottom"/>
          </w:tcPr>
          <w:p w14:paraId="4ABABDF0"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占比</w:t>
            </w:r>
          </w:p>
        </w:tc>
        <w:tc>
          <w:tcPr>
            <w:tcW w:w="1480" w:type="dxa"/>
            <w:shd w:val="clear" w:color="auto" w:fill="auto"/>
            <w:noWrap/>
            <w:vAlign w:val="bottom"/>
          </w:tcPr>
          <w:p w14:paraId="7915735B"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金額</w:t>
            </w:r>
          </w:p>
        </w:tc>
        <w:tc>
          <w:tcPr>
            <w:tcW w:w="1111" w:type="dxa"/>
            <w:shd w:val="clear" w:color="auto" w:fill="auto"/>
            <w:noWrap/>
            <w:vAlign w:val="bottom"/>
          </w:tcPr>
          <w:p w14:paraId="46F75BBA"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占比</w:t>
            </w:r>
          </w:p>
        </w:tc>
      </w:tr>
      <w:tr w:rsidR="00CE22CA" w:rsidRPr="002F7963" w14:paraId="3441A8B5" w14:textId="77777777" w:rsidTr="00D26D85">
        <w:trPr>
          <w:trHeight w:val="20"/>
        </w:trPr>
        <w:tc>
          <w:tcPr>
            <w:tcW w:w="857" w:type="dxa"/>
            <w:shd w:val="clear" w:color="auto" w:fill="auto"/>
            <w:noWrap/>
            <w:vAlign w:val="center"/>
          </w:tcPr>
          <w:p w14:paraId="3D2E1390" w14:textId="77777777" w:rsidR="00CE22CA" w:rsidRPr="009B4D43" w:rsidRDefault="00CE22CA" w:rsidP="009B4D43">
            <w:pPr>
              <w:pStyle w:val="142"/>
              <w:jc w:val="center"/>
              <w:rPr>
                <w:b/>
                <w:bCs/>
                <w:snapToGrid/>
                <w:kern w:val="0"/>
              </w:rPr>
            </w:pPr>
            <w:r w:rsidRPr="009B4D43">
              <w:rPr>
                <w:rFonts w:hint="eastAsia"/>
                <w:b/>
                <w:bCs/>
                <w:snapToGrid/>
                <w:kern w:val="0"/>
              </w:rPr>
              <w:t>108</w:t>
            </w:r>
          </w:p>
        </w:tc>
        <w:tc>
          <w:tcPr>
            <w:tcW w:w="1689" w:type="dxa"/>
            <w:shd w:val="clear" w:color="auto" w:fill="auto"/>
            <w:noWrap/>
            <w:vAlign w:val="bottom"/>
          </w:tcPr>
          <w:p w14:paraId="2BB14977"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2,625,365 </w:t>
            </w:r>
          </w:p>
        </w:tc>
        <w:tc>
          <w:tcPr>
            <w:tcW w:w="1713" w:type="dxa"/>
            <w:shd w:val="clear" w:color="auto" w:fill="auto"/>
            <w:noWrap/>
            <w:vAlign w:val="bottom"/>
          </w:tcPr>
          <w:p w14:paraId="4B5C1F04"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1,290,514 </w:t>
            </w:r>
          </w:p>
        </w:tc>
        <w:tc>
          <w:tcPr>
            <w:tcW w:w="1071" w:type="dxa"/>
            <w:shd w:val="clear" w:color="auto" w:fill="auto"/>
            <w:noWrap/>
            <w:vAlign w:val="center"/>
          </w:tcPr>
          <w:p w14:paraId="281EAC8E" w14:textId="77777777" w:rsidR="00CE22CA" w:rsidRPr="002F7963" w:rsidRDefault="00CE22CA" w:rsidP="00D26D85">
            <w:pPr>
              <w:pStyle w:val="142"/>
              <w:jc w:val="right"/>
              <w:rPr>
                <w:snapToGrid/>
                <w:kern w:val="0"/>
              </w:rPr>
            </w:pPr>
            <w:r w:rsidRPr="002F7963">
              <w:rPr>
                <w:rFonts w:hint="eastAsia"/>
                <w:snapToGrid/>
                <w:kern w:val="0"/>
              </w:rPr>
              <w:t>49.16</w:t>
            </w:r>
          </w:p>
        </w:tc>
        <w:tc>
          <w:tcPr>
            <w:tcW w:w="1480" w:type="dxa"/>
            <w:shd w:val="clear" w:color="auto" w:fill="auto"/>
            <w:noWrap/>
            <w:vAlign w:val="center"/>
          </w:tcPr>
          <w:p w14:paraId="3BCE7DBB" w14:textId="77777777" w:rsidR="00CE22CA" w:rsidRPr="002F7963" w:rsidRDefault="00CE22CA" w:rsidP="00D26D85">
            <w:pPr>
              <w:pStyle w:val="142"/>
              <w:jc w:val="right"/>
              <w:rPr>
                <w:snapToGrid/>
                <w:kern w:val="0"/>
              </w:rPr>
            </w:pPr>
            <w:r w:rsidRPr="002F7963">
              <w:rPr>
                <w:rFonts w:hint="eastAsia"/>
                <w:snapToGrid/>
                <w:kern w:val="0"/>
              </w:rPr>
              <w:t xml:space="preserve">1,334,851 </w:t>
            </w:r>
          </w:p>
        </w:tc>
        <w:tc>
          <w:tcPr>
            <w:tcW w:w="1111" w:type="dxa"/>
            <w:shd w:val="clear" w:color="auto" w:fill="auto"/>
            <w:noWrap/>
            <w:vAlign w:val="center"/>
          </w:tcPr>
          <w:p w14:paraId="7BBA46F9" w14:textId="77777777" w:rsidR="00CE22CA" w:rsidRPr="002F7963" w:rsidRDefault="00CE22CA" w:rsidP="00D26D85">
            <w:pPr>
              <w:pStyle w:val="142"/>
              <w:jc w:val="right"/>
              <w:rPr>
                <w:snapToGrid/>
                <w:kern w:val="0"/>
              </w:rPr>
            </w:pPr>
            <w:r w:rsidRPr="002F7963">
              <w:rPr>
                <w:rFonts w:hint="eastAsia"/>
                <w:snapToGrid/>
                <w:kern w:val="0"/>
              </w:rPr>
              <w:t>50.84</w:t>
            </w:r>
          </w:p>
        </w:tc>
      </w:tr>
      <w:tr w:rsidR="00CE22CA" w:rsidRPr="002F7963" w14:paraId="5FE38E1B" w14:textId="77777777" w:rsidTr="00D26D85">
        <w:trPr>
          <w:trHeight w:val="20"/>
        </w:trPr>
        <w:tc>
          <w:tcPr>
            <w:tcW w:w="857" w:type="dxa"/>
            <w:shd w:val="clear" w:color="auto" w:fill="auto"/>
            <w:noWrap/>
            <w:vAlign w:val="center"/>
          </w:tcPr>
          <w:p w14:paraId="55F1F11C" w14:textId="77777777" w:rsidR="00CE22CA" w:rsidRPr="009B4D43" w:rsidRDefault="00CE22CA" w:rsidP="009B4D43">
            <w:pPr>
              <w:pStyle w:val="142"/>
              <w:jc w:val="center"/>
              <w:rPr>
                <w:b/>
                <w:bCs/>
                <w:snapToGrid/>
                <w:kern w:val="0"/>
              </w:rPr>
            </w:pPr>
            <w:r w:rsidRPr="009B4D43">
              <w:rPr>
                <w:rFonts w:hint="eastAsia"/>
                <w:b/>
                <w:bCs/>
                <w:snapToGrid/>
                <w:kern w:val="0"/>
              </w:rPr>
              <w:t>109</w:t>
            </w:r>
          </w:p>
        </w:tc>
        <w:tc>
          <w:tcPr>
            <w:tcW w:w="1689" w:type="dxa"/>
            <w:shd w:val="clear" w:color="auto" w:fill="auto"/>
            <w:noWrap/>
            <w:vAlign w:val="bottom"/>
          </w:tcPr>
          <w:p w14:paraId="3DBB9258"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2,546,861 </w:t>
            </w:r>
          </w:p>
        </w:tc>
        <w:tc>
          <w:tcPr>
            <w:tcW w:w="1713" w:type="dxa"/>
            <w:shd w:val="clear" w:color="auto" w:fill="auto"/>
            <w:noWrap/>
            <w:vAlign w:val="bottom"/>
          </w:tcPr>
          <w:p w14:paraId="5FEA0545"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1,257,378 </w:t>
            </w:r>
          </w:p>
        </w:tc>
        <w:tc>
          <w:tcPr>
            <w:tcW w:w="1071" w:type="dxa"/>
            <w:shd w:val="clear" w:color="auto" w:fill="auto"/>
            <w:noWrap/>
            <w:vAlign w:val="center"/>
          </w:tcPr>
          <w:p w14:paraId="2FD916F6" w14:textId="77777777" w:rsidR="00CE22CA" w:rsidRPr="002F7963" w:rsidRDefault="00CE22CA" w:rsidP="00D26D85">
            <w:pPr>
              <w:pStyle w:val="142"/>
              <w:jc w:val="right"/>
              <w:rPr>
                <w:snapToGrid/>
                <w:kern w:val="0"/>
              </w:rPr>
            </w:pPr>
            <w:r w:rsidRPr="002F7963">
              <w:rPr>
                <w:rFonts w:hint="eastAsia"/>
                <w:snapToGrid/>
                <w:kern w:val="0"/>
              </w:rPr>
              <w:t>49.37</w:t>
            </w:r>
          </w:p>
        </w:tc>
        <w:tc>
          <w:tcPr>
            <w:tcW w:w="1480" w:type="dxa"/>
            <w:shd w:val="clear" w:color="auto" w:fill="auto"/>
            <w:noWrap/>
            <w:vAlign w:val="center"/>
          </w:tcPr>
          <w:p w14:paraId="3652AE9D" w14:textId="77777777" w:rsidR="00CE22CA" w:rsidRPr="002F7963" w:rsidRDefault="00CE22CA" w:rsidP="00D26D85">
            <w:pPr>
              <w:pStyle w:val="142"/>
              <w:jc w:val="right"/>
              <w:rPr>
                <w:snapToGrid/>
                <w:kern w:val="0"/>
              </w:rPr>
            </w:pPr>
            <w:r w:rsidRPr="002F7963">
              <w:rPr>
                <w:rFonts w:hint="eastAsia"/>
                <w:snapToGrid/>
                <w:kern w:val="0"/>
              </w:rPr>
              <w:t xml:space="preserve">1,289,483 </w:t>
            </w:r>
          </w:p>
        </w:tc>
        <w:tc>
          <w:tcPr>
            <w:tcW w:w="1111" w:type="dxa"/>
            <w:shd w:val="clear" w:color="auto" w:fill="auto"/>
            <w:noWrap/>
            <w:vAlign w:val="center"/>
          </w:tcPr>
          <w:p w14:paraId="1D018F4F" w14:textId="77777777" w:rsidR="00CE22CA" w:rsidRPr="002F7963" w:rsidRDefault="00CE22CA" w:rsidP="00D26D85">
            <w:pPr>
              <w:pStyle w:val="142"/>
              <w:jc w:val="right"/>
              <w:rPr>
                <w:snapToGrid/>
                <w:kern w:val="0"/>
              </w:rPr>
            </w:pPr>
            <w:r w:rsidRPr="002F7963">
              <w:rPr>
                <w:rFonts w:hint="eastAsia"/>
                <w:snapToGrid/>
                <w:kern w:val="0"/>
              </w:rPr>
              <w:t>50.63</w:t>
            </w:r>
          </w:p>
        </w:tc>
      </w:tr>
      <w:tr w:rsidR="00CE22CA" w:rsidRPr="002F7963" w14:paraId="7A90FDB7" w14:textId="77777777" w:rsidTr="00D26D85">
        <w:trPr>
          <w:trHeight w:val="20"/>
        </w:trPr>
        <w:tc>
          <w:tcPr>
            <w:tcW w:w="857" w:type="dxa"/>
            <w:tcBorders>
              <w:bottom w:val="single" w:sz="6" w:space="0" w:color="auto"/>
            </w:tcBorders>
            <w:shd w:val="clear" w:color="auto" w:fill="auto"/>
            <w:noWrap/>
            <w:vAlign w:val="center"/>
          </w:tcPr>
          <w:p w14:paraId="37CF9BCB" w14:textId="77777777" w:rsidR="00CE22CA" w:rsidRPr="009B4D43" w:rsidRDefault="00CE22CA" w:rsidP="009B4D43">
            <w:pPr>
              <w:pStyle w:val="142"/>
              <w:jc w:val="center"/>
              <w:rPr>
                <w:b/>
                <w:bCs/>
                <w:snapToGrid/>
                <w:kern w:val="0"/>
              </w:rPr>
            </w:pPr>
            <w:r w:rsidRPr="009B4D43">
              <w:rPr>
                <w:rFonts w:hint="eastAsia"/>
                <w:b/>
                <w:bCs/>
                <w:snapToGrid/>
                <w:kern w:val="0"/>
              </w:rPr>
              <w:t>110</w:t>
            </w:r>
          </w:p>
        </w:tc>
        <w:tc>
          <w:tcPr>
            <w:tcW w:w="1689" w:type="dxa"/>
            <w:tcBorders>
              <w:bottom w:val="single" w:sz="6" w:space="0" w:color="auto"/>
            </w:tcBorders>
            <w:shd w:val="clear" w:color="auto" w:fill="auto"/>
            <w:noWrap/>
            <w:vAlign w:val="bottom"/>
          </w:tcPr>
          <w:p w14:paraId="3298897F"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2,524,393 </w:t>
            </w:r>
          </w:p>
        </w:tc>
        <w:tc>
          <w:tcPr>
            <w:tcW w:w="1713" w:type="dxa"/>
            <w:tcBorders>
              <w:bottom w:val="single" w:sz="6" w:space="0" w:color="auto"/>
            </w:tcBorders>
            <w:shd w:val="clear" w:color="auto" w:fill="auto"/>
            <w:noWrap/>
            <w:vAlign w:val="bottom"/>
          </w:tcPr>
          <w:p w14:paraId="20DFA34E"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1,269,482 </w:t>
            </w:r>
          </w:p>
        </w:tc>
        <w:tc>
          <w:tcPr>
            <w:tcW w:w="1071" w:type="dxa"/>
            <w:tcBorders>
              <w:bottom w:val="single" w:sz="6" w:space="0" w:color="auto"/>
            </w:tcBorders>
            <w:shd w:val="clear" w:color="auto" w:fill="auto"/>
            <w:noWrap/>
            <w:vAlign w:val="center"/>
          </w:tcPr>
          <w:p w14:paraId="3E88BCD4" w14:textId="77777777" w:rsidR="00CE22CA" w:rsidRPr="002F7963" w:rsidRDefault="00CE22CA" w:rsidP="00D26D85">
            <w:pPr>
              <w:pStyle w:val="142"/>
              <w:jc w:val="right"/>
              <w:rPr>
                <w:snapToGrid/>
                <w:kern w:val="0"/>
              </w:rPr>
            </w:pPr>
            <w:r w:rsidRPr="002F7963">
              <w:rPr>
                <w:rFonts w:hint="eastAsia"/>
                <w:snapToGrid/>
                <w:kern w:val="0"/>
              </w:rPr>
              <w:t>50.29</w:t>
            </w:r>
          </w:p>
        </w:tc>
        <w:tc>
          <w:tcPr>
            <w:tcW w:w="1480" w:type="dxa"/>
            <w:tcBorders>
              <w:bottom w:val="single" w:sz="6" w:space="0" w:color="auto"/>
            </w:tcBorders>
            <w:shd w:val="clear" w:color="auto" w:fill="auto"/>
            <w:noWrap/>
            <w:vAlign w:val="center"/>
          </w:tcPr>
          <w:p w14:paraId="1EC0F486" w14:textId="77777777" w:rsidR="00CE22CA" w:rsidRPr="002F7963" w:rsidRDefault="00CE22CA" w:rsidP="00D26D85">
            <w:pPr>
              <w:pStyle w:val="142"/>
              <w:jc w:val="right"/>
              <w:rPr>
                <w:snapToGrid/>
                <w:kern w:val="0"/>
              </w:rPr>
            </w:pPr>
            <w:r w:rsidRPr="002F7963">
              <w:rPr>
                <w:rFonts w:hint="eastAsia"/>
                <w:snapToGrid/>
                <w:kern w:val="0"/>
              </w:rPr>
              <w:t xml:space="preserve">1,254,911 </w:t>
            </w:r>
          </w:p>
        </w:tc>
        <w:tc>
          <w:tcPr>
            <w:tcW w:w="1111" w:type="dxa"/>
            <w:tcBorders>
              <w:bottom w:val="single" w:sz="6" w:space="0" w:color="auto"/>
            </w:tcBorders>
            <w:shd w:val="clear" w:color="auto" w:fill="auto"/>
            <w:noWrap/>
            <w:vAlign w:val="center"/>
          </w:tcPr>
          <w:p w14:paraId="6B71748C" w14:textId="77777777" w:rsidR="00CE22CA" w:rsidRPr="002F7963" w:rsidRDefault="00CE22CA" w:rsidP="00D26D85">
            <w:pPr>
              <w:pStyle w:val="142"/>
              <w:jc w:val="right"/>
              <w:rPr>
                <w:snapToGrid/>
                <w:kern w:val="0"/>
              </w:rPr>
            </w:pPr>
            <w:r w:rsidRPr="002F7963">
              <w:rPr>
                <w:rFonts w:hint="eastAsia"/>
                <w:snapToGrid/>
                <w:kern w:val="0"/>
              </w:rPr>
              <w:t>49.71</w:t>
            </w:r>
          </w:p>
        </w:tc>
      </w:tr>
      <w:tr w:rsidR="00CE22CA" w:rsidRPr="002F7963" w14:paraId="4B31B275" w14:textId="77777777" w:rsidTr="009B4D43">
        <w:trPr>
          <w:trHeight w:val="20"/>
        </w:trPr>
        <w:tc>
          <w:tcPr>
            <w:tcW w:w="857" w:type="dxa"/>
            <w:tcBorders>
              <w:top w:val="single" w:sz="6" w:space="0" w:color="auto"/>
              <w:bottom w:val="single" w:sz="4" w:space="0" w:color="auto"/>
            </w:tcBorders>
            <w:shd w:val="clear" w:color="auto" w:fill="auto"/>
            <w:noWrap/>
            <w:vAlign w:val="center"/>
          </w:tcPr>
          <w:p w14:paraId="27625430" w14:textId="77777777" w:rsidR="00CE22CA" w:rsidRPr="009B4D43" w:rsidRDefault="00CE22CA" w:rsidP="009B4D43">
            <w:pPr>
              <w:pStyle w:val="142"/>
              <w:jc w:val="center"/>
              <w:rPr>
                <w:b/>
                <w:bCs/>
                <w:snapToGrid/>
                <w:kern w:val="0"/>
              </w:rPr>
            </w:pPr>
            <w:r w:rsidRPr="009B4D43">
              <w:rPr>
                <w:rFonts w:hint="eastAsia"/>
                <w:b/>
                <w:bCs/>
                <w:snapToGrid/>
                <w:kern w:val="0"/>
              </w:rPr>
              <w:t>111</w:t>
            </w:r>
          </w:p>
        </w:tc>
        <w:tc>
          <w:tcPr>
            <w:tcW w:w="1689" w:type="dxa"/>
            <w:tcBorders>
              <w:top w:val="single" w:sz="6" w:space="0" w:color="auto"/>
              <w:bottom w:val="single" w:sz="4" w:space="0" w:color="auto"/>
            </w:tcBorders>
            <w:shd w:val="clear" w:color="auto" w:fill="auto"/>
            <w:noWrap/>
            <w:vAlign w:val="center"/>
          </w:tcPr>
          <w:p w14:paraId="02446EE9" w14:textId="77777777" w:rsidR="00CE22CA" w:rsidRPr="002F7963" w:rsidRDefault="00CE22CA" w:rsidP="00D26D85">
            <w:pPr>
              <w:pStyle w:val="142"/>
              <w:jc w:val="right"/>
              <w:rPr>
                <w:snapToGrid/>
                <w:kern w:val="0"/>
              </w:rPr>
            </w:pPr>
            <w:r w:rsidRPr="002F7963">
              <w:rPr>
                <w:rFonts w:hint="eastAsia"/>
                <w:snapToGrid/>
                <w:kern w:val="0"/>
              </w:rPr>
              <w:t xml:space="preserve">   2,625,471 </w:t>
            </w:r>
          </w:p>
        </w:tc>
        <w:tc>
          <w:tcPr>
            <w:tcW w:w="1713" w:type="dxa"/>
            <w:tcBorders>
              <w:top w:val="single" w:sz="6" w:space="0" w:color="auto"/>
              <w:bottom w:val="single" w:sz="4" w:space="0" w:color="auto"/>
            </w:tcBorders>
            <w:shd w:val="clear" w:color="auto" w:fill="auto"/>
            <w:noWrap/>
            <w:vAlign w:val="bottom"/>
          </w:tcPr>
          <w:p w14:paraId="165FA056"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1,342,389 </w:t>
            </w:r>
          </w:p>
        </w:tc>
        <w:tc>
          <w:tcPr>
            <w:tcW w:w="1071" w:type="dxa"/>
            <w:tcBorders>
              <w:top w:val="single" w:sz="6" w:space="0" w:color="auto"/>
              <w:bottom w:val="single" w:sz="4" w:space="0" w:color="auto"/>
            </w:tcBorders>
            <w:shd w:val="clear" w:color="auto" w:fill="auto"/>
            <w:noWrap/>
            <w:vAlign w:val="center"/>
          </w:tcPr>
          <w:p w14:paraId="6D96C5DA" w14:textId="77777777" w:rsidR="00CE22CA" w:rsidRPr="002F7963" w:rsidRDefault="00CE22CA" w:rsidP="00D26D85">
            <w:pPr>
              <w:pStyle w:val="142"/>
              <w:jc w:val="right"/>
              <w:rPr>
                <w:snapToGrid/>
                <w:kern w:val="0"/>
              </w:rPr>
            </w:pPr>
            <w:r w:rsidRPr="002F7963">
              <w:rPr>
                <w:rFonts w:hint="eastAsia"/>
                <w:snapToGrid/>
                <w:kern w:val="0"/>
              </w:rPr>
              <w:t>51.13</w:t>
            </w:r>
          </w:p>
        </w:tc>
        <w:tc>
          <w:tcPr>
            <w:tcW w:w="1480" w:type="dxa"/>
            <w:tcBorders>
              <w:top w:val="single" w:sz="6" w:space="0" w:color="auto"/>
              <w:bottom w:val="single" w:sz="4" w:space="0" w:color="auto"/>
            </w:tcBorders>
            <w:shd w:val="clear" w:color="auto" w:fill="auto"/>
            <w:noWrap/>
            <w:vAlign w:val="center"/>
          </w:tcPr>
          <w:p w14:paraId="4C313F65" w14:textId="77777777" w:rsidR="00CE22CA" w:rsidRPr="002F7963" w:rsidRDefault="00CE22CA" w:rsidP="00D26D85">
            <w:pPr>
              <w:pStyle w:val="142"/>
              <w:jc w:val="right"/>
              <w:rPr>
                <w:snapToGrid/>
                <w:kern w:val="0"/>
              </w:rPr>
            </w:pPr>
            <w:r w:rsidRPr="002F7963">
              <w:rPr>
                <w:rFonts w:hint="eastAsia"/>
                <w:snapToGrid/>
                <w:kern w:val="0"/>
              </w:rPr>
              <w:t xml:space="preserve">1,283,082 </w:t>
            </w:r>
          </w:p>
        </w:tc>
        <w:tc>
          <w:tcPr>
            <w:tcW w:w="1111" w:type="dxa"/>
            <w:tcBorders>
              <w:top w:val="single" w:sz="6" w:space="0" w:color="auto"/>
              <w:bottom w:val="single" w:sz="4" w:space="0" w:color="auto"/>
            </w:tcBorders>
            <w:shd w:val="clear" w:color="auto" w:fill="auto"/>
            <w:noWrap/>
            <w:vAlign w:val="center"/>
          </w:tcPr>
          <w:p w14:paraId="1859E1A2" w14:textId="77777777" w:rsidR="00CE22CA" w:rsidRPr="002F7963" w:rsidRDefault="00CE22CA" w:rsidP="00D26D85">
            <w:pPr>
              <w:pStyle w:val="142"/>
              <w:jc w:val="right"/>
              <w:rPr>
                <w:snapToGrid/>
                <w:kern w:val="0"/>
              </w:rPr>
            </w:pPr>
            <w:r w:rsidRPr="002F7963">
              <w:rPr>
                <w:rFonts w:hint="eastAsia"/>
                <w:snapToGrid/>
                <w:kern w:val="0"/>
              </w:rPr>
              <w:t>48.87</w:t>
            </w:r>
          </w:p>
        </w:tc>
      </w:tr>
      <w:tr w:rsidR="00CE22CA" w:rsidRPr="002F7963" w14:paraId="1C7EC112" w14:textId="77777777" w:rsidTr="009B4D43">
        <w:trPr>
          <w:trHeight w:val="20"/>
        </w:trPr>
        <w:tc>
          <w:tcPr>
            <w:tcW w:w="857" w:type="dxa"/>
            <w:tcBorders>
              <w:top w:val="single" w:sz="4" w:space="0" w:color="auto"/>
              <w:bottom w:val="double" w:sz="4" w:space="0" w:color="auto"/>
            </w:tcBorders>
            <w:shd w:val="clear" w:color="auto" w:fill="auto"/>
            <w:noWrap/>
            <w:vAlign w:val="center"/>
          </w:tcPr>
          <w:p w14:paraId="4C980B98" w14:textId="77777777" w:rsidR="00CE22CA" w:rsidRPr="009B4D43" w:rsidRDefault="00CE22CA" w:rsidP="009B4D43">
            <w:pPr>
              <w:pStyle w:val="142"/>
              <w:jc w:val="center"/>
              <w:rPr>
                <w:b/>
                <w:bCs/>
                <w:snapToGrid/>
                <w:kern w:val="0"/>
              </w:rPr>
            </w:pPr>
            <w:r w:rsidRPr="009B4D43">
              <w:rPr>
                <w:rFonts w:hint="eastAsia"/>
                <w:b/>
                <w:bCs/>
                <w:snapToGrid/>
                <w:kern w:val="0"/>
              </w:rPr>
              <w:t>112</w:t>
            </w:r>
          </w:p>
        </w:tc>
        <w:tc>
          <w:tcPr>
            <w:tcW w:w="1689" w:type="dxa"/>
            <w:tcBorders>
              <w:top w:val="single" w:sz="4" w:space="0" w:color="auto"/>
              <w:bottom w:val="double" w:sz="4" w:space="0" w:color="auto"/>
            </w:tcBorders>
            <w:shd w:val="clear" w:color="auto" w:fill="auto"/>
            <w:noWrap/>
            <w:vAlign w:val="bottom"/>
          </w:tcPr>
          <w:p w14:paraId="00019EF0"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2,6</w:t>
            </w:r>
            <w:r>
              <w:rPr>
                <w:snapToGrid/>
                <w:color w:val="000000"/>
                <w:kern w:val="0"/>
              </w:rPr>
              <w:t>72</w:t>
            </w:r>
            <w:r w:rsidRPr="002F7963">
              <w:rPr>
                <w:rFonts w:hint="eastAsia"/>
                <w:snapToGrid/>
                <w:color w:val="000000"/>
                <w:kern w:val="0"/>
              </w:rPr>
              <w:t>,</w:t>
            </w:r>
            <w:r>
              <w:rPr>
                <w:snapToGrid/>
                <w:color w:val="000000"/>
                <w:kern w:val="0"/>
              </w:rPr>
              <w:t>943</w:t>
            </w:r>
            <w:r w:rsidRPr="002F7963">
              <w:rPr>
                <w:rFonts w:hint="eastAsia"/>
                <w:snapToGrid/>
                <w:color w:val="000000"/>
                <w:kern w:val="0"/>
              </w:rPr>
              <w:t xml:space="preserve"> </w:t>
            </w:r>
          </w:p>
        </w:tc>
        <w:tc>
          <w:tcPr>
            <w:tcW w:w="1713" w:type="dxa"/>
            <w:tcBorders>
              <w:top w:val="single" w:sz="4" w:space="0" w:color="auto"/>
              <w:bottom w:val="double" w:sz="4" w:space="0" w:color="auto"/>
            </w:tcBorders>
            <w:shd w:val="clear" w:color="auto" w:fill="auto"/>
            <w:noWrap/>
            <w:vAlign w:val="bottom"/>
          </w:tcPr>
          <w:p w14:paraId="593B130F"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w:t>
            </w:r>
            <w:r>
              <w:rPr>
                <w:snapToGrid/>
                <w:color w:val="000000"/>
                <w:kern w:val="0"/>
              </w:rPr>
              <w:t>341</w:t>
            </w:r>
            <w:r w:rsidRPr="002F7963">
              <w:rPr>
                <w:rFonts w:hint="eastAsia"/>
                <w:snapToGrid/>
                <w:color w:val="000000"/>
                <w:kern w:val="0"/>
              </w:rPr>
              <w:t>,</w:t>
            </w:r>
            <w:r>
              <w:rPr>
                <w:snapToGrid/>
                <w:color w:val="000000"/>
                <w:kern w:val="0"/>
              </w:rPr>
              <w:t>535</w:t>
            </w:r>
            <w:r w:rsidRPr="002F7963">
              <w:rPr>
                <w:rFonts w:hint="eastAsia"/>
                <w:snapToGrid/>
                <w:color w:val="000000"/>
                <w:kern w:val="0"/>
              </w:rPr>
              <w:t xml:space="preserve"> </w:t>
            </w:r>
          </w:p>
        </w:tc>
        <w:tc>
          <w:tcPr>
            <w:tcW w:w="1071" w:type="dxa"/>
            <w:tcBorders>
              <w:top w:val="single" w:sz="4" w:space="0" w:color="auto"/>
              <w:bottom w:val="double" w:sz="4" w:space="0" w:color="auto"/>
            </w:tcBorders>
            <w:shd w:val="clear" w:color="auto" w:fill="auto"/>
            <w:noWrap/>
            <w:vAlign w:val="center"/>
          </w:tcPr>
          <w:p w14:paraId="4A57174B" w14:textId="77777777" w:rsidR="00CE22CA" w:rsidRPr="002F7963" w:rsidRDefault="00CE22CA" w:rsidP="00D26D85">
            <w:pPr>
              <w:pStyle w:val="142"/>
              <w:jc w:val="right"/>
              <w:rPr>
                <w:snapToGrid/>
                <w:kern w:val="0"/>
              </w:rPr>
            </w:pPr>
            <w:r w:rsidRPr="002F7963">
              <w:rPr>
                <w:rFonts w:hint="eastAsia"/>
                <w:snapToGrid/>
                <w:kern w:val="0"/>
              </w:rPr>
              <w:t>50.</w:t>
            </w:r>
            <w:r>
              <w:rPr>
                <w:snapToGrid/>
                <w:kern w:val="0"/>
              </w:rPr>
              <w:t>1</w:t>
            </w:r>
            <w:r w:rsidRPr="002F7963">
              <w:rPr>
                <w:rFonts w:hint="eastAsia"/>
                <w:snapToGrid/>
                <w:kern w:val="0"/>
              </w:rPr>
              <w:t>9</w:t>
            </w:r>
          </w:p>
        </w:tc>
        <w:tc>
          <w:tcPr>
            <w:tcW w:w="1480" w:type="dxa"/>
            <w:tcBorders>
              <w:top w:val="single" w:sz="4" w:space="0" w:color="auto"/>
              <w:bottom w:val="double" w:sz="4" w:space="0" w:color="auto"/>
            </w:tcBorders>
            <w:shd w:val="clear" w:color="auto" w:fill="auto"/>
            <w:noWrap/>
            <w:vAlign w:val="center"/>
          </w:tcPr>
          <w:p w14:paraId="0A256EB8" w14:textId="77777777" w:rsidR="00CE22CA" w:rsidRPr="002F7963" w:rsidRDefault="00CE22CA" w:rsidP="00D26D85">
            <w:pPr>
              <w:pStyle w:val="142"/>
              <w:jc w:val="right"/>
              <w:rPr>
                <w:snapToGrid/>
                <w:kern w:val="0"/>
              </w:rPr>
            </w:pPr>
            <w:r w:rsidRPr="002F7963">
              <w:rPr>
                <w:rFonts w:hint="eastAsia"/>
                <w:snapToGrid/>
                <w:kern w:val="0"/>
              </w:rPr>
              <w:t>1,3</w:t>
            </w:r>
            <w:r>
              <w:rPr>
                <w:snapToGrid/>
                <w:kern w:val="0"/>
              </w:rPr>
              <w:t>3</w:t>
            </w:r>
            <w:r w:rsidRPr="002F7963">
              <w:rPr>
                <w:rFonts w:hint="eastAsia"/>
                <w:snapToGrid/>
                <w:kern w:val="0"/>
              </w:rPr>
              <w:t>1,</w:t>
            </w:r>
            <w:r>
              <w:rPr>
                <w:snapToGrid/>
                <w:kern w:val="0"/>
              </w:rPr>
              <w:t>409</w:t>
            </w:r>
            <w:r w:rsidRPr="002F7963">
              <w:rPr>
                <w:rFonts w:hint="eastAsia"/>
                <w:snapToGrid/>
                <w:kern w:val="0"/>
              </w:rPr>
              <w:t xml:space="preserve"> </w:t>
            </w:r>
          </w:p>
        </w:tc>
        <w:tc>
          <w:tcPr>
            <w:tcW w:w="1111" w:type="dxa"/>
            <w:tcBorders>
              <w:top w:val="single" w:sz="4" w:space="0" w:color="auto"/>
              <w:bottom w:val="double" w:sz="4" w:space="0" w:color="auto"/>
            </w:tcBorders>
            <w:shd w:val="clear" w:color="auto" w:fill="auto"/>
            <w:noWrap/>
            <w:vAlign w:val="center"/>
          </w:tcPr>
          <w:p w14:paraId="59152D7C" w14:textId="77777777" w:rsidR="00CE22CA" w:rsidRPr="002F7963" w:rsidRDefault="00CE22CA" w:rsidP="00D26D85">
            <w:pPr>
              <w:pStyle w:val="142"/>
              <w:jc w:val="right"/>
              <w:rPr>
                <w:snapToGrid/>
                <w:kern w:val="0"/>
              </w:rPr>
            </w:pPr>
            <w:r w:rsidRPr="002F7963">
              <w:rPr>
                <w:rFonts w:hint="eastAsia"/>
                <w:snapToGrid/>
                <w:kern w:val="0"/>
              </w:rPr>
              <w:t>49.</w:t>
            </w:r>
            <w:r>
              <w:rPr>
                <w:snapToGrid/>
                <w:kern w:val="0"/>
              </w:rPr>
              <w:t>8</w:t>
            </w:r>
            <w:r w:rsidRPr="002F7963">
              <w:rPr>
                <w:rFonts w:hint="eastAsia"/>
                <w:snapToGrid/>
                <w:kern w:val="0"/>
              </w:rPr>
              <w:t>1</w:t>
            </w:r>
          </w:p>
        </w:tc>
      </w:tr>
      <w:tr w:rsidR="00CE22CA" w:rsidRPr="002F7963" w14:paraId="6DF32806" w14:textId="77777777" w:rsidTr="009B4D43">
        <w:trPr>
          <w:trHeight w:val="20"/>
        </w:trPr>
        <w:tc>
          <w:tcPr>
            <w:tcW w:w="857" w:type="dxa"/>
            <w:tcBorders>
              <w:top w:val="double" w:sz="4" w:space="0" w:color="auto"/>
            </w:tcBorders>
            <w:shd w:val="clear" w:color="auto" w:fill="auto"/>
            <w:noWrap/>
            <w:vAlign w:val="center"/>
          </w:tcPr>
          <w:p w14:paraId="45C18CE8" w14:textId="77777777" w:rsidR="00CE22CA" w:rsidRPr="009B4D43" w:rsidRDefault="00CE22CA" w:rsidP="009B4D43">
            <w:pPr>
              <w:pStyle w:val="142"/>
              <w:jc w:val="center"/>
              <w:rPr>
                <w:b/>
                <w:bCs/>
                <w:snapToGrid/>
                <w:kern w:val="0"/>
              </w:rPr>
            </w:pPr>
            <w:r w:rsidRPr="009B4D43">
              <w:rPr>
                <w:rFonts w:hint="eastAsia"/>
                <w:b/>
                <w:bCs/>
                <w:snapToGrid/>
                <w:kern w:val="0"/>
              </w:rPr>
              <w:t>113</w:t>
            </w:r>
          </w:p>
        </w:tc>
        <w:tc>
          <w:tcPr>
            <w:tcW w:w="1689" w:type="dxa"/>
            <w:tcBorders>
              <w:top w:val="double" w:sz="4" w:space="0" w:color="auto"/>
            </w:tcBorders>
            <w:shd w:val="clear" w:color="auto" w:fill="auto"/>
            <w:noWrap/>
            <w:vAlign w:val="bottom"/>
          </w:tcPr>
          <w:p w14:paraId="2D47710E"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2,745,039 </w:t>
            </w:r>
          </w:p>
        </w:tc>
        <w:tc>
          <w:tcPr>
            <w:tcW w:w="1713" w:type="dxa"/>
            <w:tcBorders>
              <w:top w:val="double" w:sz="4" w:space="0" w:color="auto"/>
            </w:tcBorders>
            <w:shd w:val="clear" w:color="auto" w:fill="auto"/>
            <w:noWrap/>
            <w:vAlign w:val="bottom"/>
          </w:tcPr>
          <w:p w14:paraId="28C8F895"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1,404,531 </w:t>
            </w:r>
          </w:p>
        </w:tc>
        <w:tc>
          <w:tcPr>
            <w:tcW w:w="1071" w:type="dxa"/>
            <w:tcBorders>
              <w:top w:val="double" w:sz="4" w:space="0" w:color="auto"/>
            </w:tcBorders>
            <w:shd w:val="clear" w:color="auto" w:fill="auto"/>
            <w:noWrap/>
            <w:vAlign w:val="center"/>
          </w:tcPr>
          <w:p w14:paraId="40F54572" w14:textId="77777777" w:rsidR="00CE22CA" w:rsidRPr="002F7963" w:rsidRDefault="00CE22CA" w:rsidP="00D26D85">
            <w:pPr>
              <w:pStyle w:val="142"/>
              <w:jc w:val="right"/>
              <w:rPr>
                <w:snapToGrid/>
                <w:kern w:val="0"/>
              </w:rPr>
            </w:pPr>
            <w:r w:rsidRPr="002F7963">
              <w:rPr>
                <w:rFonts w:hint="eastAsia"/>
                <w:snapToGrid/>
                <w:kern w:val="0"/>
              </w:rPr>
              <w:t>51.17</w:t>
            </w:r>
          </w:p>
        </w:tc>
        <w:tc>
          <w:tcPr>
            <w:tcW w:w="1480" w:type="dxa"/>
            <w:tcBorders>
              <w:top w:val="double" w:sz="4" w:space="0" w:color="auto"/>
            </w:tcBorders>
            <w:shd w:val="clear" w:color="auto" w:fill="auto"/>
            <w:noWrap/>
            <w:vAlign w:val="center"/>
          </w:tcPr>
          <w:p w14:paraId="1C75EDAC" w14:textId="77777777" w:rsidR="00CE22CA" w:rsidRPr="002F7963" w:rsidRDefault="00CE22CA" w:rsidP="00D26D85">
            <w:pPr>
              <w:pStyle w:val="142"/>
              <w:jc w:val="right"/>
              <w:rPr>
                <w:snapToGrid/>
                <w:kern w:val="0"/>
              </w:rPr>
            </w:pPr>
            <w:r w:rsidRPr="002F7963">
              <w:rPr>
                <w:rFonts w:hint="eastAsia"/>
                <w:snapToGrid/>
                <w:kern w:val="0"/>
              </w:rPr>
              <w:t xml:space="preserve">1,340,508 </w:t>
            </w:r>
          </w:p>
        </w:tc>
        <w:tc>
          <w:tcPr>
            <w:tcW w:w="1111" w:type="dxa"/>
            <w:tcBorders>
              <w:top w:val="double" w:sz="4" w:space="0" w:color="auto"/>
            </w:tcBorders>
            <w:shd w:val="clear" w:color="auto" w:fill="auto"/>
            <w:noWrap/>
            <w:vAlign w:val="center"/>
          </w:tcPr>
          <w:p w14:paraId="732BAF5B" w14:textId="77777777" w:rsidR="00CE22CA" w:rsidRPr="002F7963" w:rsidRDefault="00CE22CA" w:rsidP="00D26D85">
            <w:pPr>
              <w:pStyle w:val="142"/>
              <w:jc w:val="right"/>
              <w:rPr>
                <w:snapToGrid/>
                <w:kern w:val="0"/>
              </w:rPr>
            </w:pPr>
            <w:r w:rsidRPr="002F7963">
              <w:rPr>
                <w:rFonts w:hint="eastAsia"/>
                <w:snapToGrid/>
                <w:kern w:val="0"/>
              </w:rPr>
              <w:t>48.83</w:t>
            </w:r>
          </w:p>
        </w:tc>
      </w:tr>
      <w:tr w:rsidR="00CE22CA" w:rsidRPr="002F7963" w14:paraId="5700B963" w14:textId="77777777" w:rsidTr="00D26D85">
        <w:trPr>
          <w:trHeight w:val="20"/>
        </w:trPr>
        <w:tc>
          <w:tcPr>
            <w:tcW w:w="857" w:type="dxa"/>
            <w:shd w:val="clear" w:color="auto" w:fill="auto"/>
            <w:noWrap/>
            <w:vAlign w:val="center"/>
          </w:tcPr>
          <w:p w14:paraId="245352A9" w14:textId="77777777" w:rsidR="00CE22CA" w:rsidRPr="009B4D43" w:rsidRDefault="00CE22CA" w:rsidP="009B4D43">
            <w:pPr>
              <w:pStyle w:val="142"/>
              <w:jc w:val="center"/>
              <w:rPr>
                <w:b/>
                <w:bCs/>
                <w:snapToGrid/>
                <w:kern w:val="0"/>
              </w:rPr>
            </w:pPr>
            <w:r>
              <w:rPr>
                <w:rFonts w:hint="eastAsia"/>
                <w:b/>
                <w:bCs/>
                <w:snapToGrid/>
                <w:kern w:val="0"/>
              </w:rPr>
              <w:t>1</w:t>
            </w:r>
            <w:r>
              <w:rPr>
                <w:b/>
                <w:bCs/>
                <w:snapToGrid/>
                <w:kern w:val="0"/>
              </w:rPr>
              <w:t>14</w:t>
            </w:r>
          </w:p>
        </w:tc>
        <w:tc>
          <w:tcPr>
            <w:tcW w:w="1689" w:type="dxa"/>
            <w:shd w:val="clear" w:color="auto" w:fill="auto"/>
            <w:noWrap/>
            <w:vAlign w:val="bottom"/>
          </w:tcPr>
          <w:p w14:paraId="2B96E733" w14:textId="77777777" w:rsidR="00CE22CA" w:rsidRPr="002F7963" w:rsidRDefault="00CE22CA" w:rsidP="00D26D85">
            <w:pPr>
              <w:pStyle w:val="142"/>
              <w:jc w:val="right"/>
              <w:rPr>
                <w:snapToGrid/>
                <w:color w:val="000000"/>
                <w:kern w:val="0"/>
              </w:rPr>
            </w:pPr>
            <w:r>
              <w:rPr>
                <w:rFonts w:hint="eastAsia"/>
                <w:snapToGrid/>
                <w:color w:val="000000"/>
                <w:kern w:val="0"/>
              </w:rPr>
              <w:t>2</w:t>
            </w:r>
            <w:r>
              <w:rPr>
                <w:snapToGrid/>
                <w:color w:val="000000"/>
                <w:kern w:val="0"/>
              </w:rPr>
              <w:t>,852,583</w:t>
            </w:r>
          </w:p>
        </w:tc>
        <w:tc>
          <w:tcPr>
            <w:tcW w:w="1713" w:type="dxa"/>
            <w:shd w:val="clear" w:color="auto" w:fill="auto"/>
            <w:noWrap/>
            <w:vAlign w:val="bottom"/>
          </w:tcPr>
          <w:p w14:paraId="57306625" w14:textId="77777777" w:rsidR="00CE22CA" w:rsidRPr="002F7963" w:rsidRDefault="00CE22CA" w:rsidP="00D26D85">
            <w:pPr>
              <w:pStyle w:val="142"/>
              <w:jc w:val="right"/>
              <w:rPr>
                <w:snapToGrid/>
                <w:color w:val="000000"/>
                <w:kern w:val="0"/>
              </w:rPr>
            </w:pPr>
            <w:r>
              <w:rPr>
                <w:rFonts w:hint="eastAsia"/>
                <w:snapToGrid/>
                <w:color w:val="000000"/>
                <w:kern w:val="0"/>
              </w:rPr>
              <w:t>1</w:t>
            </w:r>
            <w:r>
              <w:rPr>
                <w:snapToGrid/>
                <w:color w:val="000000"/>
                <w:kern w:val="0"/>
              </w:rPr>
              <w:t>,472,393</w:t>
            </w:r>
          </w:p>
        </w:tc>
        <w:tc>
          <w:tcPr>
            <w:tcW w:w="1071" w:type="dxa"/>
            <w:shd w:val="clear" w:color="auto" w:fill="auto"/>
            <w:noWrap/>
            <w:vAlign w:val="center"/>
          </w:tcPr>
          <w:p w14:paraId="76CB7261" w14:textId="77777777" w:rsidR="00CE22CA" w:rsidRPr="002F7963" w:rsidRDefault="00CE22CA" w:rsidP="00D26D85">
            <w:pPr>
              <w:pStyle w:val="142"/>
              <w:jc w:val="right"/>
              <w:rPr>
                <w:snapToGrid/>
                <w:kern w:val="0"/>
              </w:rPr>
            </w:pPr>
            <w:r>
              <w:rPr>
                <w:rFonts w:hint="eastAsia"/>
                <w:snapToGrid/>
                <w:kern w:val="0"/>
              </w:rPr>
              <w:t>5</w:t>
            </w:r>
            <w:r>
              <w:rPr>
                <w:snapToGrid/>
                <w:kern w:val="0"/>
              </w:rPr>
              <w:t>1.62</w:t>
            </w:r>
          </w:p>
        </w:tc>
        <w:tc>
          <w:tcPr>
            <w:tcW w:w="1480" w:type="dxa"/>
            <w:shd w:val="clear" w:color="auto" w:fill="auto"/>
            <w:noWrap/>
            <w:vAlign w:val="center"/>
          </w:tcPr>
          <w:p w14:paraId="75EFE461" w14:textId="77777777" w:rsidR="00CE22CA" w:rsidRPr="002F7963" w:rsidRDefault="00CE22CA" w:rsidP="00D26D85">
            <w:pPr>
              <w:pStyle w:val="142"/>
              <w:jc w:val="right"/>
              <w:rPr>
                <w:snapToGrid/>
                <w:kern w:val="0"/>
              </w:rPr>
            </w:pPr>
            <w:r>
              <w:rPr>
                <w:rFonts w:hint="eastAsia"/>
                <w:snapToGrid/>
                <w:kern w:val="0"/>
              </w:rPr>
              <w:t>1</w:t>
            </w:r>
            <w:r>
              <w:rPr>
                <w:snapToGrid/>
                <w:kern w:val="0"/>
              </w:rPr>
              <w:t>,380,190</w:t>
            </w:r>
          </w:p>
        </w:tc>
        <w:tc>
          <w:tcPr>
            <w:tcW w:w="1111" w:type="dxa"/>
            <w:shd w:val="clear" w:color="auto" w:fill="auto"/>
            <w:noWrap/>
            <w:vAlign w:val="center"/>
          </w:tcPr>
          <w:p w14:paraId="0F1941DF" w14:textId="77777777" w:rsidR="00CE22CA" w:rsidRPr="002F7963" w:rsidRDefault="00CE22CA" w:rsidP="00D26D85">
            <w:pPr>
              <w:pStyle w:val="142"/>
              <w:jc w:val="right"/>
              <w:rPr>
                <w:snapToGrid/>
                <w:kern w:val="0"/>
              </w:rPr>
            </w:pPr>
            <w:r>
              <w:rPr>
                <w:rFonts w:hint="eastAsia"/>
                <w:snapToGrid/>
                <w:kern w:val="0"/>
              </w:rPr>
              <w:t>4</w:t>
            </w:r>
            <w:r>
              <w:rPr>
                <w:snapToGrid/>
                <w:kern w:val="0"/>
              </w:rPr>
              <w:t>8.38</w:t>
            </w:r>
          </w:p>
        </w:tc>
      </w:tr>
    </w:tbl>
    <w:p w14:paraId="51D4FFB4" w14:textId="77777777" w:rsidR="00CE22CA" w:rsidRPr="00E35527" w:rsidRDefault="00CE22CA" w:rsidP="002648F4">
      <w:pPr>
        <w:pStyle w:val="142"/>
        <w:ind w:leftChars="182" w:left="1709" w:rightChars="-12" w:right="-34" w:hangingChars="491" w:hanging="1194"/>
        <w:rPr>
          <w:szCs w:val="24"/>
        </w:rPr>
      </w:pPr>
      <w:bookmarkStart w:id="3" w:name="_Hlk179795345"/>
      <w:r>
        <w:rPr>
          <w:rFonts w:hint="eastAsia"/>
          <w:szCs w:val="24"/>
        </w:rPr>
        <w:t>說    明：表內10</w:t>
      </w:r>
      <w:r>
        <w:rPr>
          <w:szCs w:val="24"/>
        </w:rPr>
        <w:t>8</w:t>
      </w:r>
      <w:r>
        <w:rPr>
          <w:rFonts w:hint="eastAsia"/>
          <w:szCs w:val="24"/>
        </w:rPr>
        <w:t>至11</w:t>
      </w:r>
      <w:r>
        <w:rPr>
          <w:szCs w:val="24"/>
        </w:rPr>
        <w:t>2</w:t>
      </w:r>
      <w:r>
        <w:rPr>
          <w:rFonts w:hint="eastAsia"/>
          <w:szCs w:val="24"/>
        </w:rPr>
        <w:t>年度數據為決算審定數；11</w:t>
      </w:r>
      <w:r>
        <w:rPr>
          <w:szCs w:val="24"/>
        </w:rPr>
        <w:t>3</w:t>
      </w:r>
      <w:r>
        <w:rPr>
          <w:rFonts w:hint="eastAsia"/>
          <w:szCs w:val="24"/>
        </w:rPr>
        <w:t>及11</w:t>
      </w:r>
      <w:r>
        <w:rPr>
          <w:szCs w:val="24"/>
        </w:rPr>
        <w:t>4</w:t>
      </w:r>
      <w:r>
        <w:rPr>
          <w:rFonts w:hint="eastAsia"/>
          <w:szCs w:val="24"/>
        </w:rPr>
        <w:t>年度均為預算案數。</w:t>
      </w:r>
    </w:p>
    <w:p w14:paraId="73627614" w14:textId="77777777" w:rsidR="00CE22CA" w:rsidRPr="00EC7108" w:rsidRDefault="00CE22CA" w:rsidP="002648F4">
      <w:pPr>
        <w:pStyle w:val="142"/>
        <w:ind w:leftChars="182" w:left="1709" w:rightChars="-12" w:right="-34" w:hangingChars="491" w:hanging="1194"/>
        <w:rPr>
          <w:spacing w:val="-4"/>
          <w:sz w:val="22"/>
          <w:szCs w:val="22"/>
        </w:rPr>
      </w:pPr>
      <w:r w:rsidRPr="00992330">
        <w:rPr>
          <w:rFonts w:hint="eastAsia"/>
          <w:szCs w:val="24"/>
        </w:rPr>
        <w:t>資料來源</w:t>
      </w:r>
      <w:r>
        <w:rPr>
          <w:rFonts w:hint="eastAsia"/>
          <w:szCs w:val="24"/>
        </w:rPr>
        <w:t>：</w:t>
      </w:r>
      <w:r w:rsidRPr="00942A60">
        <w:rPr>
          <w:rFonts w:hint="eastAsia"/>
          <w:szCs w:val="24"/>
        </w:rPr>
        <w:t>屏東科技大學</w:t>
      </w:r>
      <w:r>
        <w:rPr>
          <w:rFonts w:hint="eastAsia"/>
          <w:szCs w:val="24"/>
        </w:rPr>
        <w:t>提供，本中心整理。</w:t>
      </w:r>
    </w:p>
    <w:bookmarkEnd w:id="3"/>
    <w:p w14:paraId="2358C75E" w14:textId="77777777" w:rsidR="00CE22CA" w:rsidRPr="00A07CB6" w:rsidRDefault="00CE22CA" w:rsidP="00D44DB9">
      <w:pPr>
        <w:pStyle w:val="a4"/>
        <w:ind w:left="849" w:hanging="283"/>
        <w:rPr>
          <w:b/>
          <w:bCs/>
        </w:rPr>
      </w:pPr>
      <w:r>
        <w:rPr>
          <w:b/>
          <w:bCs/>
        </w:rPr>
        <w:lastRenderedPageBreak/>
        <w:t>(二)近</w:t>
      </w:r>
      <w:r>
        <w:rPr>
          <w:rFonts w:hint="eastAsia"/>
          <w:b/>
          <w:bCs/>
        </w:rPr>
        <w:t>5</w:t>
      </w:r>
      <w:r>
        <w:rPr>
          <w:b/>
          <w:bCs/>
        </w:rPr>
        <w:t>年</w:t>
      </w:r>
      <w:r w:rsidRPr="00A07CB6">
        <w:rPr>
          <w:rFonts w:hint="eastAsia"/>
          <w:b/>
          <w:bCs/>
        </w:rPr>
        <w:t>學雜費收入</w:t>
      </w:r>
      <w:r>
        <w:rPr>
          <w:rFonts w:hint="eastAsia"/>
          <w:b/>
          <w:bCs/>
        </w:rPr>
        <w:t>概呈減少趨勢，於1</w:t>
      </w:r>
      <w:r>
        <w:rPr>
          <w:b/>
          <w:bCs/>
        </w:rPr>
        <w:t>12年度創下新低</w:t>
      </w:r>
      <w:r>
        <w:rPr>
          <w:rFonts w:hint="eastAsia"/>
          <w:b/>
          <w:bCs/>
        </w:rPr>
        <w:t>，影響收入自籌能力</w:t>
      </w:r>
    </w:p>
    <w:p w14:paraId="1FE51C6B" w14:textId="77777777" w:rsidR="00CE22CA" w:rsidRDefault="00CE22CA" w:rsidP="00A07CB6">
      <w:pPr>
        <w:pStyle w:val="2"/>
        <w:ind w:left="850" w:firstLine="566"/>
      </w:pPr>
      <w:r w:rsidRPr="00A07CB6">
        <w:rPr>
          <w:rFonts w:hint="eastAsia"/>
        </w:rPr>
        <w:t>政府為因應高等教育發展趨勢，提升教育品質，增進教育績效，於104年2月4日修正</w:t>
      </w:r>
      <w:r>
        <w:rPr>
          <w:rFonts w:hint="eastAsia"/>
        </w:rPr>
        <w:t>國立大學校院校務基金</w:t>
      </w:r>
      <w:r w:rsidRPr="00A07CB6">
        <w:rPr>
          <w:rFonts w:hint="eastAsia"/>
        </w:rPr>
        <w:t>設置條例時，再度擴大校務基金自籌收入範疇，增列學雜費收入為自籌收入項目。依修正後設置條例第3條規定，校務基金自籌收入項目為學雜費收入、推廣教育收入、產學合作收入、政府科研補助或委託辦理之收入、場地設備管理收入、受贈收入、投資取得之收益及其他收入。</w:t>
      </w:r>
      <w:r>
        <w:t>據</w:t>
      </w:r>
      <w:r w:rsidRPr="00A517BC">
        <w:rPr>
          <w:rFonts w:hint="eastAsia"/>
        </w:rPr>
        <w:t>屏東科技大學</w:t>
      </w:r>
      <w:r>
        <w:rPr>
          <w:rFonts w:hint="eastAsia"/>
        </w:rPr>
        <w:t>提供資料，該校自籌收入中以學雜費收入淨額占逾3</w:t>
      </w:r>
      <w:r>
        <w:t>成</w:t>
      </w:r>
      <w:r>
        <w:rPr>
          <w:rFonts w:hint="eastAsia"/>
        </w:rPr>
        <w:t>，為主要自籌收入來源之一，惟學雜費收入淨額以1</w:t>
      </w:r>
      <w:r>
        <w:t>08年度為最高</w:t>
      </w:r>
      <w:r>
        <w:rPr>
          <w:rFonts w:hint="eastAsia"/>
        </w:rPr>
        <w:t>，</w:t>
      </w:r>
      <w:r>
        <w:t>達</w:t>
      </w:r>
      <w:r>
        <w:rPr>
          <w:rFonts w:hint="eastAsia"/>
        </w:rPr>
        <w:t>5</w:t>
      </w:r>
      <w:r>
        <w:t>億</w:t>
      </w:r>
      <w:r>
        <w:rPr>
          <w:rFonts w:hint="eastAsia"/>
        </w:rPr>
        <w:t>5</w:t>
      </w:r>
      <w:r>
        <w:t>17萬元</w:t>
      </w:r>
      <w:r>
        <w:rPr>
          <w:rFonts w:hint="eastAsia"/>
        </w:rPr>
        <w:t>，</w:t>
      </w:r>
      <w:r>
        <w:t>隨後概呈減少趨勢</w:t>
      </w:r>
      <w:r>
        <w:rPr>
          <w:rFonts w:hint="eastAsia"/>
        </w:rPr>
        <w:t>，</w:t>
      </w:r>
      <w:r>
        <w:t>至</w:t>
      </w:r>
      <w:r>
        <w:rPr>
          <w:rFonts w:hint="eastAsia"/>
        </w:rPr>
        <w:t>1</w:t>
      </w:r>
      <w:r>
        <w:t>12年度以</w:t>
      </w:r>
      <w:r>
        <w:rPr>
          <w:rFonts w:hint="eastAsia"/>
        </w:rPr>
        <w:t>4</w:t>
      </w:r>
      <w:r>
        <w:t>億</w:t>
      </w:r>
      <w:r>
        <w:rPr>
          <w:rFonts w:hint="eastAsia"/>
        </w:rPr>
        <w:t>5</w:t>
      </w:r>
      <w:r>
        <w:t>,885萬元創下近</w:t>
      </w:r>
      <w:r>
        <w:rPr>
          <w:rFonts w:hint="eastAsia"/>
        </w:rPr>
        <w:t>5年(</w:t>
      </w:r>
      <w:r>
        <w:t>108至</w:t>
      </w:r>
      <w:r>
        <w:rPr>
          <w:rFonts w:hint="eastAsia"/>
        </w:rPr>
        <w:t>1</w:t>
      </w:r>
      <w:r>
        <w:t>12年度)新低</w:t>
      </w:r>
      <w:r>
        <w:rPr>
          <w:rFonts w:hint="eastAsia"/>
        </w:rPr>
        <w:t>(詳表2</w:t>
      </w:r>
      <w:r>
        <w:t>)</w:t>
      </w:r>
      <w:r>
        <w:rPr>
          <w:rFonts w:hint="eastAsia"/>
        </w:rPr>
        <w:t>。</w:t>
      </w:r>
    </w:p>
    <w:p w14:paraId="33800259" w14:textId="77777777" w:rsidR="00CE22CA" w:rsidRDefault="00CE22CA" w:rsidP="006C705D">
      <w:pPr>
        <w:pStyle w:val="20"/>
        <w:ind w:leftChars="-207" w:left="1" w:hangingChars="207" w:hanging="587"/>
        <w:rPr>
          <w:b/>
          <w:bCs/>
          <w:sz w:val="28"/>
        </w:rPr>
      </w:pPr>
      <w:r w:rsidRPr="00387B42">
        <w:rPr>
          <w:rFonts w:hint="eastAsia"/>
          <w:b/>
          <w:bCs/>
          <w:sz w:val="28"/>
        </w:rPr>
        <w:t>表2</w:t>
      </w:r>
      <w:r>
        <w:rPr>
          <w:b/>
          <w:bCs/>
          <w:sz w:val="28"/>
        </w:rPr>
        <w:t xml:space="preserve">  </w:t>
      </w:r>
      <w:r w:rsidRPr="00387B42">
        <w:rPr>
          <w:rFonts w:hint="eastAsia"/>
          <w:b/>
          <w:bCs/>
          <w:sz w:val="28"/>
        </w:rPr>
        <w:t>108至114年度屏東科技大學</w:t>
      </w:r>
      <w:r>
        <w:rPr>
          <w:rFonts w:hint="eastAsia"/>
          <w:b/>
          <w:bCs/>
          <w:sz w:val="28"/>
        </w:rPr>
        <w:t>校務基金學雜費收入情形表</w:t>
      </w:r>
    </w:p>
    <w:p w14:paraId="50E6E321" w14:textId="77777777" w:rsidR="00CE22CA" w:rsidRDefault="00CE22CA" w:rsidP="00387B42">
      <w:pPr>
        <w:pStyle w:val="142"/>
        <w:jc w:val="right"/>
      </w:pPr>
      <w:r>
        <w:rPr>
          <w:rFonts w:hint="eastAsia"/>
        </w:rPr>
        <w:t>單位：新臺幣千元；%</w:t>
      </w:r>
    </w:p>
    <w:tbl>
      <w:tblPr>
        <w:tblW w:w="9147"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7"/>
        <w:gridCol w:w="1124"/>
        <w:gridCol w:w="1124"/>
        <w:gridCol w:w="1124"/>
        <w:gridCol w:w="1125"/>
        <w:gridCol w:w="1124"/>
        <w:gridCol w:w="1124"/>
        <w:gridCol w:w="1125"/>
      </w:tblGrid>
      <w:tr w:rsidR="00CE22CA" w:rsidRPr="006C705D" w14:paraId="2CE43D49" w14:textId="77777777" w:rsidTr="006C705D">
        <w:tc>
          <w:tcPr>
            <w:tcW w:w="1277" w:type="dxa"/>
            <w:shd w:val="clear" w:color="auto" w:fill="auto"/>
            <w:vAlign w:val="center"/>
          </w:tcPr>
          <w:p w14:paraId="44A437D0"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年度</w:t>
            </w:r>
          </w:p>
        </w:tc>
        <w:tc>
          <w:tcPr>
            <w:tcW w:w="1124" w:type="dxa"/>
            <w:shd w:val="clear" w:color="auto" w:fill="auto"/>
            <w:vAlign w:val="center"/>
          </w:tcPr>
          <w:p w14:paraId="6AFE03B2"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08</w:t>
            </w:r>
          </w:p>
        </w:tc>
        <w:tc>
          <w:tcPr>
            <w:tcW w:w="1124" w:type="dxa"/>
            <w:shd w:val="clear" w:color="auto" w:fill="auto"/>
            <w:vAlign w:val="center"/>
          </w:tcPr>
          <w:p w14:paraId="2DE0BB67"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09</w:t>
            </w:r>
          </w:p>
        </w:tc>
        <w:tc>
          <w:tcPr>
            <w:tcW w:w="1124" w:type="dxa"/>
            <w:shd w:val="clear" w:color="auto" w:fill="auto"/>
            <w:vAlign w:val="center"/>
          </w:tcPr>
          <w:p w14:paraId="21821C16"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10</w:t>
            </w:r>
          </w:p>
        </w:tc>
        <w:tc>
          <w:tcPr>
            <w:tcW w:w="1125" w:type="dxa"/>
            <w:shd w:val="clear" w:color="auto" w:fill="auto"/>
            <w:vAlign w:val="center"/>
          </w:tcPr>
          <w:p w14:paraId="177C3E47"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11</w:t>
            </w:r>
          </w:p>
        </w:tc>
        <w:tc>
          <w:tcPr>
            <w:tcW w:w="1124" w:type="dxa"/>
            <w:shd w:val="clear" w:color="auto" w:fill="auto"/>
            <w:vAlign w:val="center"/>
          </w:tcPr>
          <w:p w14:paraId="146DEBCF"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12</w:t>
            </w:r>
          </w:p>
        </w:tc>
        <w:tc>
          <w:tcPr>
            <w:tcW w:w="1124" w:type="dxa"/>
            <w:shd w:val="clear" w:color="auto" w:fill="auto"/>
            <w:vAlign w:val="center"/>
          </w:tcPr>
          <w:p w14:paraId="57FC18A6"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13</w:t>
            </w:r>
          </w:p>
        </w:tc>
        <w:tc>
          <w:tcPr>
            <w:tcW w:w="1125" w:type="dxa"/>
            <w:shd w:val="clear" w:color="auto" w:fill="auto"/>
            <w:vAlign w:val="center"/>
          </w:tcPr>
          <w:p w14:paraId="7D4A77D6"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14</w:t>
            </w:r>
          </w:p>
        </w:tc>
      </w:tr>
      <w:tr w:rsidR="00CE22CA" w:rsidRPr="00387B42" w14:paraId="6BFBA625" w14:textId="77777777" w:rsidTr="006C705D">
        <w:tc>
          <w:tcPr>
            <w:tcW w:w="1277" w:type="dxa"/>
            <w:shd w:val="clear" w:color="auto" w:fill="auto"/>
            <w:vAlign w:val="center"/>
          </w:tcPr>
          <w:p w14:paraId="4B0FECC4"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學雜費收入</w:t>
            </w:r>
          </w:p>
        </w:tc>
        <w:tc>
          <w:tcPr>
            <w:tcW w:w="1124" w:type="dxa"/>
            <w:shd w:val="clear" w:color="auto" w:fill="auto"/>
            <w:vAlign w:val="center"/>
          </w:tcPr>
          <w:p w14:paraId="3CFAED7A" w14:textId="77777777" w:rsidR="00CE22CA" w:rsidRPr="00387B42" w:rsidRDefault="00CE22CA" w:rsidP="00387B42">
            <w:pPr>
              <w:pStyle w:val="142"/>
              <w:jc w:val="right"/>
              <w:rPr>
                <w:rFonts w:hAnsi="標楷體"/>
                <w:spacing w:val="-20"/>
                <w:szCs w:val="24"/>
              </w:rPr>
            </w:pPr>
            <w:r w:rsidRPr="00387B42">
              <w:rPr>
                <w:rFonts w:hAnsi="標楷體"/>
                <w:spacing w:val="-20"/>
                <w:szCs w:val="24"/>
              </w:rPr>
              <w:t>549,871</w:t>
            </w:r>
          </w:p>
        </w:tc>
        <w:tc>
          <w:tcPr>
            <w:tcW w:w="1124" w:type="dxa"/>
            <w:shd w:val="clear" w:color="auto" w:fill="auto"/>
            <w:vAlign w:val="center"/>
          </w:tcPr>
          <w:p w14:paraId="017525BC" w14:textId="77777777" w:rsidR="00CE22CA" w:rsidRPr="00387B42" w:rsidRDefault="00CE22CA" w:rsidP="00387B42">
            <w:pPr>
              <w:pStyle w:val="142"/>
              <w:jc w:val="right"/>
              <w:rPr>
                <w:rFonts w:hAnsi="標楷體"/>
                <w:spacing w:val="-20"/>
                <w:szCs w:val="24"/>
              </w:rPr>
            </w:pPr>
            <w:r w:rsidRPr="00387B42">
              <w:rPr>
                <w:rFonts w:hAnsi="標楷體"/>
                <w:spacing w:val="-20"/>
                <w:szCs w:val="24"/>
              </w:rPr>
              <w:t>516,845</w:t>
            </w:r>
          </w:p>
        </w:tc>
        <w:tc>
          <w:tcPr>
            <w:tcW w:w="1124" w:type="dxa"/>
            <w:shd w:val="clear" w:color="auto" w:fill="auto"/>
            <w:vAlign w:val="center"/>
          </w:tcPr>
          <w:p w14:paraId="06354A8F" w14:textId="77777777" w:rsidR="00CE22CA" w:rsidRPr="00387B42" w:rsidRDefault="00CE22CA" w:rsidP="00387B42">
            <w:pPr>
              <w:pStyle w:val="142"/>
              <w:jc w:val="right"/>
              <w:rPr>
                <w:rFonts w:hAnsi="標楷體"/>
                <w:spacing w:val="-20"/>
                <w:szCs w:val="24"/>
              </w:rPr>
            </w:pPr>
            <w:r w:rsidRPr="00387B42">
              <w:rPr>
                <w:rFonts w:hAnsi="標楷體"/>
                <w:spacing w:val="-20"/>
                <w:szCs w:val="24"/>
              </w:rPr>
              <w:t>522,495</w:t>
            </w:r>
          </w:p>
        </w:tc>
        <w:tc>
          <w:tcPr>
            <w:tcW w:w="1125" w:type="dxa"/>
            <w:shd w:val="clear" w:color="auto" w:fill="auto"/>
            <w:vAlign w:val="center"/>
          </w:tcPr>
          <w:p w14:paraId="4579F856" w14:textId="77777777" w:rsidR="00CE22CA" w:rsidRPr="00387B42" w:rsidRDefault="00CE22CA" w:rsidP="00387B42">
            <w:pPr>
              <w:pStyle w:val="142"/>
              <w:jc w:val="right"/>
              <w:rPr>
                <w:rFonts w:hAnsi="標楷體"/>
                <w:spacing w:val="-20"/>
                <w:szCs w:val="24"/>
              </w:rPr>
            </w:pPr>
            <w:r w:rsidRPr="00387B42">
              <w:rPr>
                <w:rFonts w:hAnsi="標楷體"/>
                <w:spacing w:val="-20"/>
                <w:szCs w:val="24"/>
              </w:rPr>
              <w:t>523,339</w:t>
            </w:r>
          </w:p>
        </w:tc>
        <w:tc>
          <w:tcPr>
            <w:tcW w:w="1124" w:type="dxa"/>
            <w:shd w:val="clear" w:color="auto" w:fill="auto"/>
            <w:vAlign w:val="center"/>
          </w:tcPr>
          <w:p w14:paraId="7338DCE7" w14:textId="77777777" w:rsidR="00CE22CA" w:rsidRPr="00387B42" w:rsidRDefault="00CE22CA" w:rsidP="00387B42">
            <w:pPr>
              <w:pStyle w:val="142"/>
              <w:jc w:val="right"/>
              <w:rPr>
                <w:rFonts w:hAnsi="標楷體"/>
                <w:spacing w:val="-20"/>
                <w:szCs w:val="24"/>
              </w:rPr>
            </w:pPr>
            <w:r w:rsidRPr="00387B42">
              <w:rPr>
                <w:rFonts w:hAnsi="標楷體"/>
                <w:spacing w:val="-20"/>
                <w:szCs w:val="24"/>
              </w:rPr>
              <w:t>500,870</w:t>
            </w:r>
          </w:p>
        </w:tc>
        <w:tc>
          <w:tcPr>
            <w:tcW w:w="1124" w:type="dxa"/>
            <w:shd w:val="clear" w:color="auto" w:fill="auto"/>
            <w:vAlign w:val="center"/>
          </w:tcPr>
          <w:p w14:paraId="677F8CD1" w14:textId="77777777" w:rsidR="00CE22CA" w:rsidRPr="00387B42" w:rsidRDefault="00CE22CA" w:rsidP="00387B42">
            <w:pPr>
              <w:pStyle w:val="142"/>
              <w:jc w:val="right"/>
              <w:rPr>
                <w:rFonts w:hAnsi="標楷體"/>
                <w:spacing w:val="-20"/>
                <w:szCs w:val="24"/>
              </w:rPr>
            </w:pPr>
            <w:r w:rsidRPr="00387B42">
              <w:rPr>
                <w:rFonts w:hAnsi="標楷體"/>
                <w:spacing w:val="-20"/>
                <w:szCs w:val="24"/>
              </w:rPr>
              <w:t>524,750</w:t>
            </w:r>
          </w:p>
        </w:tc>
        <w:tc>
          <w:tcPr>
            <w:tcW w:w="1125" w:type="dxa"/>
            <w:shd w:val="clear" w:color="auto" w:fill="auto"/>
            <w:vAlign w:val="center"/>
          </w:tcPr>
          <w:p w14:paraId="234A145B" w14:textId="77777777" w:rsidR="00CE22CA" w:rsidRPr="00387B42" w:rsidRDefault="00CE22CA" w:rsidP="00387B42">
            <w:pPr>
              <w:pStyle w:val="142"/>
              <w:jc w:val="right"/>
              <w:rPr>
                <w:rFonts w:hAnsi="標楷體"/>
                <w:spacing w:val="-20"/>
                <w:szCs w:val="24"/>
              </w:rPr>
            </w:pPr>
            <w:r w:rsidRPr="00387B42">
              <w:rPr>
                <w:rFonts w:hAnsi="標楷體"/>
                <w:spacing w:val="-20"/>
                <w:szCs w:val="24"/>
              </w:rPr>
              <w:t>506,101</w:t>
            </w:r>
          </w:p>
        </w:tc>
      </w:tr>
      <w:tr w:rsidR="00CE22CA" w:rsidRPr="00387B42" w14:paraId="58819C2E" w14:textId="77777777" w:rsidTr="006C705D">
        <w:tc>
          <w:tcPr>
            <w:tcW w:w="1277" w:type="dxa"/>
            <w:shd w:val="clear" w:color="auto" w:fill="auto"/>
            <w:vAlign w:val="center"/>
          </w:tcPr>
          <w:p w14:paraId="3021D766"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學雜費相關支出</w:t>
            </w:r>
          </w:p>
        </w:tc>
        <w:tc>
          <w:tcPr>
            <w:tcW w:w="1124" w:type="dxa"/>
            <w:shd w:val="clear" w:color="auto" w:fill="auto"/>
            <w:vAlign w:val="center"/>
          </w:tcPr>
          <w:p w14:paraId="1D512492" w14:textId="77777777" w:rsidR="00CE22CA" w:rsidRPr="00387B42" w:rsidRDefault="00CE22CA" w:rsidP="00387B42">
            <w:pPr>
              <w:pStyle w:val="142"/>
              <w:jc w:val="right"/>
              <w:rPr>
                <w:rFonts w:hAnsi="標楷體"/>
                <w:spacing w:val="-20"/>
                <w:szCs w:val="24"/>
              </w:rPr>
            </w:pPr>
            <w:r w:rsidRPr="00387B42">
              <w:rPr>
                <w:rFonts w:hAnsi="標楷體"/>
                <w:spacing w:val="-20"/>
                <w:szCs w:val="24"/>
              </w:rPr>
              <w:t>-44,701</w:t>
            </w:r>
          </w:p>
        </w:tc>
        <w:tc>
          <w:tcPr>
            <w:tcW w:w="1124" w:type="dxa"/>
            <w:shd w:val="clear" w:color="auto" w:fill="auto"/>
            <w:vAlign w:val="center"/>
          </w:tcPr>
          <w:p w14:paraId="4CF4B793" w14:textId="77777777" w:rsidR="00CE22CA" w:rsidRPr="00387B42" w:rsidRDefault="00CE22CA" w:rsidP="00387B42">
            <w:pPr>
              <w:pStyle w:val="142"/>
              <w:jc w:val="right"/>
              <w:rPr>
                <w:rFonts w:hAnsi="標楷體"/>
                <w:spacing w:val="-20"/>
                <w:szCs w:val="24"/>
              </w:rPr>
            </w:pPr>
            <w:r w:rsidRPr="00387B42">
              <w:rPr>
                <w:rFonts w:hAnsi="標楷體"/>
                <w:spacing w:val="-20"/>
                <w:szCs w:val="24"/>
              </w:rPr>
              <w:t>-37,577</w:t>
            </w:r>
          </w:p>
        </w:tc>
        <w:tc>
          <w:tcPr>
            <w:tcW w:w="1124" w:type="dxa"/>
            <w:shd w:val="clear" w:color="auto" w:fill="auto"/>
            <w:vAlign w:val="center"/>
          </w:tcPr>
          <w:p w14:paraId="633367A1" w14:textId="77777777" w:rsidR="00CE22CA" w:rsidRPr="00387B42" w:rsidRDefault="00CE22CA" w:rsidP="00387B42">
            <w:pPr>
              <w:pStyle w:val="142"/>
              <w:jc w:val="right"/>
              <w:rPr>
                <w:rFonts w:hAnsi="標楷體"/>
                <w:spacing w:val="-20"/>
                <w:szCs w:val="24"/>
              </w:rPr>
            </w:pPr>
            <w:r w:rsidRPr="00387B42">
              <w:rPr>
                <w:rFonts w:hAnsi="標楷體"/>
                <w:spacing w:val="-20"/>
                <w:szCs w:val="24"/>
              </w:rPr>
              <w:t>-42,307</w:t>
            </w:r>
          </w:p>
        </w:tc>
        <w:tc>
          <w:tcPr>
            <w:tcW w:w="1125" w:type="dxa"/>
            <w:shd w:val="clear" w:color="auto" w:fill="auto"/>
            <w:vAlign w:val="center"/>
          </w:tcPr>
          <w:p w14:paraId="461B748A" w14:textId="77777777" w:rsidR="00CE22CA" w:rsidRPr="00387B42" w:rsidRDefault="00CE22CA" w:rsidP="00387B42">
            <w:pPr>
              <w:pStyle w:val="142"/>
              <w:jc w:val="right"/>
              <w:rPr>
                <w:rFonts w:hAnsi="標楷體"/>
                <w:spacing w:val="-20"/>
                <w:szCs w:val="24"/>
              </w:rPr>
            </w:pPr>
            <w:r w:rsidRPr="00387B42">
              <w:rPr>
                <w:rFonts w:hAnsi="標楷體"/>
                <w:spacing w:val="-20"/>
                <w:szCs w:val="24"/>
              </w:rPr>
              <w:t>-43,784</w:t>
            </w:r>
          </w:p>
        </w:tc>
        <w:tc>
          <w:tcPr>
            <w:tcW w:w="1124" w:type="dxa"/>
            <w:shd w:val="clear" w:color="auto" w:fill="auto"/>
            <w:vAlign w:val="center"/>
          </w:tcPr>
          <w:p w14:paraId="26529EF0" w14:textId="77777777" w:rsidR="00CE22CA" w:rsidRPr="00387B42" w:rsidRDefault="00CE22CA" w:rsidP="00387B42">
            <w:pPr>
              <w:pStyle w:val="142"/>
              <w:jc w:val="right"/>
              <w:rPr>
                <w:rFonts w:hAnsi="標楷體"/>
                <w:spacing w:val="-20"/>
                <w:szCs w:val="24"/>
              </w:rPr>
            </w:pPr>
            <w:r w:rsidRPr="00387B42">
              <w:rPr>
                <w:rFonts w:hAnsi="標楷體"/>
                <w:spacing w:val="-20"/>
                <w:szCs w:val="24"/>
              </w:rPr>
              <w:t>-42,021</w:t>
            </w:r>
          </w:p>
        </w:tc>
        <w:tc>
          <w:tcPr>
            <w:tcW w:w="1124" w:type="dxa"/>
            <w:shd w:val="clear" w:color="auto" w:fill="auto"/>
            <w:vAlign w:val="center"/>
          </w:tcPr>
          <w:p w14:paraId="4AA817A2" w14:textId="77777777" w:rsidR="00CE22CA" w:rsidRPr="00387B42" w:rsidRDefault="00CE22CA" w:rsidP="00387B42">
            <w:pPr>
              <w:pStyle w:val="142"/>
              <w:jc w:val="right"/>
              <w:rPr>
                <w:rFonts w:hAnsi="標楷體"/>
                <w:spacing w:val="-20"/>
                <w:szCs w:val="24"/>
              </w:rPr>
            </w:pPr>
            <w:r w:rsidRPr="00387B42">
              <w:rPr>
                <w:rFonts w:hAnsi="標楷體"/>
                <w:spacing w:val="-20"/>
                <w:szCs w:val="24"/>
              </w:rPr>
              <w:t>-43,902</w:t>
            </w:r>
          </w:p>
        </w:tc>
        <w:tc>
          <w:tcPr>
            <w:tcW w:w="1125" w:type="dxa"/>
            <w:shd w:val="clear" w:color="auto" w:fill="auto"/>
            <w:vAlign w:val="center"/>
          </w:tcPr>
          <w:p w14:paraId="2D9F6F67" w14:textId="77777777" w:rsidR="00CE22CA" w:rsidRPr="00387B42" w:rsidRDefault="00CE22CA" w:rsidP="00387B42">
            <w:pPr>
              <w:pStyle w:val="142"/>
              <w:jc w:val="right"/>
              <w:rPr>
                <w:rFonts w:hAnsi="標楷體"/>
                <w:spacing w:val="-20"/>
                <w:szCs w:val="24"/>
              </w:rPr>
            </w:pPr>
            <w:r w:rsidRPr="00387B42">
              <w:rPr>
                <w:rFonts w:hAnsi="標楷體"/>
                <w:spacing w:val="-20"/>
                <w:szCs w:val="24"/>
              </w:rPr>
              <w:t>-41,631</w:t>
            </w:r>
          </w:p>
        </w:tc>
      </w:tr>
      <w:tr w:rsidR="00CE22CA" w:rsidRPr="00387B42" w14:paraId="190F4756" w14:textId="77777777" w:rsidTr="006C705D">
        <w:tc>
          <w:tcPr>
            <w:tcW w:w="1277" w:type="dxa"/>
            <w:shd w:val="clear" w:color="auto" w:fill="auto"/>
            <w:vAlign w:val="center"/>
          </w:tcPr>
          <w:p w14:paraId="7F5181C6"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學雜費收入淨額</w:t>
            </w:r>
          </w:p>
        </w:tc>
        <w:tc>
          <w:tcPr>
            <w:tcW w:w="1124" w:type="dxa"/>
            <w:shd w:val="clear" w:color="auto" w:fill="auto"/>
            <w:vAlign w:val="center"/>
          </w:tcPr>
          <w:p w14:paraId="74EC8CCD" w14:textId="77777777" w:rsidR="00CE22CA" w:rsidRPr="00387B42" w:rsidRDefault="00CE22CA" w:rsidP="00387B42">
            <w:pPr>
              <w:pStyle w:val="142"/>
              <w:jc w:val="right"/>
              <w:rPr>
                <w:rFonts w:hAnsi="標楷體"/>
                <w:spacing w:val="-20"/>
                <w:szCs w:val="24"/>
              </w:rPr>
            </w:pPr>
            <w:r w:rsidRPr="00387B42">
              <w:rPr>
                <w:rFonts w:hAnsi="標楷體"/>
                <w:spacing w:val="-20"/>
                <w:szCs w:val="24"/>
              </w:rPr>
              <w:t>505,170</w:t>
            </w:r>
          </w:p>
        </w:tc>
        <w:tc>
          <w:tcPr>
            <w:tcW w:w="1124" w:type="dxa"/>
            <w:shd w:val="clear" w:color="auto" w:fill="auto"/>
            <w:vAlign w:val="center"/>
          </w:tcPr>
          <w:p w14:paraId="31E288B0" w14:textId="77777777" w:rsidR="00CE22CA" w:rsidRPr="00387B42" w:rsidRDefault="00CE22CA" w:rsidP="00387B42">
            <w:pPr>
              <w:pStyle w:val="142"/>
              <w:jc w:val="right"/>
              <w:rPr>
                <w:rFonts w:hAnsi="標楷體"/>
                <w:spacing w:val="-20"/>
                <w:szCs w:val="24"/>
              </w:rPr>
            </w:pPr>
            <w:r w:rsidRPr="00387B42">
              <w:rPr>
                <w:rFonts w:hAnsi="標楷體"/>
                <w:spacing w:val="-20"/>
                <w:szCs w:val="24"/>
              </w:rPr>
              <w:t>479,268</w:t>
            </w:r>
          </w:p>
        </w:tc>
        <w:tc>
          <w:tcPr>
            <w:tcW w:w="1124" w:type="dxa"/>
            <w:shd w:val="clear" w:color="auto" w:fill="auto"/>
            <w:vAlign w:val="center"/>
          </w:tcPr>
          <w:p w14:paraId="5AA29749" w14:textId="77777777" w:rsidR="00CE22CA" w:rsidRPr="00387B42" w:rsidRDefault="00CE22CA" w:rsidP="00387B42">
            <w:pPr>
              <w:pStyle w:val="142"/>
              <w:jc w:val="right"/>
              <w:rPr>
                <w:rFonts w:hAnsi="標楷體"/>
                <w:spacing w:val="-20"/>
                <w:szCs w:val="24"/>
              </w:rPr>
            </w:pPr>
            <w:r w:rsidRPr="00387B42">
              <w:rPr>
                <w:rFonts w:hAnsi="標楷體"/>
                <w:spacing w:val="-20"/>
                <w:szCs w:val="24"/>
              </w:rPr>
              <w:t>480,188</w:t>
            </w:r>
          </w:p>
        </w:tc>
        <w:tc>
          <w:tcPr>
            <w:tcW w:w="1125" w:type="dxa"/>
            <w:shd w:val="clear" w:color="auto" w:fill="auto"/>
            <w:vAlign w:val="center"/>
          </w:tcPr>
          <w:p w14:paraId="2A92B312" w14:textId="77777777" w:rsidR="00CE22CA" w:rsidRPr="00387B42" w:rsidRDefault="00CE22CA" w:rsidP="00387B42">
            <w:pPr>
              <w:pStyle w:val="142"/>
              <w:jc w:val="right"/>
              <w:rPr>
                <w:rFonts w:hAnsi="標楷體"/>
                <w:spacing w:val="-20"/>
                <w:szCs w:val="24"/>
              </w:rPr>
            </w:pPr>
            <w:r w:rsidRPr="00387B42">
              <w:rPr>
                <w:rFonts w:hAnsi="標楷體"/>
                <w:spacing w:val="-20"/>
                <w:szCs w:val="24"/>
              </w:rPr>
              <w:t>479,555</w:t>
            </w:r>
          </w:p>
        </w:tc>
        <w:tc>
          <w:tcPr>
            <w:tcW w:w="1124" w:type="dxa"/>
            <w:shd w:val="clear" w:color="auto" w:fill="auto"/>
            <w:vAlign w:val="center"/>
          </w:tcPr>
          <w:p w14:paraId="58EC946D" w14:textId="77777777" w:rsidR="00CE22CA" w:rsidRPr="00387B42" w:rsidRDefault="00CE22CA" w:rsidP="00387B42">
            <w:pPr>
              <w:pStyle w:val="142"/>
              <w:jc w:val="right"/>
              <w:rPr>
                <w:rFonts w:hAnsi="標楷體"/>
                <w:spacing w:val="-20"/>
                <w:szCs w:val="24"/>
              </w:rPr>
            </w:pPr>
            <w:r w:rsidRPr="00387B42">
              <w:rPr>
                <w:rFonts w:hAnsi="標楷體"/>
                <w:spacing w:val="-20"/>
                <w:szCs w:val="24"/>
              </w:rPr>
              <w:t>458,850</w:t>
            </w:r>
          </w:p>
        </w:tc>
        <w:tc>
          <w:tcPr>
            <w:tcW w:w="1124" w:type="dxa"/>
            <w:shd w:val="clear" w:color="auto" w:fill="auto"/>
            <w:vAlign w:val="center"/>
          </w:tcPr>
          <w:p w14:paraId="0707001A" w14:textId="77777777" w:rsidR="00CE22CA" w:rsidRPr="00387B42" w:rsidRDefault="00CE22CA" w:rsidP="00387B42">
            <w:pPr>
              <w:pStyle w:val="142"/>
              <w:jc w:val="right"/>
              <w:rPr>
                <w:rFonts w:hAnsi="標楷體"/>
                <w:spacing w:val="-20"/>
                <w:szCs w:val="24"/>
              </w:rPr>
            </w:pPr>
            <w:r w:rsidRPr="00387B42">
              <w:rPr>
                <w:rFonts w:hAnsi="標楷體"/>
                <w:spacing w:val="-20"/>
                <w:szCs w:val="24"/>
              </w:rPr>
              <w:t>480,848</w:t>
            </w:r>
          </w:p>
        </w:tc>
        <w:tc>
          <w:tcPr>
            <w:tcW w:w="1125" w:type="dxa"/>
            <w:shd w:val="clear" w:color="auto" w:fill="auto"/>
            <w:vAlign w:val="center"/>
          </w:tcPr>
          <w:p w14:paraId="329BAB81" w14:textId="77777777" w:rsidR="00CE22CA" w:rsidRPr="00387B42" w:rsidRDefault="00CE22CA" w:rsidP="00387B42">
            <w:pPr>
              <w:pStyle w:val="142"/>
              <w:jc w:val="right"/>
              <w:rPr>
                <w:rFonts w:hAnsi="標楷體"/>
                <w:spacing w:val="-20"/>
                <w:szCs w:val="24"/>
              </w:rPr>
            </w:pPr>
            <w:r w:rsidRPr="00387B42">
              <w:rPr>
                <w:rFonts w:hAnsi="標楷體"/>
                <w:spacing w:val="-20"/>
                <w:szCs w:val="24"/>
              </w:rPr>
              <w:t>464,470</w:t>
            </w:r>
          </w:p>
        </w:tc>
      </w:tr>
      <w:tr w:rsidR="00CE22CA" w:rsidRPr="00387B42" w14:paraId="4DC7915C" w14:textId="77777777" w:rsidTr="006C705D">
        <w:tc>
          <w:tcPr>
            <w:tcW w:w="1277" w:type="dxa"/>
            <w:shd w:val="clear" w:color="auto" w:fill="auto"/>
            <w:vAlign w:val="center"/>
          </w:tcPr>
          <w:p w14:paraId="7A306F0D"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自籌收入</w:t>
            </w:r>
          </w:p>
        </w:tc>
        <w:tc>
          <w:tcPr>
            <w:tcW w:w="1124" w:type="dxa"/>
            <w:shd w:val="clear" w:color="auto" w:fill="auto"/>
            <w:vAlign w:val="center"/>
          </w:tcPr>
          <w:p w14:paraId="2F214A7F" w14:textId="77777777" w:rsidR="00CE22CA" w:rsidRPr="00387B42" w:rsidRDefault="00CE22CA" w:rsidP="00387B42">
            <w:pPr>
              <w:pStyle w:val="142"/>
              <w:jc w:val="right"/>
              <w:rPr>
                <w:rFonts w:hAnsi="標楷體"/>
                <w:spacing w:val="-20"/>
                <w:szCs w:val="24"/>
              </w:rPr>
            </w:pPr>
            <w:r w:rsidRPr="00387B42">
              <w:rPr>
                <w:rFonts w:hAnsi="標楷體"/>
                <w:spacing w:val="-20"/>
                <w:szCs w:val="24"/>
              </w:rPr>
              <w:t>1,334,851</w:t>
            </w:r>
          </w:p>
        </w:tc>
        <w:tc>
          <w:tcPr>
            <w:tcW w:w="1124" w:type="dxa"/>
            <w:shd w:val="clear" w:color="auto" w:fill="auto"/>
            <w:vAlign w:val="center"/>
          </w:tcPr>
          <w:p w14:paraId="2B33BEE2" w14:textId="77777777" w:rsidR="00CE22CA" w:rsidRPr="00387B42" w:rsidRDefault="00CE22CA" w:rsidP="00387B42">
            <w:pPr>
              <w:pStyle w:val="142"/>
              <w:jc w:val="right"/>
              <w:rPr>
                <w:rFonts w:hAnsi="標楷體"/>
                <w:spacing w:val="-20"/>
                <w:szCs w:val="24"/>
              </w:rPr>
            </w:pPr>
            <w:r w:rsidRPr="00387B42">
              <w:rPr>
                <w:rFonts w:hAnsi="標楷體"/>
                <w:spacing w:val="-20"/>
                <w:szCs w:val="24"/>
              </w:rPr>
              <w:t>1,289,483</w:t>
            </w:r>
          </w:p>
        </w:tc>
        <w:tc>
          <w:tcPr>
            <w:tcW w:w="1124" w:type="dxa"/>
            <w:shd w:val="clear" w:color="auto" w:fill="auto"/>
            <w:vAlign w:val="center"/>
          </w:tcPr>
          <w:p w14:paraId="7B2EA848" w14:textId="77777777" w:rsidR="00CE22CA" w:rsidRPr="00387B42" w:rsidRDefault="00CE22CA" w:rsidP="00387B42">
            <w:pPr>
              <w:pStyle w:val="142"/>
              <w:jc w:val="right"/>
              <w:rPr>
                <w:rFonts w:hAnsi="標楷體"/>
                <w:spacing w:val="-20"/>
                <w:szCs w:val="24"/>
              </w:rPr>
            </w:pPr>
            <w:r w:rsidRPr="00387B42">
              <w:rPr>
                <w:rFonts w:hAnsi="標楷體"/>
                <w:spacing w:val="-20"/>
                <w:szCs w:val="24"/>
              </w:rPr>
              <w:t>1,254,911</w:t>
            </w:r>
          </w:p>
        </w:tc>
        <w:tc>
          <w:tcPr>
            <w:tcW w:w="1125" w:type="dxa"/>
            <w:shd w:val="clear" w:color="auto" w:fill="auto"/>
            <w:vAlign w:val="center"/>
          </w:tcPr>
          <w:p w14:paraId="47FADD99" w14:textId="77777777" w:rsidR="00CE22CA" w:rsidRPr="00387B42" w:rsidRDefault="00CE22CA" w:rsidP="00387B42">
            <w:pPr>
              <w:pStyle w:val="142"/>
              <w:jc w:val="right"/>
              <w:rPr>
                <w:rFonts w:hAnsi="標楷體"/>
                <w:spacing w:val="-20"/>
                <w:szCs w:val="24"/>
              </w:rPr>
            </w:pPr>
            <w:r w:rsidRPr="00387B42">
              <w:rPr>
                <w:rFonts w:hAnsi="標楷體"/>
                <w:spacing w:val="-20"/>
                <w:szCs w:val="24"/>
              </w:rPr>
              <w:t>1,283,082</w:t>
            </w:r>
          </w:p>
        </w:tc>
        <w:tc>
          <w:tcPr>
            <w:tcW w:w="1124" w:type="dxa"/>
            <w:shd w:val="clear" w:color="auto" w:fill="auto"/>
            <w:vAlign w:val="center"/>
          </w:tcPr>
          <w:p w14:paraId="7E1411C4" w14:textId="77777777" w:rsidR="00CE22CA" w:rsidRPr="00387B42" w:rsidRDefault="00CE22CA" w:rsidP="00387B42">
            <w:pPr>
              <w:pStyle w:val="142"/>
              <w:jc w:val="right"/>
              <w:rPr>
                <w:rFonts w:hAnsi="標楷體"/>
                <w:spacing w:val="-20"/>
                <w:szCs w:val="24"/>
              </w:rPr>
            </w:pPr>
            <w:r w:rsidRPr="00387B42">
              <w:rPr>
                <w:rFonts w:hAnsi="標楷體"/>
                <w:spacing w:val="-20"/>
                <w:szCs w:val="24"/>
              </w:rPr>
              <w:t>1,331,409</w:t>
            </w:r>
          </w:p>
        </w:tc>
        <w:tc>
          <w:tcPr>
            <w:tcW w:w="1124" w:type="dxa"/>
            <w:shd w:val="clear" w:color="auto" w:fill="auto"/>
            <w:vAlign w:val="center"/>
          </w:tcPr>
          <w:p w14:paraId="62FA8E94" w14:textId="77777777" w:rsidR="00CE22CA" w:rsidRPr="00387B42" w:rsidRDefault="00CE22CA" w:rsidP="00387B42">
            <w:pPr>
              <w:pStyle w:val="142"/>
              <w:jc w:val="right"/>
              <w:rPr>
                <w:rFonts w:hAnsi="標楷體"/>
                <w:spacing w:val="-20"/>
                <w:szCs w:val="24"/>
              </w:rPr>
            </w:pPr>
            <w:r w:rsidRPr="00387B42">
              <w:rPr>
                <w:rFonts w:hAnsi="標楷體"/>
                <w:spacing w:val="-20"/>
                <w:szCs w:val="24"/>
              </w:rPr>
              <w:t>1,340,508</w:t>
            </w:r>
          </w:p>
        </w:tc>
        <w:tc>
          <w:tcPr>
            <w:tcW w:w="1125" w:type="dxa"/>
            <w:shd w:val="clear" w:color="auto" w:fill="auto"/>
            <w:vAlign w:val="center"/>
          </w:tcPr>
          <w:p w14:paraId="413C9FB4" w14:textId="77777777" w:rsidR="00CE22CA" w:rsidRPr="00387B42" w:rsidRDefault="00CE22CA" w:rsidP="00387B42">
            <w:pPr>
              <w:pStyle w:val="142"/>
              <w:jc w:val="right"/>
              <w:rPr>
                <w:rFonts w:hAnsi="標楷體"/>
                <w:spacing w:val="-20"/>
                <w:szCs w:val="24"/>
              </w:rPr>
            </w:pPr>
            <w:r w:rsidRPr="00387B42">
              <w:rPr>
                <w:rFonts w:hAnsi="標楷體"/>
                <w:spacing w:val="-20"/>
                <w:szCs w:val="24"/>
              </w:rPr>
              <w:t>1,380,190</w:t>
            </w:r>
          </w:p>
        </w:tc>
      </w:tr>
      <w:tr w:rsidR="00CE22CA" w:rsidRPr="00387B42" w14:paraId="1B260F7E" w14:textId="77777777" w:rsidTr="006C705D">
        <w:tc>
          <w:tcPr>
            <w:tcW w:w="1277" w:type="dxa"/>
            <w:shd w:val="clear" w:color="auto" w:fill="auto"/>
            <w:vAlign w:val="center"/>
          </w:tcPr>
          <w:p w14:paraId="7C204F82"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學雜費收入淨額占自籌收入比率</w:t>
            </w:r>
          </w:p>
        </w:tc>
        <w:tc>
          <w:tcPr>
            <w:tcW w:w="1124" w:type="dxa"/>
            <w:shd w:val="clear" w:color="auto" w:fill="auto"/>
            <w:vAlign w:val="center"/>
          </w:tcPr>
          <w:p w14:paraId="7E972D4D" w14:textId="77777777" w:rsidR="00CE22CA" w:rsidRPr="00387B42" w:rsidRDefault="00CE22CA" w:rsidP="00387B42">
            <w:pPr>
              <w:pStyle w:val="142"/>
              <w:jc w:val="right"/>
              <w:rPr>
                <w:rFonts w:hAnsi="標楷體"/>
                <w:spacing w:val="-20"/>
                <w:szCs w:val="24"/>
              </w:rPr>
            </w:pPr>
            <w:r w:rsidRPr="00387B42">
              <w:rPr>
                <w:rFonts w:hAnsi="標楷體"/>
                <w:spacing w:val="-20"/>
                <w:szCs w:val="24"/>
              </w:rPr>
              <w:t>37.84</w:t>
            </w:r>
          </w:p>
        </w:tc>
        <w:tc>
          <w:tcPr>
            <w:tcW w:w="1124" w:type="dxa"/>
            <w:shd w:val="clear" w:color="auto" w:fill="auto"/>
            <w:vAlign w:val="center"/>
          </w:tcPr>
          <w:p w14:paraId="08B1E594" w14:textId="77777777" w:rsidR="00CE22CA" w:rsidRPr="00387B42" w:rsidRDefault="00CE22CA" w:rsidP="00387B42">
            <w:pPr>
              <w:pStyle w:val="142"/>
              <w:jc w:val="right"/>
              <w:rPr>
                <w:rFonts w:hAnsi="標楷體"/>
                <w:spacing w:val="-20"/>
                <w:szCs w:val="24"/>
              </w:rPr>
            </w:pPr>
            <w:r w:rsidRPr="00387B42">
              <w:rPr>
                <w:rFonts w:hAnsi="標楷體"/>
                <w:spacing w:val="-20"/>
                <w:szCs w:val="24"/>
              </w:rPr>
              <w:t>37.17</w:t>
            </w:r>
          </w:p>
        </w:tc>
        <w:tc>
          <w:tcPr>
            <w:tcW w:w="1124" w:type="dxa"/>
            <w:shd w:val="clear" w:color="auto" w:fill="auto"/>
            <w:vAlign w:val="center"/>
          </w:tcPr>
          <w:p w14:paraId="2BC102F5" w14:textId="77777777" w:rsidR="00CE22CA" w:rsidRPr="00387B42" w:rsidRDefault="00CE22CA" w:rsidP="00387B42">
            <w:pPr>
              <w:pStyle w:val="142"/>
              <w:jc w:val="right"/>
              <w:rPr>
                <w:rFonts w:hAnsi="標楷體"/>
                <w:spacing w:val="-20"/>
                <w:szCs w:val="24"/>
              </w:rPr>
            </w:pPr>
            <w:r w:rsidRPr="00387B42">
              <w:rPr>
                <w:rFonts w:hAnsi="標楷體"/>
                <w:spacing w:val="-20"/>
                <w:szCs w:val="24"/>
              </w:rPr>
              <w:t>38.26</w:t>
            </w:r>
          </w:p>
        </w:tc>
        <w:tc>
          <w:tcPr>
            <w:tcW w:w="1125" w:type="dxa"/>
            <w:shd w:val="clear" w:color="auto" w:fill="auto"/>
            <w:vAlign w:val="center"/>
          </w:tcPr>
          <w:p w14:paraId="269B4094" w14:textId="77777777" w:rsidR="00CE22CA" w:rsidRPr="00387B42" w:rsidRDefault="00CE22CA" w:rsidP="00387B42">
            <w:pPr>
              <w:pStyle w:val="142"/>
              <w:jc w:val="right"/>
              <w:rPr>
                <w:rFonts w:hAnsi="標楷體"/>
                <w:spacing w:val="-20"/>
                <w:szCs w:val="24"/>
              </w:rPr>
            </w:pPr>
            <w:r w:rsidRPr="00387B42">
              <w:rPr>
                <w:rFonts w:hAnsi="標楷體"/>
                <w:spacing w:val="-20"/>
                <w:szCs w:val="24"/>
              </w:rPr>
              <w:t>37.38</w:t>
            </w:r>
          </w:p>
        </w:tc>
        <w:tc>
          <w:tcPr>
            <w:tcW w:w="1124" w:type="dxa"/>
            <w:shd w:val="clear" w:color="auto" w:fill="auto"/>
            <w:vAlign w:val="center"/>
          </w:tcPr>
          <w:p w14:paraId="2D0943DC" w14:textId="77777777" w:rsidR="00CE22CA" w:rsidRPr="00387B42" w:rsidRDefault="00CE22CA" w:rsidP="00387B42">
            <w:pPr>
              <w:pStyle w:val="142"/>
              <w:jc w:val="right"/>
              <w:rPr>
                <w:rFonts w:hAnsi="標楷體"/>
                <w:spacing w:val="-20"/>
                <w:szCs w:val="24"/>
              </w:rPr>
            </w:pPr>
            <w:r w:rsidRPr="00387B42">
              <w:rPr>
                <w:rFonts w:hAnsi="標楷體"/>
                <w:spacing w:val="-20"/>
                <w:szCs w:val="24"/>
              </w:rPr>
              <w:t>34.46</w:t>
            </w:r>
          </w:p>
        </w:tc>
        <w:tc>
          <w:tcPr>
            <w:tcW w:w="1124" w:type="dxa"/>
            <w:shd w:val="clear" w:color="auto" w:fill="auto"/>
            <w:vAlign w:val="center"/>
          </w:tcPr>
          <w:p w14:paraId="577D1D72" w14:textId="77777777" w:rsidR="00CE22CA" w:rsidRPr="00387B42" w:rsidRDefault="00CE22CA" w:rsidP="00387B42">
            <w:pPr>
              <w:pStyle w:val="142"/>
              <w:jc w:val="right"/>
              <w:rPr>
                <w:rFonts w:hAnsi="標楷體"/>
                <w:spacing w:val="-20"/>
                <w:szCs w:val="24"/>
              </w:rPr>
            </w:pPr>
            <w:r w:rsidRPr="00387B42">
              <w:rPr>
                <w:rFonts w:hAnsi="標楷體"/>
                <w:spacing w:val="-20"/>
                <w:szCs w:val="24"/>
              </w:rPr>
              <w:t>35.8</w:t>
            </w:r>
            <w:r>
              <w:rPr>
                <w:rFonts w:hAnsi="標楷體"/>
                <w:spacing w:val="-20"/>
                <w:szCs w:val="24"/>
              </w:rPr>
              <w:t>7</w:t>
            </w:r>
          </w:p>
        </w:tc>
        <w:tc>
          <w:tcPr>
            <w:tcW w:w="1125" w:type="dxa"/>
            <w:shd w:val="clear" w:color="auto" w:fill="auto"/>
            <w:vAlign w:val="center"/>
          </w:tcPr>
          <w:p w14:paraId="75DF8609" w14:textId="77777777" w:rsidR="00CE22CA" w:rsidRPr="00387B42" w:rsidRDefault="00CE22CA" w:rsidP="00387B42">
            <w:pPr>
              <w:pStyle w:val="142"/>
              <w:jc w:val="right"/>
              <w:rPr>
                <w:rFonts w:hAnsi="標楷體"/>
                <w:spacing w:val="-20"/>
                <w:szCs w:val="24"/>
              </w:rPr>
            </w:pPr>
            <w:r w:rsidRPr="00387B42">
              <w:rPr>
                <w:rFonts w:hAnsi="標楷體"/>
                <w:spacing w:val="-20"/>
                <w:szCs w:val="24"/>
              </w:rPr>
              <w:t>33.65</w:t>
            </w:r>
          </w:p>
        </w:tc>
      </w:tr>
    </w:tbl>
    <w:p w14:paraId="1E2D10F1" w14:textId="77777777" w:rsidR="00CE22CA" w:rsidRPr="006C705D" w:rsidRDefault="00CE22CA" w:rsidP="006C705D">
      <w:pPr>
        <w:pStyle w:val="142"/>
        <w:ind w:leftChars="-198" w:left="626" w:hangingChars="488" w:hanging="1187"/>
      </w:pPr>
      <w:r w:rsidRPr="006C705D">
        <w:rPr>
          <w:rFonts w:hint="eastAsia"/>
        </w:rPr>
        <w:t>說    明：表內10</w:t>
      </w:r>
      <w:r w:rsidRPr="006C705D">
        <w:t>8</w:t>
      </w:r>
      <w:r w:rsidRPr="006C705D">
        <w:rPr>
          <w:rFonts w:hint="eastAsia"/>
        </w:rPr>
        <w:t>至11</w:t>
      </w:r>
      <w:r w:rsidRPr="006C705D">
        <w:t>2</w:t>
      </w:r>
      <w:r w:rsidRPr="006C705D">
        <w:rPr>
          <w:rFonts w:hint="eastAsia"/>
        </w:rPr>
        <w:t>年度數據為決算審定數；11</w:t>
      </w:r>
      <w:r w:rsidRPr="006C705D">
        <w:t>3</w:t>
      </w:r>
      <w:r>
        <w:rPr>
          <w:rFonts w:hint="eastAsia"/>
        </w:rPr>
        <w:t>及</w:t>
      </w:r>
      <w:r w:rsidRPr="006C705D">
        <w:rPr>
          <w:rFonts w:hint="eastAsia"/>
        </w:rPr>
        <w:t>11</w:t>
      </w:r>
      <w:r w:rsidRPr="006C705D">
        <w:t>4</w:t>
      </w:r>
      <w:r w:rsidRPr="006C705D">
        <w:rPr>
          <w:rFonts w:hint="eastAsia"/>
        </w:rPr>
        <w:t>年度</w:t>
      </w:r>
      <w:r>
        <w:rPr>
          <w:rFonts w:hint="eastAsia"/>
        </w:rPr>
        <w:t>均</w:t>
      </w:r>
      <w:r w:rsidRPr="006C705D">
        <w:rPr>
          <w:rFonts w:hint="eastAsia"/>
        </w:rPr>
        <w:t>為預算案數。</w:t>
      </w:r>
    </w:p>
    <w:p w14:paraId="41EFC1EC" w14:textId="77777777" w:rsidR="00CE22CA" w:rsidRPr="006C705D" w:rsidRDefault="00CE22CA" w:rsidP="006C705D">
      <w:pPr>
        <w:pStyle w:val="142"/>
        <w:ind w:leftChars="-198" w:left="626" w:hangingChars="488" w:hanging="1187"/>
      </w:pPr>
      <w:r w:rsidRPr="006C705D">
        <w:rPr>
          <w:rFonts w:hint="eastAsia"/>
        </w:rPr>
        <w:t>資料來源：屏東科技大學提供。</w:t>
      </w:r>
    </w:p>
    <w:p w14:paraId="25EF4271" w14:textId="77777777" w:rsidR="00CE22CA" w:rsidRDefault="00CE22CA" w:rsidP="00E6480B">
      <w:pPr>
        <w:ind w:left="566" w:firstLine="566"/>
      </w:pPr>
      <w:r>
        <w:rPr>
          <w:rFonts w:hint="eastAsia"/>
        </w:rPr>
        <w:t>綜上，</w:t>
      </w:r>
      <w:r w:rsidRPr="00801ADB">
        <w:rPr>
          <w:rFonts w:hint="eastAsia"/>
        </w:rPr>
        <w:t>為提升國立大學校院校務基金財務運作彈性，減輕國庫負擔，</w:t>
      </w:r>
      <w:r>
        <w:rPr>
          <w:rFonts w:hint="eastAsia"/>
        </w:rPr>
        <w:t>教育部</w:t>
      </w:r>
      <w:r w:rsidRPr="00801ADB">
        <w:rPr>
          <w:rFonts w:hint="eastAsia"/>
        </w:rPr>
        <w:t>自90年</w:t>
      </w:r>
      <w:r>
        <w:rPr>
          <w:rFonts w:hint="eastAsia"/>
        </w:rPr>
        <w:t>度</w:t>
      </w:r>
      <w:r w:rsidRPr="00801ADB">
        <w:rPr>
          <w:rFonts w:hint="eastAsia"/>
        </w:rPr>
        <w:t>起逐步鬆綁校務基金自籌收入範疇，鼓勵各校開源節流，</w:t>
      </w:r>
      <w:r>
        <w:rPr>
          <w:rFonts w:hint="eastAsia"/>
        </w:rPr>
        <w:t>惟屏東科技大學校務基金收入自籌比率自1</w:t>
      </w:r>
      <w:r>
        <w:t>10年度起皆未及</w:t>
      </w:r>
      <w:r>
        <w:rPr>
          <w:rFonts w:hint="eastAsia"/>
        </w:rPr>
        <w:t>5</w:t>
      </w:r>
      <w:r>
        <w:t>成</w:t>
      </w:r>
      <w:r>
        <w:rPr>
          <w:rFonts w:hint="eastAsia"/>
        </w:rPr>
        <w:t>，又</w:t>
      </w:r>
      <w:r>
        <w:t>自籌收入以</w:t>
      </w:r>
      <w:r w:rsidRPr="00781742">
        <w:rPr>
          <w:rFonts w:hint="eastAsia"/>
        </w:rPr>
        <w:t>學雜費收入</w:t>
      </w:r>
      <w:r>
        <w:rPr>
          <w:rFonts w:hint="eastAsia"/>
        </w:rPr>
        <w:t>淨額</w:t>
      </w:r>
      <w:r w:rsidRPr="00781742">
        <w:rPr>
          <w:rFonts w:hint="eastAsia"/>
        </w:rPr>
        <w:t>占逾3成，為主要來源之一，</w:t>
      </w:r>
      <w:r>
        <w:t>卻自</w:t>
      </w:r>
      <w:r>
        <w:rPr>
          <w:rFonts w:hint="eastAsia"/>
        </w:rPr>
        <w:t>1</w:t>
      </w:r>
      <w:r>
        <w:t>08年度起概呈減少趨勢</w:t>
      </w:r>
      <w:r>
        <w:rPr>
          <w:rFonts w:hint="eastAsia"/>
        </w:rPr>
        <w:t>，並</w:t>
      </w:r>
      <w:r>
        <w:t>於</w:t>
      </w:r>
      <w:r>
        <w:rPr>
          <w:rFonts w:hint="eastAsia"/>
        </w:rPr>
        <w:t>1</w:t>
      </w:r>
      <w:r>
        <w:t>12年度創</w:t>
      </w:r>
      <w:r>
        <w:lastRenderedPageBreak/>
        <w:t>下新低</w:t>
      </w:r>
      <w:r>
        <w:rPr>
          <w:rFonts w:hint="eastAsia"/>
        </w:rPr>
        <w:t>，影響資金籌措能力，</w:t>
      </w:r>
      <w:r w:rsidRPr="00801ADB">
        <w:rPr>
          <w:rFonts w:hint="eastAsia"/>
        </w:rPr>
        <w:t>允</w:t>
      </w:r>
      <w:r>
        <w:rPr>
          <w:rFonts w:hint="eastAsia"/>
        </w:rPr>
        <w:t>待</w:t>
      </w:r>
      <w:r w:rsidRPr="00801ADB">
        <w:rPr>
          <w:rFonts w:hint="eastAsia"/>
        </w:rPr>
        <w:t>積極開拓其他自籌收入財源，俾增裕</w:t>
      </w:r>
      <w:r>
        <w:rPr>
          <w:rFonts w:hint="eastAsia"/>
        </w:rPr>
        <w:t>該校</w:t>
      </w:r>
      <w:r w:rsidRPr="00801ADB">
        <w:rPr>
          <w:rFonts w:hint="eastAsia"/>
        </w:rPr>
        <w:t>營運資金</w:t>
      </w:r>
      <w:r>
        <w:rPr>
          <w:rFonts w:hint="eastAsia"/>
        </w:rPr>
        <w:t>。</w:t>
      </w:r>
    </w:p>
    <w:p w14:paraId="66D4BC5E" w14:textId="77777777" w:rsidR="00CE22CA" w:rsidRPr="006C705D" w:rsidRDefault="00CE22CA" w:rsidP="00781742">
      <w:pPr>
        <w:pStyle w:val="ab"/>
      </w:pPr>
      <w:r w:rsidRPr="00781742">
        <w:rPr>
          <w:rFonts w:hint="eastAsia"/>
        </w:rPr>
        <w:t>(分機：193</w:t>
      </w:r>
      <w:r>
        <w:t>9</w:t>
      </w:r>
      <w:r w:rsidRPr="00781742">
        <w:rPr>
          <w:rFonts w:hint="eastAsia"/>
        </w:rPr>
        <w:t xml:space="preserve"> </w:t>
      </w:r>
      <w:r>
        <w:rPr>
          <w:rFonts w:hint="eastAsia"/>
        </w:rPr>
        <w:t>陳燕玲</w:t>
      </w:r>
      <w:r w:rsidRPr="00781742">
        <w:rPr>
          <w:rFonts w:hint="eastAsia"/>
        </w:rPr>
        <w:t>)</w:t>
      </w:r>
    </w:p>
    <w:sectPr w:rsidR="00CE22CA" w:rsidRPr="006C705D"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9B183F">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7578819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9B183F">
      <w:rPr>
        <w:rStyle w:val="af6"/>
        <w:noProof/>
      </w:rPr>
      <w:t>3</w:t>
    </w:r>
    <w:r>
      <w:rPr>
        <w:rStyle w:val="af6"/>
      </w:rPr>
      <w:fldChar w:fldCharType="end"/>
    </w:r>
  </w:p>
  <w:p w14:paraId="44D11F74" w14:textId="77777777" w:rsidR="00D36F94" w:rsidRPr="001F2930" w:rsidRDefault="009B183F"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9B183F">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9B183F">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9B183F"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9B183F">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9B183F"/>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3FEEC-BACF-4C4F-A35E-5A602878D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305</Words>
  <Characters>1741</Characters>
  <Application>Microsoft Office Word</Application>
  <DocSecurity>0</DocSecurity>
  <Lines>14</Lines>
  <Paragraphs>4</Paragraphs>
  <ScaleCrop>false</ScaleCrop>
  <Company>HOME</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