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832651B" w14:textId="4BC0F950" w:rsidR="00227B71" w:rsidRDefault="00227B71" w:rsidP="005E3E8E">
      <w:pPr>
        <w:pStyle w:val="14"/>
        <w:ind w:left="567" w:hanging="567"/>
        <w:rPr>
          <w:rFonts w:hAnsi="標楷體"/>
        </w:rPr>
      </w:pPr>
      <w:bookmarkStart w:id="1" w:name="_Toc402272360"/>
      <w:bookmarkStart w:id="2" w:name="_Toc116484819"/>
      <w:bookmarkStart w:id="3" w:name="_Toc180413029"/>
      <w:r>
        <w:rPr>
          <w:rFonts w:hint="eastAsia"/>
        </w:rPr>
        <w:t>三四、臺中科技大學近年計時計件人員酬金多有超支情形，允應依相關規定強化預算控管作為，</w:t>
      </w:r>
      <w:bookmarkEnd w:id="1"/>
      <w:bookmarkEnd w:id="2"/>
      <w:r>
        <w:rPr>
          <w:rFonts w:hint="eastAsia"/>
        </w:rPr>
        <w:t>俾節約公帑</w:t>
      </w:r>
      <w:bookmarkEnd w:id="3"/>
    </w:p>
    <w:p w14:paraId="105D65CC" w14:textId="77777777" w:rsidR="00227B71" w:rsidRDefault="00227B71" w:rsidP="005E3E8E">
      <w:pPr>
        <w:ind w:left="566" w:firstLine="566"/>
      </w:pPr>
      <w:r>
        <w:rPr>
          <w:rFonts w:hint="eastAsia"/>
        </w:rPr>
        <w:t>臺中科技大學(以下簡稱臺中科大)校務基金114年度預算案就進用編制外約用人力(包括學輔與校安</w:t>
      </w:r>
      <w:r>
        <w:rPr>
          <w:rFonts w:hAnsi="標楷體" w:hint="eastAsia"/>
        </w:rPr>
        <w:t>、</w:t>
      </w:r>
      <w:r>
        <w:rPr>
          <w:rFonts w:hint="eastAsia"/>
        </w:rPr>
        <w:t>校務行政業務及計畫專</w:t>
      </w:r>
      <w:r>
        <w:rPr>
          <w:rFonts w:hAnsi="標楷體" w:hint="eastAsia"/>
        </w:rPr>
        <w:t>、</w:t>
      </w:r>
      <w:r>
        <w:rPr>
          <w:rFonts w:hint="eastAsia"/>
        </w:rPr>
        <w:t>兼任助理計519人與臨時工</w:t>
      </w:r>
      <w:r>
        <w:t>)</w:t>
      </w:r>
      <w:r>
        <w:rPr>
          <w:rFonts w:hint="eastAsia"/>
        </w:rPr>
        <w:t>所需費用於</w:t>
      </w:r>
      <w:r>
        <w:rPr>
          <w:rFonts w:hAnsi="標楷體" w:hint="eastAsia"/>
        </w:rPr>
        <w:t>「</w:t>
      </w:r>
      <w:r>
        <w:rPr>
          <w:rFonts w:hint="eastAsia"/>
        </w:rPr>
        <w:t>一般服務費</w:t>
      </w:r>
      <w:r>
        <w:rPr>
          <w:rFonts w:hAnsi="標楷體" w:hint="eastAsia"/>
        </w:rPr>
        <w:t>」</w:t>
      </w:r>
      <w:r>
        <w:rPr>
          <w:rFonts w:hint="eastAsia"/>
        </w:rPr>
        <w:t>科目項下編列</w:t>
      </w:r>
      <w:r>
        <w:rPr>
          <w:rFonts w:hAnsi="標楷體" w:hint="eastAsia"/>
        </w:rPr>
        <w:t>「</w:t>
      </w:r>
      <w:r>
        <w:rPr>
          <w:rFonts w:hint="eastAsia"/>
        </w:rPr>
        <w:t>計時計件人員酬金</w:t>
      </w:r>
      <w:r>
        <w:rPr>
          <w:rFonts w:hAnsi="標楷體" w:hint="eastAsia"/>
        </w:rPr>
        <w:t>」2</w:t>
      </w:r>
      <w:r>
        <w:rPr>
          <w:rFonts w:hint="eastAsia"/>
        </w:rPr>
        <w:t>億9</w:t>
      </w:r>
      <w:r>
        <w:t>,</w:t>
      </w:r>
      <w:r>
        <w:rPr>
          <w:rFonts w:hint="eastAsia"/>
        </w:rPr>
        <w:t>628</w:t>
      </w:r>
      <w:r>
        <w:rPr>
          <w:rFonts w:hAnsi="標楷體" w:hint="eastAsia"/>
        </w:rPr>
        <w:t>萬3千元</w:t>
      </w:r>
      <w:r>
        <w:rPr>
          <w:rFonts w:hint="eastAsia"/>
        </w:rPr>
        <w:t>，較113年度預算數2</w:t>
      </w:r>
      <w:r w:rsidRPr="008A1E8C">
        <w:rPr>
          <w:rFonts w:hint="eastAsia"/>
        </w:rPr>
        <w:t>億9,8</w:t>
      </w:r>
      <w:r>
        <w:t>11</w:t>
      </w:r>
      <w:r w:rsidRPr="008A1E8C">
        <w:rPr>
          <w:rFonts w:hint="eastAsia"/>
        </w:rPr>
        <w:t>萬</w:t>
      </w:r>
      <w:r>
        <w:rPr>
          <w:rFonts w:hint="eastAsia"/>
        </w:rPr>
        <w:t>8</w:t>
      </w:r>
      <w:r w:rsidRPr="008A1E8C">
        <w:rPr>
          <w:rFonts w:hint="eastAsia"/>
        </w:rPr>
        <w:t>千元</w:t>
      </w:r>
      <w:r>
        <w:rPr>
          <w:rFonts w:hAnsi="標楷體" w:hint="eastAsia"/>
        </w:rPr>
        <w:t>，略減183</w:t>
      </w:r>
      <w:r w:rsidRPr="00BA21CA">
        <w:rPr>
          <w:rFonts w:hint="eastAsia"/>
        </w:rPr>
        <w:t>萬</w:t>
      </w:r>
      <w:r>
        <w:rPr>
          <w:rFonts w:hint="eastAsia"/>
        </w:rPr>
        <w:t>5千</w:t>
      </w:r>
      <w:r w:rsidRPr="00BA21CA">
        <w:rPr>
          <w:rFonts w:hint="eastAsia"/>
        </w:rPr>
        <w:t>元</w:t>
      </w:r>
      <w:r>
        <w:rPr>
          <w:rFonts w:hint="eastAsia"/>
        </w:rPr>
        <w:t>(減幅0.62%)。有關臺中科大近年</w:t>
      </w:r>
      <w:r w:rsidRPr="005E3E8E">
        <w:rPr>
          <w:rFonts w:hint="eastAsia"/>
        </w:rPr>
        <w:t>編制外</w:t>
      </w:r>
      <w:r>
        <w:rPr>
          <w:rFonts w:hint="eastAsia"/>
        </w:rPr>
        <w:t>約用</w:t>
      </w:r>
      <w:r w:rsidRPr="005E3E8E">
        <w:rPr>
          <w:rFonts w:hint="eastAsia"/>
        </w:rPr>
        <w:t>人力費用</w:t>
      </w:r>
      <w:r>
        <w:rPr>
          <w:rFonts w:hint="eastAsia"/>
        </w:rPr>
        <w:t>多有超支之情形</w:t>
      </w:r>
      <w:r>
        <w:rPr>
          <w:rFonts w:hAnsi="標楷體" w:hint="eastAsia"/>
        </w:rPr>
        <w:t>，</w:t>
      </w:r>
      <w:r>
        <w:rPr>
          <w:rFonts w:hint="eastAsia"/>
        </w:rPr>
        <w:t>謹敘明如次</w:t>
      </w:r>
      <w:r>
        <w:rPr>
          <w:rFonts w:ascii="新細明體" w:eastAsia="新細明體" w:hAnsi="新細明體" w:hint="eastAsia"/>
        </w:rPr>
        <w:t>：</w:t>
      </w:r>
    </w:p>
    <w:p w14:paraId="6A17044B" w14:textId="77777777" w:rsidR="00227B71" w:rsidRPr="00955F68" w:rsidRDefault="00227B71" w:rsidP="00164BA8">
      <w:pPr>
        <w:pStyle w:val="a4"/>
        <w:ind w:left="849" w:hanging="283"/>
        <w:rPr>
          <w:b/>
        </w:rPr>
      </w:pPr>
      <w:r w:rsidRPr="00955F68">
        <w:rPr>
          <w:rFonts w:hint="eastAsia"/>
          <w:b/>
        </w:rPr>
        <w:t>(</w:t>
      </w:r>
      <w:r>
        <w:rPr>
          <w:rFonts w:hint="eastAsia"/>
          <w:b/>
        </w:rPr>
        <w:t>一)計時計件人員酬金之預算編列允應依政府預算籌編原則及</w:t>
      </w:r>
      <w:r w:rsidRPr="00164BA8">
        <w:rPr>
          <w:rFonts w:hint="eastAsia"/>
          <w:b/>
        </w:rPr>
        <w:t>行政院及所屬各機關學校約用人員進用及運用要點</w:t>
      </w:r>
      <w:r>
        <w:rPr>
          <w:rFonts w:hint="eastAsia"/>
          <w:b/>
        </w:rPr>
        <w:t>辦理</w:t>
      </w:r>
    </w:p>
    <w:p w14:paraId="100CB280" w14:textId="77777777" w:rsidR="00227B71" w:rsidRPr="007909AC" w:rsidRDefault="00227B71" w:rsidP="005E3E8E">
      <w:pPr>
        <w:pStyle w:val="2"/>
        <w:ind w:left="850" w:firstLine="566"/>
      </w:pPr>
      <w:r>
        <w:rPr>
          <w:rFonts w:hAnsi="標楷體" w:hint="eastAsia"/>
        </w:rPr>
        <w:t>按114年度中央及地方政府預算籌編原則</w:t>
      </w:r>
      <w:r w:rsidRPr="00164BA8">
        <w:rPr>
          <w:rFonts w:hAnsi="標楷體" w:hint="eastAsia"/>
        </w:rPr>
        <w:t>第二、(三)：「…。政府各項消費支出應力求節約，本緊縮及節能原則確實檢討</w:t>
      </w:r>
      <w:r>
        <w:rPr>
          <w:rFonts w:hAnsi="標楷體" w:hint="eastAsia"/>
        </w:rPr>
        <w:t>；</w:t>
      </w:r>
      <w:r w:rsidRPr="00164BA8">
        <w:rPr>
          <w:rFonts w:hAnsi="標楷體" w:hint="eastAsia"/>
        </w:rPr>
        <w:t>…。」</w:t>
      </w:r>
      <w:r>
        <w:rPr>
          <w:rFonts w:hAnsi="標楷體" w:hint="eastAsia"/>
        </w:rPr>
        <w:t>亦即</w:t>
      </w:r>
      <w:r w:rsidRPr="00164BA8">
        <w:rPr>
          <w:rFonts w:hAnsi="標楷體" w:hint="eastAsia"/>
        </w:rPr>
        <w:t>計時與計件人員酬金預算</w:t>
      </w:r>
      <w:r>
        <w:rPr>
          <w:rFonts w:hAnsi="標楷體" w:hint="eastAsia"/>
        </w:rPr>
        <w:t>允</w:t>
      </w:r>
      <w:r w:rsidRPr="00164BA8">
        <w:rPr>
          <w:rFonts w:hAnsi="標楷體" w:hint="eastAsia"/>
        </w:rPr>
        <w:t>應</w:t>
      </w:r>
      <w:r>
        <w:rPr>
          <w:rFonts w:hAnsi="標楷體" w:hint="eastAsia"/>
        </w:rPr>
        <w:t>基於</w:t>
      </w:r>
      <w:r w:rsidRPr="00164BA8">
        <w:rPr>
          <w:rFonts w:hAnsi="標楷體" w:hint="eastAsia"/>
        </w:rPr>
        <w:t>緊縮原則檢討編列</w:t>
      </w:r>
      <w:r>
        <w:rPr>
          <w:rFonts w:hAnsi="標楷體" w:hint="eastAsia"/>
        </w:rPr>
        <w:t>，並依</w:t>
      </w:r>
      <w:r w:rsidRPr="00164BA8">
        <w:rPr>
          <w:rFonts w:hAnsi="標楷體" w:hint="eastAsia"/>
        </w:rPr>
        <w:t>行政院及所屬各機關學校約用人員進用及運用要點</w:t>
      </w:r>
      <w:r>
        <w:rPr>
          <w:rFonts w:hAnsi="標楷體" w:hint="eastAsia"/>
        </w:rPr>
        <w:t>(以下簡稱約用人員運用要點)相關規定辦理。其中約用人員之定義，依約用人員運用要點第2點第2款之規定略以，係指</w:t>
      </w:r>
      <w:r w:rsidRPr="00896C7B">
        <w:rPr>
          <w:rFonts w:hAnsi="標楷體" w:hint="eastAsia"/>
        </w:rPr>
        <w:t>機關非依公務人員法規，且以人事費以外經費自行進用之人員</w:t>
      </w:r>
      <w:r>
        <w:rPr>
          <w:rFonts w:hAnsi="標楷體" w:hint="eastAsia"/>
        </w:rPr>
        <w:t>，惟不包括國</w:t>
      </w:r>
      <w:r w:rsidRPr="00896C7B">
        <w:rPr>
          <w:rFonts w:hAnsi="標楷體" w:hint="eastAsia"/>
        </w:rPr>
        <w:t>立大專校院依「專科以上學校進用編制外專任教學人員實施原則」、「國立大學校務基金進用研究人員及工作人員實施原則」及「國立大專校院行政人力契僱化實施原則」進用之人員。</w:t>
      </w:r>
      <w:r>
        <w:rPr>
          <w:rFonts w:hAnsi="標楷體" w:hint="eastAsia"/>
        </w:rPr>
        <w:t>渠等</w:t>
      </w:r>
      <w:r w:rsidRPr="00896C7B">
        <w:rPr>
          <w:rFonts w:hAnsi="標楷體" w:hint="eastAsia"/>
        </w:rPr>
        <w:t>得辦理之業務，以非屬行使公權力之工作為限</w:t>
      </w:r>
      <w:r>
        <w:rPr>
          <w:rFonts w:hAnsi="標楷體" w:hint="eastAsia"/>
        </w:rPr>
        <w:t>(</w:t>
      </w:r>
      <w:r w:rsidRPr="006A73DA">
        <w:rPr>
          <w:rFonts w:hAnsi="標楷體" w:hint="eastAsia"/>
        </w:rPr>
        <w:t>約用人員運用要點第</w:t>
      </w:r>
      <w:r>
        <w:rPr>
          <w:rFonts w:hAnsi="標楷體" w:hint="eastAsia"/>
        </w:rPr>
        <w:t>3</w:t>
      </w:r>
      <w:r w:rsidRPr="006A73DA">
        <w:rPr>
          <w:rFonts w:hAnsi="標楷體" w:hint="eastAsia"/>
        </w:rPr>
        <w:t>點參照</w:t>
      </w:r>
      <w:r>
        <w:rPr>
          <w:rFonts w:hAnsi="標楷體" w:hint="eastAsia"/>
        </w:rPr>
        <w:t>)，且</w:t>
      </w:r>
      <w:r w:rsidRPr="006A73DA">
        <w:rPr>
          <w:rFonts w:hAnsi="標楷體" w:hint="eastAsia"/>
        </w:rPr>
        <w:t>各機關於96年</w:t>
      </w:r>
      <w:r>
        <w:rPr>
          <w:rFonts w:hAnsi="標楷體" w:hint="eastAsia"/>
        </w:rPr>
        <w:t>底</w:t>
      </w:r>
      <w:r w:rsidRPr="006A73DA">
        <w:rPr>
          <w:rFonts w:hAnsi="標楷體" w:hint="eastAsia"/>
        </w:rPr>
        <w:t>前進用</w:t>
      </w:r>
      <w:r w:rsidRPr="006A73DA">
        <w:rPr>
          <w:rFonts w:hAnsi="標楷體" w:hint="eastAsia"/>
        </w:rPr>
        <w:lastRenderedPageBreak/>
        <w:t>之臨時人員，仍應依</w:t>
      </w:r>
      <w:r>
        <w:rPr>
          <w:rFonts w:hAnsi="標楷體" w:hint="eastAsia"/>
        </w:rPr>
        <w:t>相關</w:t>
      </w:r>
      <w:r w:rsidRPr="006A73DA">
        <w:rPr>
          <w:rFonts w:hAnsi="標楷體" w:hint="eastAsia"/>
        </w:rPr>
        <w:t>審核規定重新審核進用</w:t>
      </w:r>
      <w:r>
        <w:rPr>
          <w:rStyle w:val="af2"/>
          <w:rFonts w:hAnsi="標楷體"/>
        </w:rPr>
        <w:footnoteReference w:id="1"/>
      </w:r>
      <w:r w:rsidRPr="006A73DA">
        <w:rPr>
          <w:rFonts w:hAnsi="標楷體" w:hint="eastAsia"/>
        </w:rPr>
        <w:t>。</w:t>
      </w:r>
    </w:p>
    <w:p w14:paraId="522898A3" w14:textId="77777777" w:rsidR="00227B71" w:rsidRPr="00932395" w:rsidRDefault="00227B71" w:rsidP="005E3E8E">
      <w:pPr>
        <w:pStyle w:val="a4"/>
        <w:ind w:left="849" w:hanging="283"/>
        <w:rPr>
          <w:b/>
        </w:rPr>
      </w:pPr>
      <w:r>
        <w:rPr>
          <w:rFonts w:hint="eastAsia"/>
          <w:b/>
        </w:rPr>
        <w:t>(二)110至112</w:t>
      </w:r>
      <w:r w:rsidRPr="00932395">
        <w:rPr>
          <w:rFonts w:hint="eastAsia"/>
          <w:b/>
        </w:rPr>
        <w:t>年</w:t>
      </w:r>
      <w:r>
        <w:rPr>
          <w:rFonts w:hint="eastAsia"/>
          <w:b/>
        </w:rPr>
        <w:t>度</w:t>
      </w:r>
      <w:r w:rsidRPr="006A73DA">
        <w:rPr>
          <w:rFonts w:hint="eastAsia"/>
          <w:b/>
        </w:rPr>
        <w:t>計時與計件人員酬金</w:t>
      </w:r>
      <w:r>
        <w:rPr>
          <w:rFonts w:hint="eastAsia"/>
          <w:b/>
        </w:rPr>
        <w:t>均有超支情形</w:t>
      </w:r>
      <w:r w:rsidRPr="00932395">
        <w:rPr>
          <w:rFonts w:hint="eastAsia"/>
          <w:b/>
        </w:rPr>
        <w:t>，預算控管</w:t>
      </w:r>
      <w:r>
        <w:rPr>
          <w:rFonts w:hint="eastAsia"/>
          <w:b/>
        </w:rPr>
        <w:t>作為容有精進空間</w:t>
      </w:r>
    </w:p>
    <w:p w14:paraId="7A7491A2" w14:textId="77777777" w:rsidR="00227B71" w:rsidRDefault="00227B71" w:rsidP="005E3E8E">
      <w:pPr>
        <w:pStyle w:val="2"/>
        <w:ind w:left="850" w:firstLine="566"/>
        <w:rPr>
          <w:rFonts w:hAnsi="標楷體"/>
          <w:color w:val="000000"/>
        </w:rPr>
      </w:pPr>
      <w:r>
        <w:rPr>
          <w:rFonts w:hint="eastAsia"/>
        </w:rPr>
        <w:t>臺中科</w:t>
      </w:r>
      <w:r w:rsidRPr="00955F68">
        <w:rPr>
          <w:rFonts w:hint="eastAsia"/>
        </w:rPr>
        <w:t>大校務基金</w:t>
      </w:r>
      <w:r>
        <w:rPr>
          <w:rFonts w:hint="eastAsia"/>
        </w:rPr>
        <w:t>110至112年度</w:t>
      </w:r>
      <w:r>
        <w:rPr>
          <w:rFonts w:hAnsi="標楷體" w:hint="eastAsia"/>
        </w:rPr>
        <w:t>「</w:t>
      </w:r>
      <w:r w:rsidRPr="00A80145">
        <w:rPr>
          <w:rFonts w:hint="eastAsia"/>
        </w:rPr>
        <w:t>計時計件人員酬金</w:t>
      </w:r>
      <w:r>
        <w:rPr>
          <w:rFonts w:hAnsi="標楷體" w:hint="eastAsia"/>
        </w:rPr>
        <w:t>」預</w:t>
      </w:r>
      <w:r>
        <w:rPr>
          <w:rFonts w:hint="eastAsia"/>
        </w:rPr>
        <w:t>算數介於2億4</w:t>
      </w:r>
      <w:r>
        <w:t>,</w:t>
      </w:r>
      <w:r>
        <w:rPr>
          <w:rFonts w:hint="eastAsia"/>
        </w:rPr>
        <w:t>321萬7千元與2億4,781萬1千元</w:t>
      </w:r>
      <w:r>
        <w:rPr>
          <w:rFonts w:hAnsi="標楷體" w:hint="eastAsia"/>
        </w:rPr>
        <w:t>，同期間</w:t>
      </w:r>
      <w:r>
        <w:rPr>
          <w:rFonts w:hint="eastAsia"/>
        </w:rPr>
        <w:t>年度</w:t>
      </w:r>
      <w:r>
        <w:rPr>
          <w:rFonts w:hAnsi="標楷體" w:hint="eastAsia"/>
          <w:color w:val="000000"/>
        </w:rPr>
        <w:t>決算數自2億4</w:t>
      </w:r>
      <w:r>
        <w:rPr>
          <w:rFonts w:hAnsi="標楷體"/>
          <w:color w:val="000000"/>
        </w:rPr>
        <w:t>,</w:t>
      </w:r>
      <w:r>
        <w:rPr>
          <w:rFonts w:hAnsi="標楷體" w:hint="eastAsia"/>
          <w:color w:val="000000"/>
        </w:rPr>
        <w:t>699萬元逐年增至2億8</w:t>
      </w:r>
      <w:r>
        <w:rPr>
          <w:rFonts w:hAnsi="標楷體"/>
          <w:color w:val="000000"/>
        </w:rPr>
        <w:t>,</w:t>
      </w:r>
      <w:r>
        <w:rPr>
          <w:rFonts w:hAnsi="標楷體" w:hint="eastAsia"/>
          <w:color w:val="000000"/>
        </w:rPr>
        <w:t>012萬1千元，均有超支情形，110年度超支25萬1千元，超支比率0.1%，至112年度超支金額達3,231萬元，超支比率13.04%，超支金額與比率均呈增加情形；113年度預算數2億9</w:t>
      </w:r>
      <w:r>
        <w:rPr>
          <w:rFonts w:hAnsi="標楷體"/>
          <w:color w:val="000000"/>
        </w:rPr>
        <w:t>,</w:t>
      </w:r>
      <w:r>
        <w:rPr>
          <w:rFonts w:hAnsi="標楷體" w:hint="eastAsia"/>
          <w:color w:val="000000"/>
        </w:rPr>
        <w:t>811萬8千元，截至</w:t>
      </w:r>
      <w:r>
        <w:rPr>
          <w:rFonts w:hAnsi="標楷體" w:hint="eastAsia"/>
          <w:kern w:val="0"/>
        </w:rPr>
        <w:t>8月底止，「計時計件人員酬金」實際數達1億7,221萬7千元(詳表1)，占全年預算數之比率為57.77%。參照臺中科大校務基金歷年決算書之用人費用彙計表附註說明可悉，近年</w:t>
      </w:r>
      <w:r w:rsidRPr="00C13FF6">
        <w:rPr>
          <w:rFonts w:hAnsi="標楷體" w:hint="eastAsia"/>
          <w:kern w:val="0"/>
        </w:rPr>
        <w:t>「計時計件人員酬金」</w:t>
      </w:r>
      <w:r>
        <w:rPr>
          <w:rFonts w:hAnsi="標楷體" w:hint="eastAsia"/>
          <w:kern w:val="0"/>
        </w:rPr>
        <w:t>之決算數逾預算數之主要原因</w:t>
      </w:r>
      <w:r>
        <w:rPr>
          <w:rFonts w:hAnsi="標楷體" w:hint="eastAsia"/>
          <w:color w:val="000000"/>
        </w:rPr>
        <w:t>係配合承接專案、建教合作及推廣教育等計畫數量增加，衍生相關人力需求，加以人員調薪所致，惟110至112年度</w:t>
      </w:r>
      <w:r w:rsidRPr="009318D0">
        <w:rPr>
          <w:rFonts w:hAnsi="標楷體" w:hint="eastAsia"/>
          <w:color w:val="000000"/>
        </w:rPr>
        <w:t>計時計件人員酬金</w:t>
      </w:r>
      <w:r>
        <w:rPr>
          <w:rFonts w:hAnsi="標楷體" w:hint="eastAsia"/>
          <w:color w:val="000000"/>
        </w:rPr>
        <w:t>連年</w:t>
      </w:r>
      <w:r w:rsidRPr="00D33A46">
        <w:rPr>
          <w:rFonts w:hAnsi="標楷體" w:hint="eastAsia"/>
          <w:color w:val="000000"/>
        </w:rPr>
        <w:t>超支</w:t>
      </w:r>
      <w:r>
        <w:rPr>
          <w:rFonts w:hAnsi="標楷體" w:hint="eastAsia"/>
          <w:color w:val="000000"/>
        </w:rPr>
        <w:t>併決算，反映該校預算控管容有精進空間。</w:t>
      </w:r>
    </w:p>
    <w:p w14:paraId="6503EDAF" w14:textId="77777777" w:rsidR="00227B71" w:rsidRPr="007909AC" w:rsidRDefault="00227B71" w:rsidP="00333AD9">
      <w:pPr>
        <w:pStyle w:val="2"/>
        <w:spacing w:line="440" w:lineRule="exact"/>
        <w:ind w:left="1417" w:hangingChars="200" w:hanging="567"/>
        <w:jc w:val="left"/>
        <w:rPr>
          <w:rFonts w:hAnsi="標楷體"/>
          <w:color w:val="000000"/>
        </w:rPr>
      </w:pPr>
      <w:r w:rsidRPr="00684618">
        <w:rPr>
          <w:rFonts w:hint="eastAsia"/>
          <w:b/>
        </w:rPr>
        <w:t>表1 1</w:t>
      </w:r>
      <w:r>
        <w:rPr>
          <w:rFonts w:hint="eastAsia"/>
          <w:b/>
        </w:rPr>
        <w:t>10年度</w:t>
      </w:r>
      <w:r w:rsidRPr="00684618">
        <w:rPr>
          <w:rFonts w:hint="eastAsia"/>
          <w:b/>
        </w:rPr>
        <w:t>至1</w:t>
      </w:r>
      <w:r>
        <w:rPr>
          <w:rFonts w:hint="eastAsia"/>
          <w:b/>
        </w:rPr>
        <w:t>13</w:t>
      </w:r>
      <w:r w:rsidRPr="00684618">
        <w:rPr>
          <w:rFonts w:hint="eastAsia"/>
          <w:b/>
        </w:rPr>
        <w:t>年</w:t>
      </w:r>
      <w:r>
        <w:rPr>
          <w:rFonts w:hint="eastAsia"/>
          <w:b/>
        </w:rPr>
        <w:t>8月底臺中科</w:t>
      </w:r>
      <w:r w:rsidRPr="00684618">
        <w:rPr>
          <w:rFonts w:hint="eastAsia"/>
          <w:b/>
        </w:rPr>
        <w:t>大校務基金</w:t>
      </w:r>
      <w:r>
        <w:rPr>
          <w:rFonts w:hint="eastAsia"/>
          <w:b/>
        </w:rPr>
        <w:t xml:space="preserve">計時計件酬金預決算統計表                       </w:t>
      </w:r>
      <w:r w:rsidRPr="00684618">
        <w:rPr>
          <w:rFonts w:hint="eastAsia"/>
          <w:sz w:val="24"/>
        </w:rPr>
        <w:t>單位：新臺幣千元</w:t>
      </w:r>
      <w:r>
        <w:rPr>
          <w:rFonts w:hAnsi="標楷體" w:hint="eastAsia"/>
          <w:sz w:val="24"/>
        </w:rPr>
        <w:t>；</w:t>
      </w:r>
      <w:r>
        <w:rPr>
          <w:rFonts w:hint="eastAsia"/>
          <w:sz w:val="24"/>
        </w:rPr>
        <w:t>%</w:t>
      </w:r>
      <w:r>
        <w:rPr>
          <w:rFonts w:hAnsi="標楷體" w:hint="eastAsia"/>
          <w:color w:val="000000"/>
        </w:rPr>
        <w:t xml:space="preserve">   </w:t>
      </w:r>
    </w:p>
    <w:tbl>
      <w:tblPr>
        <w:tblW w:w="0" w:type="auto"/>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557"/>
        <w:gridCol w:w="1557"/>
        <w:gridCol w:w="1557"/>
        <w:gridCol w:w="1558"/>
      </w:tblGrid>
      <w:tr w:rsidR="00227B71" w:rsidRPr="002F7140" w14:paraId="3C10A5A8" w14:textId="77777777" w:rsidTr="00465B05">
        <w:tc>
          <w:tcPr>
            <w:tcW w:w="1557" w:type="dxa"/>
            <w:vMerge w:val="restart"/>
            <w:tcBorders>
              <w:top w:val="single" w:sz="12" w:space="0" w:color="auto"/>
              <w:left w:val="single" w:sz="12" w:space="0" w:color="auto"/>
            </w:tcBorders>
            <w:shd w:val="clear" w:color="auto" w:fill="auto"/>
            <w:vAlign w:val="center"/>
          </w:tcPr>
          <w:p w14:paraId="62C239E6" w14:textId="77777777" w:rsidR="00227B71" w:rsidRPr="002F7140" w:rsidRDefault="00227B71" w:rsidP="00465B05">
            <w:pPr>
              <w:pStyle w:val="142"/>
              <w:jc w:val="center"/>
            </w:pPr>
            <w:r w:rsidRPr="002F7140">
              <w:rPr>
                <w:rFonts w:hint="eastAsia"/>
              </w:rPr>
              <w:t>年度</w:t>
            </w:r>
          </w:p>
        </w:tc>
        <w:tc>
          <w:tcPr>
            <w:tcW w:w="1557" w:type="dxa"/>
            <w:vMerge w:val="restart"/>
            <w:tcBorders>
              <w:top w:val="single" w:sz="12" w:space="0" w:color="auto"/>
            </w:tcBorders>
            <w:shd w:val="clear" w:color="auto" w:fill="auto"/>
            <w:vAlign w:val="center"/>
          </w:tcPr>
          <w:p w14:paraId="503418E6" w14:textId="77777777" w:rsidR="00227B71" w:rsidRPr="002F7140" w:rsidRDefault="00227B71" w:rsidP="00465B05">
            <w:pPr>
              <w:pStyle w:val="142"/>
              <w:jc w:val="center"/>
            </w:pPr>
            <w:r w:rsidRPr="002F7140">
              <w:rPr>
                <w:rFonts w:hint="eastAsia"/>
              </w:rPr>
              <w:t>預算數</w:t>
            </w:r>
          </w:p>
        </w:tc>
        <w:tc>
          <w:tcPr>
            <w:tcW w:w="1557" w:type="dxa"/>
            <w:vMerge w:val="restart"/>
            <w:tcBorders>
              <w:top w:val="single" w:sz="12" w:space="0" w:color="auto"/>
            </w:tcBorders>
            <w:shd w:val="clear" w:color="auto" w:fill="auto"/>
            <w:vAlign w:val="center"/>
          </w:tcPr>
          <w:p w14:paraId="79AC226B" w14:textId="77777777" w:rsidR="00227B71" w:rsidRPr="002F7140" w:rsidRDefault="00227B71" w:rsidP="00465B05">
            <w:pPr>
              <w:pStyle w:val="142"/>
              <w:jc w:val="center"/>
            </w:pPr>
            <w:r w:rsidRPr="002F7140">
              <w:rPr>
                <w:rFonts w:hint="eastAsia"/>
              </w:rPr>
              <w:t>決算數</w:t>
            </w:r>
          </w:p>
        </w:tc>
        <w:tc>
          <w:tcPr>
            <w:tcW w:w="3115" w:type="dxa"/>
            <w:gridSpan w:val="2"/>
            <w:tcBorders>
              <w:top w:val="single" w:sz="12" w:space="0" w:color="auto"/>
              <w:right w:val="single" w:sz="12" w:space="0" w:color="auto"/>
            </w:tcBorders>
            <w:shd w:val="clear" w:color="auto" w:fill="auto"/>
            <w:vAlign w:val="center"/>
          </w:tcPr>
          <w:p w14:paraId="5BB14E2B" w14:textId="77777777" w:rsidR="00227B71" w:rsidRPr="002F7140" w:rsidRDefault="00227B71" w:rsidP="00465B05">
            <w:pPr>
              <w:pStyle w:val="142"/>
              <w:jc w:val="center"/>
            </w:pPr>
            <w:r w:rsidRPr="002F7140">
              <w:rPr>
                <w:rFonts w:hint="eastAsia"/>
              </w:rPr>
              <w:t>預決算比較</w:t>
            </w:r>
          </w:p>
        </w:tc>
      </w:tr>
      <w:tr w:rsidR="00227B71" w:rsidRPr="002F7140" w14:paraId="637AB56B" w14:textId="77777777" w:rsidTr="00465B05">
        <w:tc>
          <w:tcPr>
            <w:tcW w:w="1557" w:type="dxa"/>
            <w:vMerge/>
            <w:tcBorders>
              <w:left w:val="single" w:sz="12" w:space="0" w:color="auto"/>
            </w:tcBorders>
            <w:shd w:val="clear" w:color="auto" w:fill="auto"/>
            <w:vAlign w:val="center"/>
          </w:tcPr>
          <w:p w14:paraId="65AFF64B" w14:textId="77777777" w:rsidR="00227B71" w:rsidRPr="002F7140" w:rsidRDefault="00227B71" w:rsidP="00465B05">
            <w:pPr>
              <w:pStyle w:val="142"/>
              <w:jc w:val="center"/>
            </w:pPr>
          </w:p>
        </w:tc>
        <w:tc>
          <w:tcPr>
            <w:tcW w:w="1557" w:type="dxa"/>
            <w:vMerge/>
            <w:shd w:val="clear" w:color="auto" w:fill="auto"/>
            <w:vAlign w:val="center"/>
          </w:tcPr>
          <w:p w14:paraId="2A889A67" w14:textId="77777777" w:rsidR="00227B71" w:rsidRPr="002F7140" w:rsidRDefault="00227B71" w:rsidP="00465B05">
            <w:pPr>
              <w:pStyle w:val="142"/>
              <w:jc w:val="center"/>
            </w:pPr>
          </w:p>
        </w:tc>
        <w:tc>
          <w:tcPr>
            <w:tcW w:w="1557" w:type="dxa"/>
            <w:vMerge/>
            <w:shd w:val="clear" w:color="auto" w:fill="auto"/>
            <w:vAlign w:val="center"/>
          </w:tcPr>
          <w:p w14:paraId="55981E42" w14:textId="77777777" w:rsidR="00227B71" w:rsidRPr="002F7140" w:rsidRDefault="00227B71" w:rsidP="00465B05">
            <w:pPr>
              <w:pStyle w:val="142"/>
              <w:jc w:val="center"/>
            </w:pPr>
          </w:p>
        </w:tc>
        <w:tc>
          <w:tcPr>
            <w:tcW w:w="1557" w:type="dxa"/>
            <w:shd w:val="clear" w:color="auto" w:fill="auto"/>
            <w:vAlign w:val="center"/>
          </w:tcPr>
          <w:p w14:paraId="47CDB6B3" w14:textId="77777777" w:rsidR="00227B71" w:rsidRPr="002F7140" w:rsidRDefault="00227B71" w:rsidP="00465B05">
            <w:pPr>
              <w:pStyle w:val="142"/>
              <w:jc w:val="center"/>
            </w:pPr>
            <w:r w:rsidRPr="002F7140">
              <w:rPr>
                <w:rFonts w:hint="eastAsia"/>
              </w:rPr>
              <w:t>金額</w:t>
            </w:r>
          </w:p>
        </w:tc>
        <w:tc>
          <w:tcPr>
            <w:tcW w:w="1558" w:type="dxa"/>
            <w:tcBorders>
              <w:right w:val="single" w:sz="12" w:space="0" w:color="auto"/>
            </w:tcBorders>
            <w:shd w:val="clear" w:color="auto" w:fill="auto"/>
            <w:vAlign w:val="center"/>
          </w:tcPr>
          <w:p w14:paraId="39E6BA02" w14:textId="77777777" w:rsidR="00227B71" w:rsidRPr="002F7140" w:rsidRDefault="00227B71" w:rsidP="00465B05">
            <w:pPr>
              <w:pStyle w:val="142"/>
              <w:jc w:val="center"/>
            </w:pPr>
            <w:r>
              <w:rPr>
                <w:rFonts w:hint="eastAsia"/>
              </w:rPr>
              <w:t>超支</w:t>
            </w:r>
            <w:r w:rsidRPr="002F7140">
              <w:rPr>
                <w:rFonts w:hint="eastAsia"/>
              </w:rPr>
              <w:t>比</w:t>
            </w:r>
            <w:r>
              <w:rPr>
                <w:rFonts w:hint="eastAsia"/>
              </w:rPr>
              <w:t>率</w:t>
            </w:r>
          </w:p>
        </w:tc>
      </w:tr>
      <w:tr w:rsidR="00227B71" w:rsidRPr="002F7140" w14:paraId="48451203" w14:textId="77777777" w:rsidTr="00465B05">
        <w:trPr>
          <w:trHeight w:val="357"/>
        </w:trPr>
        <w:tc>
          <w:tcPr>
            <w:tcW w:w="1557" w:type="dxa"/>
            <w:tcBorders>
              <w:left w:val="single" w:sz="12" w:space="0" w:color="auto"/>
            </w:tcBorders>
            <w:shd w:val="clear" w:color="auto" w:fill="auto"/>
            <w:vAlign w:val="center"/>
          </w:tcPr>
          <w:p w14:paraId="758EA9C7" w14:textId="77777777" w:rsidR="00227B71" w:rsidRPr="002F7140" w:rsidRDefault="00227B71" w:rsidP="00465B05">
            <w:pPr>
              <w:pStyle w:val="142"/>
              <w:jc w:val="center"/>
            </w:pPr>
            <w:r w:rsidRPr="002F7140">
              <w:rPr>
                <w:rFonts w:hint="eastAsia"/>
              </w:rPr>
              <w:t>110</w:t>
            </w:r>
          </w:p>
        </w:tc>
        <w:tc>
          <w:tcPr>
            <w:tcW w:w="1557" w:type="dxa"/>
            <w:shd w:val="clear" w:color="auto" w:fill="auto"/>
            <w:vAlign w:val="center"/>
          </w:tcPr>
          <w:p w14:paraId="7D14244F" w14:textId="77777777" w:rsidR="00227B71" w:rsidRPr="002F7140" w:rsidRDefault="00227B71" w:rsidP="00465B05">
            <w:pPr>
              <w:pStyle w:val="142"/>
              <w:jc w:val="right"/>
            </w:pPr>
            <w:r w:rsidRPr="002F7140">
              <w:t>246,739</w:t>
            </w:r>
          </w:p>
        </w:tc>
        <w:tc>
          <w:tcPr>
            <w:tcW w:w="1557" w:type="dxa"/>
            <w:shd w:val="clear" w:color="auto" w:fill="auto"/>
            <w:vAlign w:val="center"/>
          </w:tcPr>
          <w:p w14:paraId="08C1F5FF" w14:textId="77777777" w:rsidR="00227B71" w:rsidRPr="002F7140" w:rsidRDefault="00227B71" w:rsidP="00465B05">
            <w:pPr>
              <w:pStyle w:val="142"/>
              <w:jc w:val="right"/>
            </w:pPr>
            <w:r w:rsidRPr="002F7140">
              <w:t>246,990</w:t>
            </w:r>
          </w:p>
        </w:tc>
        <w:tc>
          <w:tcPr>
            <w:tcW w:w="1557" w:type="dxa"/>
            <w:tcBorders>
              <w:top w:val="nil"/>
              <w:left w:val="nil"/>
              <w:bottom w:val="single" w:sz="8" w:space="0" w:color="auto"/>
              <w:right w:val="single" w:sz="8" w:space="0" w:color="auto"/>
            </w:tcBorders>
            <w:shd w:val="clear" w:color="auto" w:fill="auto"/>
            <w:vAlign w:val="center"/>
          </w:tcPr>
          <w:p w14:paraId="1406DE87" w14:textId="77777777" w:rsidR="00227B71" w:rsidRPr="002F7140" w:rsidRDefault="00227B71" w:rsidP="00465B05">
            <w:pPr>
              <w:pStyle w:val="142"/>
              <w:jc w:val="right"/>
            </w:pPr>
            <w:r w:rsidRPr="002F7140">
              <w:rPr>
                <w:rFonts w:hint="eastAsia"/>
              </w:rPr>
              <w:t>251</w:t>
            </w:r>
          </w:p>
        </w:tc>
        <w:tc>
          <w:tcPr>
            <w:tcW w:w="1558" w:type="dxa"/>
            <w:tcBorders>
              <w:top w:val="nil"/>
              <w:left w:val="nil"/>
              <w:bottom w:val="single" w:sz="8" w:space="0" w:color="auto"/>
              <w:right w:val="single" w:sz="12" w:space="0" w:color="auto"/>
            </w:tcBorders>
            <w:shd w:val="clear" w:color="auto" w:fill="auto"/>
            <w:vAlign w:val="center"/>
          </w:tcPr>
          <w:p w14:paraId="66939EEF" w14:textId="77777777" w:rsidR="00227B71" w:rsidRPr="002F7140" w:rsidRDefault="00227B71" w:rsidP="00465B05">
            <w:pPr>
              <w:pStyle w:val="142"/>
              <w:jc w:val="right"/>
            </w:pPr>
            <w:r w:rsidRPr="002F7140">
              <w:rPr>
                <w:rFonts w:hint="eastAsia"/>
              </w:rPr>
              <w:t>0.10</w:t>
            </w:r>
          </w:p>
        </w:tc>
      </w:tr>
      <w:tr w:rsidR="00227B71" w:rsidRPr="002F7140" w14:paraId="1FE34BA1" w14:textId="77777777" w:rsidTr="00465B05">
        <w:tc>
          <w:tcPr>
            <w:tcW w:w="1557" w:type="dxa"/>
            <w:tcBorders>
              <w:left w:val="single" w:sz="12" w:space="0" w:color="auto"/>
            </w:tcBorders>
            <w:shd w:val="clear" w:color="auto" w:fill="auto"/>
            <w:vAlign w:val="center"/>
          </w:tcPr>
          <w:p w14:paraId="1CD0D91B" w14:textId="77777777" w:rsidR="00227B71" w:rsidRPr="002F7140" w:rsidRDefault="00227B71" w:rsidP="00465B05">
            <w:pPr>
              <w:pStyle w:val="142"/>
              <w:jc w:val="center"/>
            </w:pPr>
            <w:r w:rsidRPr="002F7140">
              <w:rPr>
                <w:rFonts w:hint="eastAsia"/>
              </w:rPr>
              <w:t>111</w:t>
            </w:r>
          </w:p>
        </w:tc>
        <w:tc>
          <w:tcPr>
            <w:tcW w:w="1557" w:type="dxa"/>
            <w:shd w:val="clear" w:color="auto" w:fill="auto"/>
            <w:vAlign w:val="center"/>
          </w:tcPr>
          <w:p w14:paraId="13259663" w14:textId="77777777" w:rsidR="00227B71" w:rsidRPr="002F7140" w:rsidRDefault="00227B71" w:rsidP="00465B05">
            <w:pPr>
              <w:pStyle w:val="142"/>
              <w:jc w:val="right"/>
            </w:pPr>
            <w:r w:rsidRPr="002F7140">
              <w:t>243,217</w:t>
            </w:r>
          </w:p>
        </w:tc>
        <w:tc>
          <w:tcPr>
            <w:tcW w:w="1557" w:type="dxa"/>
            <w:shd w:val="clear" w:color="auto" w:fill="auto"/>
            <w:vAlign w:val="center"/>
          </w:tcPr>
          <w:p w14:paraId="24070293" w14:textId="77777777" w:rsidR="00227B71" w:rsidRPr="002F7140" w:rsidRDefault="00227B71" w:rsidP="00465B05">
            <w:pPr>
              <w:pStyle w:val="142"/>
              <w:jc w:val="right"/>
            </w:pPr>
            <w:r w:rsidRPr="002F7140">
              <w:t>277,595</w:t>
            </w:r>
          </w:p>
        </w:tc>
        <w:tc>
          <w:tcPr>
            <w:tcW w:w="1557" w:type="dxa"/>
            <w:tcBorders>
              <w:top w:val="nil"/>
              <w:left w:val="nil"/>
              <w:bottom w:val="single" w:sz="8" w:space="0" w:color="auto"/>
              <w:right w:val="single" w:sz="8" w:space="0" w:color="auto"/>
            </w:tcBorders>
            <w:shd w:val="clear" w:color="auto" w:fill="auto"/>
            <w:vAlign w:val="center"/>
          </w:tcPr>
          <w:p w14:paraId="3BFA7421" w14:textId="77777777" w:rsidR="00227B71" w:rsidRPr="002F7140" w:rsidRDefault="00227B71" w:rsidP="00465B05">
            <w:pPr>
              <w:pStyle w:val="142"/>
              <w:jc w:val="right"/>
            </w:pPr>
            <w:r w:rsidRPr="002F7140">
              <w:rPr>
                <w:rFonts w:hint="eastAsia"/>
              </w:rPr>
              <w:t xml:space="preserve">34,378 </w:t>
            </w:r>
          </w:p>
        </w:tc>
        <w:tc>
          <w:tcPr>
            <w:tcW w:w="1558" w:type="dxa"/>
            <w:tcBorders>
              <w:top w:val="nil"/>
              <w:left w:val="nil"/>
              <w:bottom w:val="single" w:sz="8" w:space="0" w:color="auto"/>
              <w:right w:val="single" w:sz="12" w:space="0" w:color="auto"/>
            </w:tcBorders>
            <w:shd w:val="clear" w:color="auto" w:fill="auto"/>
            <w:vAlign w:val="center"/>
          </w:tcPr>
          <w:p w14:paraId="1245EEB5" w14:textId="77777777" w:rsidR="00227B71" w:rsidRPr="002F7140" w:rsidRDefault="00227B71" w:rsidP="00465B05">
            <w:pPr>
              <w:pStyle w:val="142"/>
              <w:jc w:val="right"/>
            </w:pPr>
            <w:r w:rsidRPr="002F7140">
              <w:rPr>
                <w:rFonts w:hint="eastAsia"/>
              </w:rPr>
              <w:t>14.13</w:t>
            </w:r>
          </w:p>
        </w:tc>
      </w:tr>
      <w:tr w:rsidR="00227B71" w:rsidRPr="002F7140" w14:paraId="6A107427" w14:textId="77777777" w:rsidTr="00465B05">
        <w:tc>
          <w:tcPr>
            <w:tcW w:w="1557" w:type="dxa"/>
            <w:tcBorders>
              <w:left w:val="single" w:sz="12" w:space="0" w:color="auto"/>
            </w:tcBorders>
            <w:shd w:val="clear" w:color="auto" w:fill="auto"/>
            <w:vAlign w:val="center"/>
          </w:tcPr>
          <w:p w14:paraId="6DD929F7" w14:textId="77777777" w:rsidR="00227B71" w:rsidRPr="002F7140" w:rsidRDefault="00227B71" w:rsidP="00465B05">
            <w:pPr>
              <w:pStyle w:val="142"/>
              <w:jc w:val="center"/>
            </w:pPr>
            <w:r w:rsidRPr="002F7140">
              <w:rPr>
                <w:rFonts w:hint="eastAsia"/>
              </w:rPr>
              <w:t>112</w:t>
            </w:r>
          </w:p>
        </w:tc>
        <w:tc>
          <w:tcPr>
            <w:tcW w:w="1557" w:type="dxa"/>
            <w:shd w:val="clear" w:color="auto" w:fill="auto"/>
            <w:vAlign w:val="center"/>
          </w:tcPr>
          <w:p w14:paraId="3F2BD7B3" w14:textId="77777777" w:rsidR="00227B71" w:rsidRPr="002F7140" w:rsidRDefault="00227B71" w:rsidP="00465B05">
            <w:pPr>
              <w:pStyle w:val="142"/>
              <w:jc w:val="right"/>
            </w:pPr>
            <w:r w:rsidRPr="002F7140">
              <w:t>247,811</w:t>
            </w:r>
          </w:p>
        </w:tc>
        <w:tc>
          <w:tcPr>
            <w:tcW w:w="1557" w:type="dxa"/>
            <w:shd w:val="clear" w:color="auto" w:fill="auto"/>
            <w:vAlign w:val="center"/>
          </w:tcPr>
          <w:p w14:paraId="0FFEC852" w14:textId="77777777" w:rsidR="00227B71" w:rsidRPr="002F7140" w:rsidRDefault="00227B71" w:rsidP="00465B05">
            <w:pPr>
              <w:pStyle w:val="142"/>
              <w:jc w:val="right"/>
            </w:pPr>
            <w:r w:rsidRPr="002F7140">
              <w:t>280,121</w:t>
            </w:r>
          </w:p>
        </w:tc>
        <w:tc>
          <w:tcPr>
            <w:tcW w:w="1557" w:type="dxa"/>
            <w:tcBorders>
              <w:top w:val="nil"/>
              <w:left w:val="nil"/>
              <w:bottom w:val="single" w:sz="8" w:space="0" w:color="auto"/>
              <w:right w:val="single" w:sz="8" w:space="0" w:color="auto"/>
            </w:tcBorders>
            <w:shd w:val="clear" w:color="auto" w:fill="auto"/>
            <w:vAlign w:val="center"/>
          </w:tcPr>
          <w:p w14:paraId="3C57A08B" w14:textId="77777777" w:rsidR="00227B71" w:rsidRPr="002F7140" w:rsidRDefault="00227B71" w:rsidP="00465B05">
            <w:pPr>
              <w:pStyle w:val="142"/>
              <w:jc w:val="right"/>
            </w:pPr>
            <w:r w:rsidRPr="002F7140">
              <w:rPr>
                <w:rFonts w:hint="eastAsia"/>
              </w:rPr>
              <w:t xml:space="preserve">32,310 </w:t>
            </w:r>
          </w:p>
        </w:tc>
        <w:tc>
          <w:tcPr>
            <w:tcW w:w="1558" w:type="dxa"/>
            <w:tcBorders>
              <w:top w:val="nil"/>
              <w:left w:val="nil"/>
              <w:bottom w:val="single" w:sz="8" w:space="0" w:color="auto"/>
              <w:right w:val="single" w:sz="12" w:space="0" w:color="auto"/>
            </w:tcBorders>
            <w:shd w:val="clear" w:color="auto" w:fill="auto"/>
            <w:vAlign w:val="center"/>
          </w:tcPr>
          <w:p w14:paraId="08B6DB87" w14:textId="77777777" w:rsidR="00227B71" w:rsidRPr="002F7140" w:rsidRDefault="00227B71" w:rsidP="00465B05">
            <w:pPr>
              <w:pStyle w:val="142"/>
              <w:jc w:val="right"/>
            </w:pPr>
            <w:r w:rsidRPr="002F7140">
              <w:rPr>
                <w:rFonts w:hint="eastAsia"/>
              </w:rPr>
              <w:t>13.04</w:t>
            </w:r>
          </w:p>
        </w:tc>
      </w:tr>
      <w:tr w:rsidR="00227B71" w:rsidRPr="002F7140" w14:paraId="066286EE" w14:textId="77777777" w:rsidTr="00465B05">
        <w:tc>
          <w:tcPr>
            <w:tcW w:w="1557" w:type="dxa"/>
            <w:tcBorders>
              <w:left w:val="single" w:sz="12" w:space="0" w:color="auto"/>
              <w:bottom w:val="single" w:sz="12" w:space="0" w:color="auto"/>
            </w:tcBorders>
            <w:shd w:val="clear" w:color="auto" w:fill="auto"/>
            <w:vAlign w:val="center"/>
          </w:tcPr>
          <w:p w14:paraId="1444D928" w14:textId="77777777" w:rsidR="00227B71" w:rsidRPr="002F7140" w:rsidRDefault="00227B71" w:rsidP="00465B05">
            <w:pPr>
              <w:pStyle w:val="142"/>
              <w:jc w:val="center"/>
            </w:pPr>
            <w:r w:rsidRPr="002F7140">
              <w:rPr>
                <w:rFonts w:hint="eastAsia"/>
              </w:rPr>
              <w:t>113</w:t>
            </w:r>
          </w:p>
        </w:tc>
        <w:tc>
          <w:tcPr>
            <w:tcW w:w="1557" w:type="dxa"/>
            <w:tcBorders>
              <w:bottom w:val="single" w:sz="12" w:space="0" w:color="auto"/>
            </w:tcBorders>
            <w:shd w:val="clear" w:color="auto" w:fill="auto"/>
            <w:vAlign w:val="center"/>
          </w:tcPr>
          <w:p w14:paraId="304B96F8" w14:textId="77777777" w:rsidR="00227B71" w:rsidRPr="002F7140" w:rsidRDefault="00227B71" w:rsidP="00465B05">
            <w:pPr>
              <w:pStyle w:val="142"/>
              <w:jc w:val="right"/>
            </w:pPr>
            <w:r w:rsidRPr="002F7140">
              <w:t>298,118</w:t>
            </w:r>
          </w:p>
        </w:tc>
        <w:tc>
          <w:tcPr>
            <w:tcW w:w="1557" w:type="dxa"/>
            <w:tcBorders>
              <w:bottom w:val="single" w:sz="12" w:space="0" w:color="auto"/>
            </w:tcBorders>
            <w:shd w:val="clear" w:color="auto" w:fill="auto"/>
            <w:vAlign w:val="center"/>
          </w:tcPr>
          <w:p w14:paraId="5EEB6DDA" w14:textId="77777777" w:rsidR="00227B71" w:rsidRPr="002F7140" w:rsidRDefault="00227B71" w:rsidP="00465B05">
            <w:pPr>
              <w:pStyle w:val="142"/>
              <w:jc w:val="right"/>
            </w:pPr>
            <w:r w:rsidRPr="002F7140">
              <w:t>172,217</w:t>
            </w:r>
          </w:p>
        </w:tc>
        <w:tc>
          <w:tcPr>
            <w:tcW w:w="1557" w:type="dxa"/>
            <w:tcBorders>
              <w:top w:val="nil"/>
              <w:left w:val="nil"/>
              <w:bottom w:val="single" w:sz="12" w:space="0" w:color="auto"/>
              <w:right w:val="single" w:sz="8" w:space="0" w:color="auto"/>
            </w:tcBorders>
            <w:shd w:val="clear" w:color="auto" w:fill="auto"/>
            <w:vAlign w:val="center"/>
          </w:tcPr>
          <w:p w14:paraId="08E22229" w14:textId="77777777" w:rsidR="00227B71" w:rsidRPr="002F7140" w:rsidRDefault="00227B71" w:rsidP="00465B05">
            <w:pPr>
              <w:pStyle w:val="142"/>
              <w:jc w:val="right"/>
            </w:pPr>
            <w:r w:rsidRPr="002F7140">
              <w:rPr>
                <w:rFonts w:hint="eastAsia"/>
              </w:rPr>
              <w:t>(125,901)</w:t>
            </w:r>
          </w:p>
        </w:tc>
        <w:tc>
          <w:tcPr>
            <w:tcW w:w="1558" w:type="dxa"/>
            <w:tcBorders>
              <w:top w:val="nil"/>
              <w:left w:val="nil"/>
              <w:bottom w:val="single" w:sz="12" w:space="0" w:color="auto"/>
              <w:right w:val="single" w:sz="12" w:space="0" w:color="auto"/>
            </w:tcBorders>
            <w:shd w:val="clear" w:color="auto" w:fill="auto"/>
            <w:vAlign w:val="center"/>
          </w:tcPr>
          <w:p w14:paraId="664529D4" w14:textId="77777777" w:rsidR="00227B71" w:rsidRPr="002F7140" w:rsidRDefault="00227B71" w:rsidP="00465B05">
            <w:pPr>
              <w:pStyle w:val="142"/>
              <w:jc w:val="right"/>
            </w:pPr>
            <w:r w:rsidRPr="002F7140">
              <w:rPr>
                <w:rFonts w:hint="eastAsia"/>
              </w:rPr>
              <w:t>(42.23)</w:t>
            </w:r>
          </w:p>
        </w:tc>
      </w:tr>
    </w:tbl>
    <w:p w14:paraId="0CDF14EE" w14:textId="77777777" w:rsidR="00227B71" w:rsidRPr="00EB5533" w:rsidRDefault="00227B71" w:rsidP="00EB5533">
      <w:pPr>
        <w:spacing w:line="280" w:lineRule="exact"/>
        <w:ind w:leftChars="70" w:left="198" w:firstLineChars="0" w:firstLine="348"/>
        <w:jc w:val="left"/>
        <w:rPr>
          <w:sz w:val="24"/>
        </w:rPr>
      </w:pPr>
      <w:r>
        <w:rPr>
          <w:rFonts w:hint="eastAsia"/>
          <w:sz w:val="24"/>
        </w:rPr>
        <w:t xml:space="preserve">  </w:t>
      </w:r>
      <w:r w:rsidRPr="00EB5533">
        <w:rPr>
          <w:rFonts w:hint="eastAsia"/>
          <w:sz w:val="24"/>
        </w:rPr>
        <w:t>說    明：</w:t>
      </w:r>
      <w:r>
        <w:rPr>
          <w:rFonts w:hint="eastAsia"/>
          <w:sz w:val="24"/>
        </w:rPr>
        <w:t>1.</w:t>
      </w:r>
      <w:r w:rsidRPr="00EB5533">
        <w:rPr>
          <w:rFonts w:hint="eastAsia"/>
          <w:sz w:val="24"/>
        </w:rPr>
        <w:t>113年度</w:t>
      </w:r>
      <w:r>
        <w:rPr>
          <w:rFonts w:hint="eastAsia"/>
          <w:sz w:val="24"/>
        </w:rPr>
        <w:t>決算數</w:t>
      </w:r>
      <w:r w:rsidRPr="00EB5533">
        <w:rPr>
          <w:rFonts w:hint="eastAsia"/>
          <w:sz w:val="24"/>
        </w:rPr>
        <w:t>為截至8月底</w:t>
      </w:r>
      <w:r>
        <w:rPr>
          <w:rFonts w:hint="eastAsia"/>
          <w:sz w:val="24"/>
        </w:rPr>
        <w:t>實際數</w:t>
      </w:r>
      <w:r w:rsidRPr="00EB5533">
        <w:rPr>
          <w:rFonts w:hAnsi="標楷體" w:hint="eastAsia"/>
          <w:sz w:val="24"/>
        </w:rPr>
        <w:t>。</w:t>
      </w:r>
    </w:p>
    <w:p w14:paraId="6532B857" w14:textId="77777777" w:rsidR="00227B71" w:rsidRPr="00EB5533" w:rsidRDefault="00227B71" w:rsidP="00AB0888">
      <w:pPr>
        <w:spacing w:line="280" w:lineRule="exact"/>
        <w:ind w:leftChars="70" w:left="2239" w:firstLineChars="0" w:hanging="2041"/>
        <w:jc w:val="left"/>
        <w:rPr>
          <w:sz w:val="24"/>
        </w:rPr>
      </w:pPr>
      <w:r w:rsidRPr="00EB5533">
        <w:rPr>
          <w:rFonts w:hint="eastAsia"/>
          <w:sz w:val="24"/>
        </w:rPr>
        <w:lastRenderedPageBreak/>
        <w:t xml:space="preserve">           </w:t>
      </w:r>
      <w:r>
        <w:rPr>
          <w:rFonts w:hint="eastAsia"/>
          <w:sz w:val="24"/>
        </w:rPr>
        <w:t xml:space="preserve">    </w:t>
      </w:r>
      <w:r w:rsidRPr="00EB5533">
        <w:rPr>
          <w:rFonts w:hint="eastAsia"/>
          <w:sz w:val="24"/>
        </w:rPr>
        <w:t>2.預決算比較</w:t>
      </w:r>
      <w:r>
        <w:rPr>
          <w:rFonts w:hint="eastAsia"/>
          <w:sz w:val="24"/>
        </w:rPr>
        <w:t>之金額係以決算數減去預算數之差額計列</w:t>
      </w:r>
      <w:r w:rsidRPr="00EB5533">
        <w:rPr>
          <w:rFonts w:hint="eastAsia"/>
          <w:sz w:val="24"/>
        </w:rPr>
        <w:t>。</w:t>
      </w:r>
      <w:r>
        <w:rPr>
          <w:rFonts w:hint="eastAsia"/>
          <w:sz w:val="24"/>
        </w:rPr>
        <w:t>倘差額為負數則以括弧標示</w:t>
      </w:r>
      <w:r>
        <w:rPr>
          <w:rFonts w:hAnsi="標楷體" w:hint="eastAsia"/>
          <w:sz w:val="24"/>
        </w:rPr>
        <w:t>。</w:t>
      </w:r>
    </w:p>
    <w:p w14:paraId="65D6BF30" w14:textId="77777777" w:rsidR="00227B71" w:rsidRPr="00EB5533" w:rsidRDefault="00227B71" w:rsidP="005B28E8">
      <w:pPr>
        <w:spacing w:line="280" w:lineRule="exact"/>
        <w:ind w:leftChars="70" w:left="198" w:firstLineChars="0" w:firstLine="348"/>
        <w:jc w:val="left"/>
        <w:rPr>
          <w:rFonts w:hAnsi="標楷體"/>
          <w:color w:val="000000"/>
        </w:rPr>
      </w:pPr>
      <w:r w:rsidRPr="00EB5533">
        <w:rPr>
          <w:rFonts w:hint="eastAsia"/>
          <w:sz w:val="24"/>
        </w:rPr>
        <w:t xml:space="preserve"> </w:t>
      </w:r>
      <w:r>
        <w:rPr>
          <w:rFonts w:hint="eastAsia"/>
          <w:sz w:val="24"/>
        </w:rPr>
        <w:t xml:space="preserve"> </w:t>
      </w:r>
      <w:r w:rsidRPr="00EB5533">
        <w:rPr>
          <w:rFonts w:hint="eastAsia"/>
          <w:sz w:val="24"/>
        </w:rPr>
        <w:t>資料來源：</w:t>
      </w:r>
      <w:r>
        <w:rPr>
          <w:rFonts w:hint="eastAsia"/>
          <w:sz w:val="24"/>
        </w:rPr>
        <w:t>臺中</w:t>
      </w:r>
      <w:r w:rsidRPr="00EB5533">
        <w:rPr>
          <w:rFonts w:hint="eastAsia"/>
          <w:sz w:val="24"/>
        </w:rPr>
        <w:t>科大提供</w:t>
      </w:r>
      <w:r w:rsidRPr="00EB5533">
        <w:rPr>
          <w:rFonts w:hAnsi="標楷體" w:hint="eastAsia"/>
          <w:sz w:val="24"/>
        </w:rPr>
        <w:t>，</w:t>
      </w:r>
      <w:r w:rsidRPr="00EB5533">
        <w:rPr>
          <w:rFonts w:hint="eastAsia"/>
          <w:sz w:val="24"/>
        </w:rPr>
        <w:t>本中心彙整。</w:t>
      </w:r>
    </w:p>
    <w:p w14:paraId="7A718F9E" w14:textId="77777777" w:rsidR="00227B71" w:rsidRDefault="00227B71" w:rsidP="005E3E8E">
      <w:pPr>
        <w:ind w:left="566" w:firstLine="566"/>
      </w:pPr>
      <w:r>
        <w:rPr>
          <w:rFonts w:hint="eastAsia"/>
        </w:rPr>
        <w:t>綜上，臺中科大校務基金110至112年度計時計件人員酬金均有超支情形，允應強化預算控管作為，並</w:t>
      </w:r>
      <w:r w:rsidRPr="002E52B1">
        <w:rPr>
          <w:rFonts w:hint="eastAsia"/>
        </w:rPr>
        <w:t>依政府預算籌編原則及行政院及所屬各機關學校約用人員進用及運用要點辦理</w:t>
      </w:r>
      <w:r>
        <w:rPr>
          <w:rFonts w:hAnsi="標楷體" w:hint="eastAsia"/>
        </w:rPr>
        <w:t>，</w:t>
      </w:r>
      <w:r>
        <w:rPr>
          <w:rFonts w:hint="eastAsia"/>
        </w:rPr>
        <w:t>俾節約公帑。</w:t>
      </w:r>
    </w:p>
    <w:p w14:paraId="719F91E9" w14:textId="77777777" w:rsidR="00227B71" w:rsidRPr="00317813" w:rsidRDefault="00227B71" w:rsidP="00502468">
      <w:pPr>
        <w:pStyle w:val="ab"/>
      </w:pPr>
      <w:r w:rsidRPr="00317813">
        <w:rPr>
          <w:rFonts w:hint="eastAsia"/>
        </w:rPr>
        <w:t>（分機：19</w:t>
      </w:r>
      <w:r>
        <w:rPr>
          <w:rFonts w:hint="eastAsia"/>
        </w:rPr>
        <w:t>12</w:t>
      </w:r>
      <w:r w:rsidRPr="00317813">
        <w:rPr>
          <w:rFonts w:hint="eastAsia"/>
        </w:rPr>
        <w:t xml:space="preserve"> </w:t>
      </w:r>
      <w:r>
        <w:rPr>
          <w:rFonts w:hint="eastAsia"/>
        </w:rPr>
        <w:t>黃彥斌</w:t>
      </w:r>
      <w:r w:rsidRPr="00317813">
        <w:rPr>
          <w:rFonts w:hint="eastAsia"/>
        </w:rPr>
        <w:t>）</w:t>
      </w:r>
    </w:p>
    <w:sectPr w:rsidR="00227B71" w:rsidRPr="00317813"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25A5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1D7EE0CA"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25A50">
      <w:rPr>
        <w:rStyle w:val="af6"/>
        <w:noProof/>
      </w:rPr>
      <w:t>3</w:t>
    </w:r>
    <w:r>
      <w:rPr>
        <w:rStyle w:val="af6"/>
      </w:rPr>
      <w:fldChar w:fldCharType="end"/>
    </w:r>
  </w:p>
  <w:p w14:paraId="44D11F74" w14:textId="77777777" w:rsidR="00D36F94" w:rsidRPr="001F2930" w:rsidRDefault="00D25A50"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25A5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11AD9F0B" w14:textId="77777777" w:rsidR="00227B71" w:rsidRPr="00465B05" w:rsidRDefault="00227B71" w:rsidP="00ED5806">
      <w:pPr>
        <w:pStyle w:val="142"/>
        <w:ind w:leftChars="-4" w:left="210" w:hangingChars="91" w:hanging="221"/>
        <w:rPr>
          <w:rStyle w:val="143"/>
        </w:rPr>
      </w:pPr>
      <w:r w:rsidRPr="00013106">
        <w:rPr>
          <w:rStyle w:val="af2"/>
          <w:szCs w:val="24"/>
        </w:rPr>
        <w:footnoteRef/>
      </w:r>
      <w:r w:rsidRPr="00013106">
        <w:rPr>
          <w:szCs w:val="24"/>
        </w:rPr>
        <w:t xml:space="preserve"> </w:t>
      </w:r>
      <w:r w:rsidRPr="005367A2">
        <w:rPr>
          <w:rStyle w:val="143"/>
          <w:rFonts w:hint="eastAsia"/>
          <w:spacing w:val="10"/>
        </w:rPr>
        <w:t>約用人員運用要點第7點第4款規定：「各機關於中華民國九十六年十二月三十一日前進用之臨時人員，仍應依上開審核規定重新審核進用」</w:t>
      </w:r>
      <w:r w:rsidRPr="005367A2">
        <w:rPr>
          <w:rStyle w:val="143"/>
          <w:rFonts w:hint="eastAsia"/>
        </w:rPr>
        <w:t>其</w:t>
      </w:r>
      <w:r w:rsidRPr="005367A2">
        <w:rPr>
          <w:rStyle w:val="143"/>
          <w:rFonts w:hint="eastAsia"/>
          <w:spacing w:val="10"/>
        </w:rPr>
        <w:t>中審核規定主要包括同要點第7點第2款略以，約用人員進用計畫是</w:t>
      </w:r>
      <w:r w:rsidRPr="005367A2">
        <w:rPr>
          <w:rStyle w:val="143"/>
          <w:rFonts w:hint="eastAsia"/>
        </w:rPr>
        <w:t>否</w:t>
      </w:r>
      <w:r w:rsidRPr="005367A2">
        <w:rPr>
          <w:rStyle w:val="143"/>
          <w:rFonts w:hint="eastAsia"/>
          <w:spacing w:val="10"/>
        </w:rPr>
        <w:t>符合</w:t>
      </w:r>
      <w:r w:rsidRPr="00463026">
        <w:rPr>
          <w:rStyle w:val="143"/>
          <w:rFonts w:hint="eastAsia"/>
          <w:spacing w:val="6"/>
        </w:rPr>
        <w:t>第二點至前點之規定。給假、薪資待遇及其他權利事項，是否符合勞動基準法規相關規定前一年度約用人員之進用及運用是否達到計畫預期成效，是否有不符經費用途、效益不彰、不當運用或其他未依相關規定辦理之情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25A5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25A50"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25A50">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25A50"/>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AF011-6F0B-479D-928E-061A23D4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233</Words>
  <Characters>1334</Characters>
  <Application>Microsoft Office Word</Application>
  <DocSecurity>0</DocSecurity>
  <Lines>11</Lines>
  <Paragraphs>3</Paragraphs>
  <ScaleCrop>false</ScaleCrop>
  <Company>HOME</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