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1C5467" w:rsidP="008D0F3D">
      <w:pPr>
        <w:pStyle w:val="a9"/>
      </w:pPr>
      <w:bookmarkStart w:id="0" w:name="_GoBack"/>
      <w:bookmarkEnd w:id="0"/>
      <w:r w:rsidRPr="001C5467">
        <w:rPr>
          <w:rFonts w:hint="eastAsia"/>
        </w:rPr>
        <w:t>國立臺灣大學校務基金114年度預算評估報告</w:t>
      </w:r>
    </w:p>
    <w:p w:rsidR="00FB64C5" w:rsidRDefault="00FB64C5" w:rsidP="00FB64C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</w:t>
      </w:r>
      <w:r w:rsidR="001E4AFE">
        <w:rPr>
          <w:rFonts w:hint="eastAsia"/>
        </w:rPr>
        <w:t>校務基金(以下稱臺灣大學)</w:t>
      </w:r>
      <w:r w:rsidR="00DD0144">
        <w:rPr>
          <w:rFonts w:hint="eastAsia"/>
        </w:rPr>
        <w:t>分別</w:t>
      </w:r>
      <w:r w:rsidR="00211B6E">
        <w:rPr>
          <w:rFonts w:hint="eastAsia"/>
        </w:rPr>
        <w:t>自1</w:t>
      </w:r>
      <w:r w:rsidR="00211B6E">
        <w:t>11</w:t>
      </w:r>
      <w:r w:rsidR="00DD0144">
        <w:rPr>
          <w:rFonts w:hint="eastAsia"/>
        </w:rPr>
        <w:t>及1</w:t>
      </w:r>
      <w:r w:rsidR="00DD0144">
        <w:t>14</w:t>
      </w:r>
      <w:r w:rsidR="00DD0144">
        <w:rPr>
          <w:rFonts w:hint="eastAsia"/>
        </w:rPr>
        <w:t>年度</w:t>
      </w:r>
      <w:r w:rsidR="00211B6E">
        <w:rPr>
          <w:rFonts w:hint="eastAsia"/>
        </w:rPr>
        <w:t>起設立國立臺灣大學重點科技研究學院校務基金(以下稱重點科技研究學院</w:t>
      </w:r>
      <w:r w:rsidR="00211B6E">
        <w:t>)</w:t>
      </w:r>
      <w:r w:rsidR="00211B6E">
        <w:rPr>
          <w:rFonts w:hint="eastAsia"/>
        </w:rPr>
        <w:t>，</w:t>
      </w:r>
      <w:r w:rsidR="00DD0144">
        <w:rPr>
          <w:rFonts w:hint="eastAsia"/>
        </w:rPr>
        <w:t>及</w:t>
      </w:r>
      <w:r w:rsidR="00211B6E">
        <w:rPr>
          <w:rFonts w:hint="eastAsia"/>
        </w:rPr>
        <w:t>國立臺灣大學</w:t>
      </w:r>
      <w:r w:rsidR="00DD0144" w:rsidRPr="00DD0144">
        <w:rPr>
          <w:rFonts w:hint="eastAsia"/>
        </w:rPr>
        <w:t>國際政經學院</w:t>
      </w:r>
      <w:r w:rsidR="00211B6E">
        <w:rPr>
          <w:rFonts w:hint="eastAsia"/>
        </w:rPr>
        <w:t>校務基金(以下稱國際政經學院</w:t>
      </w:r>
      <w:r w:rsidR="00211B6E">
        <w:t>)</w:t>
      </w:r>
      <w:r w:rsidR="00211B6E">
        <w:rPr>
          <w:rFonts w:hint="eastAsia"/>
        </w:rPr>
        <w:t>，編列附屬單位預算之分預算。</w:t>
      </w:r>
      <w:r w:rsidR="006A7B0B">
        <w:rPr>
          <w:rFonts w:hint="eastAsia"/>
        </w:rPr>
        <w:t>臺灣大學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年度預算案編列業務收入1</w:t>
      </w:r>
      <w:r>
        <w:t>93</w:t>
      </w:r>
      <w:r>
        <w:rPr>
          <w:rFonts w:hint="eastAsia"/>
        </w:rPr>
        <w:t>億3,</w:t>
      </w:r>
      <w:r>
        <w:t>439</w:t>
      </w:r>
      <w:r>
        <w:rPr>
          <w:rFonts w:hint="eastAsia"/>
        </w:rPr>
        <w:t>萬2千元，業務成本與費用2</w:t>
      </w:r>
      <w:r>
        <w:t>07</w:t>
      </w:r>
      <w:r>
        <w:rPr>
          <w:rFonts w:hint="eastAsia"/>
        </w:rPr>
        <w:t>億3</w:t>
      </w:r>
      <w:r>
        <w:t>70</w:t>
      </w:r>
      <w:r>
        <w:rPr>
          <w:rFonts w:hint="eastAsia"/>
        </w:rPr>
        <w:t>萬4千元，業務外收入2</w:t>
      </w:r>
      <w:r>
        <w:t>3</w:t>
      </w:r>
      <w:r>
        <w:rPr>
          <w:rFonts w:hint="eastAsia"/>
        </w:rPr>
        <w:t>億2</w:t>
      </w:r>
      <w:r>
        <w:t>,296</w:t>
      </w:r>
      <w:r>
        <w:rPr>
          <w:rFonts w:hint="eastAsia"/>
        </w:rPr>
        <w:t>萬8千元，業務外費用1</w:t>
      </w:r>
      <w:r>
        <w:t>0</w:t>
      </w:r>
      <w:r>
        <w:rPr>
          <w:rFonts w:hint="eastAsia"/>
        </w:rPr>
        <w:t>億2</w:t>
      </w:r>
      <w:r>
        <w:t>,981</w:t>
      </w:r>
      <w:r>
        <w:rPr>
          <w:rFonts w:hint="eastAsia"/>
        </w:rPr>
        <w:t>萬</w:t>
      </w:r>
      <w:r>
        <w:t>4</w:t>
      </w:r>
      <w:r>
        <w:rPr>
          <w:rFonts w:hint="eastAsia"/>
        </w:rPr>
        <w:t>千元，收支相抵後短絀7</w:t>
      </w:r>
      <w:r>
        <w:t>,615</w:t>
      </w:r>
      <w:r>
        <w:rPr>
          <w:rFonts w:hint="eastAsia"/>
        </w:rPr>
        <w:t>萬8千元</w:t>
      </w:r>
      <w:r w:rsidR="00995D19">
        <w:rPr>
          <w:rFonts w:hint="eastAsia"/>
        </w:rPr>
        <w:t>(詳表1</w:t>
      </w:r>
      <w:r w:rsidR="00995D19">
        <w:t>)</w:t>
      </w:r>
      <w:r>
        <w:rPr>
          <w:rFonts w:hint="eastAsia"/>
        </w:rPr>
        <w:t>，較1</w:t>
      </w:r>
      <w:r>
        <w:t>13</w:t>
      </w:r>
      <w:r>
        <w:rPr>
          <w:rFonts w:hint="eastAsia"/>
        </w:rPr>
        <w:t>年度預算</w:t>
      </w:r>
      <w:r w:rsidR="000B6E2D">
        <w:rPr>
          <w:rFonts w:hint="eastAsia"/>
        </w:rPr>
        <w:t>案</w:t>
      </w:r>
      <w:r>
        <w:rPr>
          <w:rFonts w:hint="eastAsia"/>
        </w:rPr>
        <w:t>短絀4</w:t>
      </w:r>
      <w:r>
        <w:t>61</w:t>
      </w:r>
      <w:r>
        <w:rPr>
          <w:rFonts w:hint="eastAsia"/>
        </w:rPr>
        <w:t>萬5千元增加7</w:t>
      </w:r>
      <w:r>
        <w:t>,154</w:t>
      </w:r>
      <w:r>
        <w:rPr>
          <w:rFonts w:hint="eastAsia"/>
        </w:rPr>
        <w:t>萬3千元</w:t>
      </w:r>
      <w:r w:rsidR="000B6E2D">
        <w:rPr>
          <w:rStyle w:val="af2"/>
        </w:rPr>
        <w:footnoteReference w:id="1"/>
      </w:r>
      <w:r>
        <w:rPr>
          <w:rFonts w:hint="eastAsia"/>
        </w:rPr>
        <w:t>(增幅1</w:t>
      </w:r>
      <w:r>
        <w:t>,550.23%)</w:t>
      </w:r>
      <w:r>
        <w:rPr>
          <w:rFonts w:hint="eastAsia"/>
        </w:rPr>
        <w:t>。謹就該基金1</w:t>
      </w:r>
      <w:r>
        <w:t>14</w:t>
      </w:r>
      <w:r>
        <w:rPr>
          <w:rFonts w:hint="eastAsia"/>
        </w:rPr>
        <w:t>年度預算</w:t>
      </w:r>
      <w:r w:rsidR="009F3DD2">
        <w:rPr>
          <w:rFonts w:hint="eastAsia"/>
        </w:rPr>
        <w:t>案</w:t>
      </w:r>
      <w:r>
        <w:rPr>
          <w:rFonts w:hint="eastAsia"/>
        </w:rPr>
        <w:t>評析如下：</w:t>
      </w:r>
    </w:p>
    <w:p w:rsidR="00FF728F" w:rsidRPr="001976CC" w:rsidRDefault="00FF728F" w:rsidP="00905115">
      <w:pPr>
        <w:pStyle w:val="a7"/>
        <w:ind w:rightChars="-50" w:right="-142" w:firstLineChars="0" w:firstLine="0"/>
        <w:rPr>
          <w:rFonts w:hint="eastAsia"/>
          <w:sz w:val="24"/>
          <w:szCs w:val="24"/>
        </w:rPr>
      </w:pPr>
      <w:r w:rsidRPr="001976CC">
        <w:rPr>
          <w:rFonts w:hint="eastAsia"/>
          <w:b/>
        </w:rPr>
        <w:t>表1</w:t>
      </w:r>
      <w:r w:rsidRPr="001976CC">
        <w:rPr>
          <w:b/>
        </w:rPr>
        <w:t xml:space="preserve">  </w:t>
      </w:r>
      <w:r w:rsidR="001976CC" w:rsidRPr="001976CC">
        <w:rPr>
          <w:rFonts w:hint="eastAsia"/>
          <w:b/>
        </w:rPr>
        <w:t>臺灣大學1</w:t>
      </w:r>
      <w:r w:rsidR="001976CC" w:rsidRPr="001976CC">
        <w:rPr>
          <w:b/>
        </w:rPr>
        <w:t>14</w:t>
      </w:r>
      <w:r w:rsidR="001976CC" w:rsidRPr="001976CC">
        <w:rPr>
          <w:rFonts w:hint="eastAsia"/>
          <w:b/>
        </w:rPr>
        <w:t>年度收支餘絀預計概況表</w:t>
      </w:r>
      <w:r w:rsidR="001976CC">
        <w:rPr>
          <w:rFonts w:hint="eastAsia"/>
          <w:b/>
        </w:rPr>
        <w:t xml:space="preserve"> </w:t>
      </w:r>
      <w:r w:rsidR="001976CC">
        <w:rPr>
          <w:b/>
        </w:rPr>
        <w:t xml:space="preserve"> </w:t>
      </w:r>
      <w:r w:rsidR="00905115">
        <w:rPr>
          <w:b/>
        </w:rPr>
        <w:t xml:space="preserve">  </w:t>
      </w:r>
      <w:r w:rsidR="001976CC">
        <w:rPr>
          <w:b/>
        </w:rPr>
        <w:t xml:space="preserve">    </w:t>
      </w:r>
      <w:r w:rsidRPr="001976CC">
        <w:rPr>
          <w:rFonts w:hint="eastAsia"/>
          <w:sz w:val="24"/>
          <w:szCs w:val="24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559"/>
        <w:gridCol w:w="1559"/>
        <w:gridCol w:w="1560"/>
      </w:tblGrid>
      <w:tr w:rsidR="00FF728F" w:rsidRPr="000D4B7A" w:rsidTr="00886AD8">
        <w:trPr>
          <w:tblHeader/>
        </w:trPr>
        <w:tc>
          <w:tcPr>
            <w:tcW w:w="1985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科目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臺灣大學(合併)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大學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重點科技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研究學院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Pr="000D4B7A" w:rsidRDefault="00FF728F" w:rsidP="00886AD8">
            <w:pPr>
              <w:pStyle w:val="141"/>
              <w:jc w:val="center"/>
              <w:rPr>
                <w:b/>
              </w:rPr>
            </w:pPr>
            <w:r w:rsidRPr="000D4B7A">
              <w:rPr>
                <w:rFonts w:hint="eastAsia"/>
                <w:b/>
              </w:rPr>
              <w:t>國際政經</w:t>
            </w:r>
          </w:p>
          <w:p w:rsidR="00FF728F" w:rsidRPr="000D4B7A" w:rsidRDefault="00FF728F" w:rsidP="00886AD8">
            <w:pPr>
              <w:pStyle w:val="141"/>
              <w:jc w:val="center"/>
              <w:rPr>
                <w:rFonts w:hint="eastAsia"/>
                <w:b/>
              </w:rPr>
            </w:pPr>
            <w:r w:rsidRPr="000D4B7A">
              <w:rPr>
                <w:rFonts w:hint="eastAsia"/>
                <w:b/>
              </w:rPr>
              <w:t>學院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886AD8" w:rsidRDefault="00FF728F" w:rsidP="00886AD8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19,334,392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18,836,335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342,857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155,200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業務成本與費用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20,703,704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20,328,394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235,000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140,310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業務外收入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2,322,968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2,286,468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35,000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業務外費用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1,029,814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1,019,214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E824EB" w:rsidP="00886AD8">
            <w:pPr>
              <w:pStyle w:val="141"/>
              <w:jc w:val="right"/>
              <w:rPr>
                <w:rFonts w:hint="eastAsia"/>
              </w:rPr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10,600</w:t>
            </w:r>
          </w:p>
        </w:tc>
      </w:tr>
      <w:tr w:rsidR="00FF728F" w:rsidTr="00886AD8">
        <w:tc>
          <w:tcPr>
            <w:tcW w:w="1985" w:type="dxa"/>
            <w:shd w:val="clear" w:color="auto" w:fill="auto"/>
          </w:tcPr>
          <w:p w:rsidR="00FF728F" w:rsidRDefault="00FF728F" w:rsidP="00FF728F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-76,158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P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 w:rsidRPr="00FF728F">
              <w:rPr>
                <w:rFonts w:hint="eastAsia"/>
              </w:rPr>
              <w:t>-224,805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109,357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F728F" w:rsidRDefault="00FF728F" w:rsidP="00886AD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39,290</w:t>
            </w:r>
          </w:p>
        </w:tc>
      </w:tr>
    </w:tbl>
    <w:p w:rsidR="00FF728F" w:rsidRDefault="00FF728F" w:rsidP="00FF728F">
      <w:pPr>
        <w:pStyle w:val="141"/>
        <w:rPr>
          <w:rFonts w:hint="eastAsia"/>
        </w:rPr>
      </w:pPr>
      <w:r>
        <w:rPr>
          <w:rFonts w:hint="eastAsia"/>
        </w:rPr>
        <w:t>資料來源：臺灣大學1</w:t>
      </w:r>
      <w:r>
        <w:t>14</w:t>
      </w:r>
      <w:r>
        <w:rPr>
          <w:rFonts w:hint="eastAsia"/>
        </w:rPr>
        <w:t>年度預算書。</w:t>
      </w:r>
    </w:p>
    <w:p w:rsidR="00E13E8D" w:rsidRPr="00FB1B7D" w:rsidRDefault="00A46C2C" w:rsidP="00E13E8D">
      <w:pPr>
        <w:pStyle w:val="14"/>
        <w:ind w:left="567" w:hanging="567"/>
      </w:pPr>
      <w:bookmarkStart w:id="3" w:name="_Toc179905569"/>
      <w:r w:rsidRPr="00FB1B7D">
        <w:rPr>
          <w:rFonts w:hint="eastAsia"/>
        </w:rPr>
        <w:t>二</w:t>
      </w:r>
      <w:r w:rsidR="00E13E8D" w:rsidRPr="00FB1B7D">
        <w:rPr>
          <w:rFonts w:hint="eastAsia"/>
        </w:rPr>
        <w:t>、校</w:t>
      </w:r>
      <w:r w:rsidR="00BE5F0B" w:rsidRPr="00FB1B7D">
        <w:rPr>
          <w:rFonts w:hint="eastAsia"/>
        </w:rPr>
        <w:t>學士及部分</w:t>
      </w:r>
      <w:r w:rsidR="00E13E8D" w:rsidRPr="00FB1B7D">
        <w:rPr>
          <w:rFonts w:hint="eastAsia"/>
        </w:rPr>
        <w:t>院學士</w:t>
      </w:r>
      <w:r w:rsidR="00B0294D">
        <w:rPr>
          <w:rFonts w:hint="eastAsia"/>
        </w:rPr>
        <w:t>修讀</w:t>
      </w:r>
      <w:r w:rsidR="00BE5F0B" w:rsidRPr="00FB1B7D">
        <w:rPr>
          <w:rFonts w:hint="eastAsia"/>
        </w:rPr>
        <w:t>人數不高，且</w:t>
      </w:r>
      <w:r w:rsidR="00B0294D">
        <w:rPr>
          <w:rFonts w:hint="eastAsia"/>
        </w:rPr>
        <w:t>輔系、雙主修</w:t>
      </w:r>
      <w:r w:rsidR="00BE5F0B" w:rsidRPr="00FB1B7D">
        <w:rPr>
          <w:rFonts w:hint="eastAsia"/>
        </w:rPr>
        <w:t>核准比率未達5成，</w:t>
      </w:r>
      <w:r w:rsidR="001760FA">
        <w:rPr>
          <w:rFonts w:hint="eastAsia"/>
        </w:rPr>
        <w:t>對</w:t>
      </w:r>
      <w:r w:rsidR="00FB1B7D" w:rsidRPr="00FB1B7D">
        <w:rPr>
          <w:rFonts w:hint="eastAsia"/>
        </w:rPr>
        <w:t>跨院系跨領域學習</w:t>
      </w:r>
      <w:r w:rsidR="001760FA">
        <w:rPr>
          <w:rFonts w:hint="eastAsia"/>
        </w:rPr>
        <w:t>人數</w:t>
      </w:r>
      <w:r w:rsidR="00FB1B7D" w:rsidRPr="00FB1B7D">
        <w:rPr>
          <w:rFonts w:hint="eastAsia"/>
        </w:rPr>
        <w:t>仍</w:t>
      </w:r>
      <w:r w:rsidR="00286B5A">
        <w:rPr>
          <w:rFonts w:hint="eastAsia"/>
        </w:rPr>
        <w:t>待提升</w:t>
      </w:r>
      <w:r w:rsidR="00BE5F0B" w:rsidRPr="00FB1B7D">
        <w:rPr>
          <w:rFonts w:hint="eastAsia"/>
        </w:rPr>
        <w:t>，允宜</w:t>
      </w:r>
      <w:r w:rsidR="0079712A" w:rsidRPr="00FB1B7D">
        <w:rPr>
          <w:rFonts w:hint="eastAsia"/>
        </w:rPr>
        <w:t>強化課程規劃之輔導與宣</w:t>
      </w:r>
      <w:r w:rsidR="00286B5A">
        <w:rPr>
          <w:rFonts w:hint="eastAsia"/>
        </w:rPr>
        <w:t>導</w:t>
      </w:r>
      <w:r w:rsidR="0079712A" w:rsidRPr="00FB1B7D">
        <w:rPr>
          <w:rFonts w:hint="eastAsia"/>
        </w:rPr>
        <w:t>，</w:t>
      </w:r>
      <w:r w:rsidR="00E67D38">
        <w:rPr>
          <w:rFonts w:hint="eastAsia"/>
        </w:rPr>
        <w:t>以</w:t>
      </w:r>
      <w:r w:rsidR="00B0294D">
        <w:rPr>
          <w:rFonts w:hint="eastAsia"/>
        </w:rPr>
        <w:t>培育跨領域人才</w:t>
      </w:r>
      <w:bookmarkEnd w:id="3"/>
    </w:p>
    <w:p w:rsidR="00E13E8D" w:rsidRDefault="00F152D2" w:rsidP="00E13E8D">
      <w:pPr>
        <w:ind w:left="566" w:firstLine="566"/>
      </w:pPr>
      <w:r>
        <w:rPr>
          <w:rFonts w:hint="eastAsia"/>
        </w:rPr>
        <w:t>臺灣大學1</w:t>
      </w:r>
      <w:r>
        <w:t>14</w:t>
      </w:r>
      <w:r>
        <w:rPr>
          <w:rFonts w:hint="eastAsia"/>
        </w:rPr>
        <w:t>年度</w:t>
      </w:r>
      <w:r w:rsidR="00C52825">
        <w:rPr>
          <w:rFonts w:hint="eastAsia"/>
        </w:rPr>
        <w:t>預算案「教學研究及訓輔成本」編列9</w:t>
      </w:r>
      <w:r w:rsidR="00C52825">
        <w:t>6</w:t>
      </w:r>
      <w:r w:rsidR="00C52825">
        <w:rPr>
          <w:rFonts w:hint="eastAsia"/>
        </w:rPr>
        <w:t>億1</w:t>
      </w:r>
      <w:r w:rsidR="00C52825">
        <w:t>,528</w:t>
      </w:r>
      <w:r w:rsidR="00C52825">
        <w:rPr>
          <w:rFonts w:hint="eastAsia"/>
        </w:rPr>
        <w:t>萬4千元，預計「教學訓輔」</w:t>
      </w:r>
      <w:r w:rsidR="00B50B43">
        <w:rPr>
          <w:rFonts w:hint="eastAsia"/>
        </w:rPr>
        <w:t>人數</w:t>
      </w:r>
      <w:r w:rsidR="00C52825">
        <w:rPr>
          <w:rFonts w:hint="eastAsia"/>
        </w:rPr>
        <w:t>3萬5</w:t>
      </w:r>
      <w:r w:rsidR="00C52825">
        <w:t>,643</w:t>
      </w:r>
      <w:r w:rsidR="00C52825">
        <w:rPr>
          <w:rFonts w:hint="eastAsia"/>
        </w:rPr>
        <w:t>人</w:t>
      </w:r>
      <w:r w:rsidR="00B50B43">
        <w:rPr>
          <w:rFonts w:hint="eastAsia"/>
        </w:rPr>
        <w:t>，均較1</w:t>
      </w:r>
      <w:r w:rsidR="00B50B43">
        <w:t>13</w:t>
      </w:r>
      <w:r w:rsidR="00B50B43">
        <w:rPr>
          <w:rFonts w:hint="eastAsia"/>
        </w:rPr>
        <w:t>年度預算案數8</w:t>
      </w:r>
      <w:r w:rsidR="00B50B43">
        <w:t>8</w:t>
      </w:r>
      <w:r w:rsidR="00B50B43">
        <w:rPr>
          <w:rFonts w:hint="eastAsia"/>
        </w:rPr>
        <w:t>億8</w:t>
      </w:r>
      <w:r w:rsidR="00B50B43">
        <w:t>,310</w:t>
      </w:r>
      <w:r w:rsidR="00B50B43">
        <w:rPr>
          <w:rFonts w:hint="eastAsia"/>
        </w:rPr>
        <w:t>萬7千元及3萬4</w:t>
      </w:r>
      <w:r w:rsidR="00B50B43">
        <w:t>,682</w:t>
      </w:r>
      <w:r w:rsidR="00B50B43">
        <w:rPr>
          <w:rFonts w:hint="eastAsia"/>
        </w:rPr>
        <w:t>人增加</w:t>
      </w:r>
      <w:r w:rsidR="00C52825">
        <w:rPr>
          <w:rFonts w:hint="eastAsia"/>
        </w:rPr>
        <w:t>，該校1</w:t>
      </w:r>
      <w:r w:rsidR="00C52825">
        <w:t>14</w:t>
      </w:r>
      <w:r w:rsidR="00C52825">
        <w:rPr>
          <w:rFonts w:hint="eastAsia"/>
        </w:rPr>
        <w:t>年度</w:t>
      </w:r>
      <w:r w:rsidR="00D61EEF">
        <w:rPr>
          <w:rFonts w:hint="eastAsia"/>
        </w:rPr>
        <w:t>於</w:t>
      </w:r>
      <w:r>
        <w:rPr>
          <w:rFonts w:hint="eastAsia"/>
        </w:rPr>
        <w:t>教學</w:t>
      </w:r>
      <w:r w:rsidR="00D61EEF">
        <w:rPr>
          <w:rFonts w:hint="eastAsia"/>
        </w:rPr>
        <w:t>之業務計畫</w:t>
      </w:r>
      <w:r>
        <w:rPr>
          <w:rFonts w:hint="eastAsia"/>
        </w:rPr>
        <w:t>，其中「教學創新，深化教學內涵」除強化基礎共同教育、精進通識教育、溝通表</w:t>
      </w:r>
      <w:r w:rsidR="00D43B9E">
        <w:rPr>
          <w:rFonts w:hint="eastAsia"/>
        </w:rPr>
        <w:t>達與職涯發展課程、落實固本深化、跨域創新之學習架構等措施外，</w:t>
      </w:r>
      <w:r>
        <w:rPr>
          <w:rFonts w:hint="eastAsia"/>
        </w:rPr>
        <w:t>自1</w:t>
      </w:r>
      <w:r>
        <w:t>11</w:t>
      </w:r>
      <w:r>
        <w:rPr>
          <w:rFonts w:hint="eastAsia"/>
        </w:rPr>
        <w:t>學年度起陸</w:t>
      </w:r>
      <w:r>
        <w:rPr>
          <w:rFonts w:hint="eastAsia"/>
        </w:rPr>
        <w:lastRenderedPageBreak/>
        <w:t>續推動校學士及院學士。經查：</w:t>
      </w:r>
    </w:p>
    <w:p w:rsidR="00F152D2" w:rsidRDefault="00F152D2" w:rsidP="00F152D2">
      <w:pPr>
        <w:pStyle w:val="a4"/>
        <w:ind w:left="849" w:hanging="283"/>
      </w:pPr>
      <w:r>
        <w:rPr>
          <w:rFonts w:hint="eastAsia"/>
        </w:rPr>
        <w:t>(一)</w:t>
      </w:r>
      <w:r w:rsidR="000E5E38">
        <w:rPr>
          <w:rFonts w:hint="eastAsia"/>
        </w:rPr>
        <w:t>校學士及院學士制度規劃概述</w:t>
      </w:r>
    </w:p>
    <w:p w:rsidR="00F152D2" w:rsidRDefault="000E5E38" w:rsidP="000E5E38">
      <w:pPr>
        <w:pStyle w:val="123"/>
        <w:ind w:left="1133" w:hanging="283"/>
      </w:pPr>
      <w:r w:rsidRPr="000E5E38">
        <w:rPr>
          <w:rFonts w:hint="eastAsia"/>
          <w:b/>
        </w:rPr>
        <w:t>1</w:t>
      </w:r>
      <w:r w:rsidRPr="000E5E38">
        <w:rPr>
          <w:b/>
        </w:rPr>
        <w:t>.</w:t>
      </w:r>
      <w:r w:rsidRPr="000E5E38">
        <w:rPr>
          <w:rFonts w:hint="eastAsia"/>
          <w:b/>
        </w:rPr>
        <w:t>校學士</w:t>
      </w:r>
      <w:r>
        <w:rPr>
          <w:rFonts w:hint="eastAsia"/>
        </w:rPr>
        <w:t>：為推展未來大學，推動多元教學型態，並發展以學習者為中心之學習模式與制度，</w:t>
      </w:r>
      <w:r w:rsidR="00D43B9E">
        <w:rPr>
          <w:rFonts w:hint="eastAsia"/>
        </w:rPr>
        <w:t>臺灣大學</w:t>
      </w:r>
      <w:r>
        <w:rPr>
          <w:rFonts w:hint="eastAsia"/>
        </w:rPr>
        <w:t>111年通過「院學士學位暨校學士學位設置準則」，共同教育中心於同年度啟動「校學士學位」申請，鼓勵學士班學生依照自身興趣或生涯規劃，透過跨領域適性探索自組學習架構，突破現行學科框架，以雙主修形式修讀實習、實作或專題課程，以及至少4個完整且非單一學院之領域專長、學分學程或跨域專長等，實踐並開拓多元跨域範疇，培育具創造力之跨域人才。</w:t>
      </w:r>
      <w:r w:rsidR="002259F6">
        <w:rPr>
          <w:rFonts w:hint="eastAsia"/>
        </w:rPr>
        <w:t>所需經費由高等教育深耕計畫及共同教育中心教學經常費項下支應。</w:t>
      </w:r>
    </w:p>
    <w:p w:rsidR="000E5E38" w:rsidRDefault="000E5E38" w:rsidP="000E5E38">
      <w:pPr>
        <w:pStyle w:val="123"/>
        <w:ind w:left="1133" w:hanging="283"/>
        <w:rPr>
          <w:rFonts w:hint="eastAsia"/>
        </w:rPr>
      </w:pPr>
      <w:r w:rsidRPr="000E5E38">
        <w:rPr>
          <w:rFonts w:hint="eastAsia"/>
          <w:b/>
        </w:rPr>
        <w:t>2</w:t>
      </w:r>
      <w:r w:rsidRPr="000E5E38">
        <w:rPr>
          <w:b/>
        </w:rPr>
        <w:t>.</w:t>
      </w:r>
      <w:r w:rsidRPr="000E5E38">
        <w:rPr>
          <w:rFonts w:hint="eastAsia"/>
          <w:b/>
        </w:rPr>
        <w:t>院學士</w:t>
      </w:r>
      <w:r>
        <w:rPr>
          <w:rFonts w:hint="eastAsia"/>
        </w:rPr>
        <w:t>：</w:t>
      </w:r>
      <w:r w:rsidR="0088752E">
        <w:rPr>
          <w:rFonts w:hint="eastAsia"/>
        </w:rPr>
        <w:t>在推動學習者為中心</w:t>
      </w:r>
      <w:r w:rsidR="00286B5A">
        <w:rPr>
          <w:rFonts w:hint="eastAsia"/>
        </w:rPr>
        <w:t>之</w:t>
      </w:r>
      <w:r w:rsidR="0088752E">
        <w:rPr>
          <w:rFonts w:hint="eastAsia"/>
        </w:rPr>
        <w:t>目標下，該校制定以「學院」為單位之「院學士制度」，由各學院提具計畫書及設置要點，經院務會議、行政會議及教務會議通過施行。院學士係以「領域專長」課程為基礎，課程包括學院指定必修科目及領域專長(或學分學程、跨域專長</w:t>
      </w:r>
      <w:r w:rsidR="0088752E">
        <w:t>)</w:t>
      </w:r>
      <w:r w:rsidR="0088752E">
        <w:rPr>
          <w:rFonts w:hint="eastAsia"/>
        </w:rPr>
        <w:t>作為應修科目，搭配輔導機制，使學生以雙主修形式在本學系以外，學習同一學院其他學系之課程，以嘗試學習更多不同領域課程。截至112學年度第2學期止，已有社會科學院、醫學院、工學院、生物資源暨農學院及生命科學院開辦院學士制度。</w:t>
      </w:r>
      <w:r w:rsidR="00313628" w:rsidRPr="00313628">
        <w:rPr>
          <w:rFonts w:hint="eastAsia"/>
        </w:rPr>
        <w:t>所需經費由高等教育深耕計畫</w:t>
      </w:r>
      <w:r w:rsidR="00313628">
        <w:rPr>
          <w:rFonts w:hint="eastAsia"/>
        </w:rPr>
        <w:t>補助設置院學士之學院。</w:t>
      </w:r>
    </w:p>
    <w:p w:rsidR="00E13E8D" w:rsidRPr="0079712A" w:rsidRDefault="00F152D2" w:rsidP="00F152D2">
      <w:pPr>
        <w:pStyle w:val="a4"/>
        <w:ind w:left="849" w:hanging="283"/>
      </w:pPr>
      <w:r w:rsidRPr="0079712A">
        <w:rPr>
          <w:rFonts w:hint="eastAsia"/>
        </w:rPr>
        <w:t>(二)</w:t>
      </w:r>
      <w:r w:rsidR="00BE5F0B" w:rsidRPr="0079712A">
        <w:rPr>
          <w:rFonts w:hint="eastAsia"/>
        </w:rPr>
        <w:t>校學士及部分院學士</w:t>
      </w:r>
      <w:r w:rsidR="00E76DFC">
        <w:rPr>
          <w:rFonts w:hint="eastAsia"/>
        </w:rPr>
        <w:t>修讀</w:t>
      </w:r>
      <w:r w:rsidR="00BE5F0B" w:rsidRPr="0079712A">
        <w:rPr>
          <w:rFonts w:hint="eastAsia"/>
        </w:rPr>
        <w:t>人數不高，且</w:t>
      </w:r>
      <w:r w:rsidR="00E76DFC">
        <w:rPr>
          <w:rFonts w:hint="eastAsia"/>
        </w:rPr>
        <w:t>輔系、雙主修</w:t>
      </w:r>
      <w:r w:rsidR="00BE5F0B" w:rsidRPr="0079712A">
        <w:rPr>
          <w:rFonts w:hint="eastAsia"/>
        </w:rPr>
        <w:t>核准比率</w:t>
      </w:r>
      <w:r w:rsidR="00171272">
        <w:rPr>
          <w:rFonts w:hint="eastAsia"/>
        </w:rPr>
        <w:t>低於</w:t>
      </w:r>
      <w:r w:rsidR="00BE5F0B" w:rsidRPr="0079712A">
        <w:rPr>
          <w:rFonts w:hint="eastAsia"/>
        </w:rPr>
        <w:t>5成，鑒於校務評鑑</w:t>
      </w:r>
      <w:r w:rsidR="00BF4313" w:rsidRPr="0079712A">
        <w:rPr>
          <w:rFonts w:hint="eastAsia"/>
        </w:rPr>
        <w:t>訪評意見</w:t>
      </w:r>
      <w:r w:rsidR="0079712A" w:rsidRPr="0079712A">
        <w:rPr>
          <w:rFonts w:hint="eastAsia"/>
        </w:rPr>
        <w:t>對設立跨院系跨領域學習之學位學程，仍有</w:t>
      </w:r>
      <w:r w:rsidR="00286B5A">
        <w:rPr>
          <w:rFonts w:hint="eastAsia"/>
        </w:rPr>
        <w:t>提升</w:t>
      </w:r>
      <w:r w:rsidR="0079712A" w:rsidRPr="0079712A">
        <w:rPr>
          <w:rFonts w:hint="eastAsia"/>
        </w:rPr>
        <w:t>空間</w:t>
      </w:r>
      <w:r w:rsidR="00BE5F0B" w:rsidRPr="0079712A">
        <w:rPr>
          <w:rFonts w:hint="eastAsia"/>
        </w:rPr>
        <w:t>，允宜</w:t>
      </w:r>
      <w:r w:rsidR="0079712A" w:rsidRPr="0079712A">
        <w:rPr>
          <w:rFonts w:hint="eastAsia"/>
        </w:rPr>
        <w:t>強化課程規劃之輔導與宣</w:t>
      </w:r>
      <w:r w:rsidR="00286B5A">
        <w:rPr>
          <w:rFonts w:hint="eastAsia"/>
        </w:rPr>
        <w:t>導</w:t>
      </w:r>
      <w:r w:rsidR="0079712A" w:rsidRPr="0079712A">
        <w:rPr>
          <w:rFonts w:hint="eastAsia"/>
        </w:rPr>
        <w:t>，以精進校</w:t>
      </w:r>
      <w:r w:rsidR="00E824EB">
        <w:rPr>
          <w:rFonts w:hint="eastAsia"/>
        </w:rPr>
        <w:t>、</w:t>
      </w:r>
      <w:r w:rsidR="0079712A" w:rsidRPr="0079712A">
        <w:rPr>
          <w:rFonts w:hint="eastAsia"/>
        </w:rPr>
        <w:t>院學士制度</w:t>
      </w:r>
    </w:p>
    <w:p w:rsidR="00F152D2" w:rsidRPr="0032098B" w:rsidRDefault="00C0412D" w:rsidP="00C0412D">
      <w:pPr>
        <w:pStyle w:val="123"/>
        <w:ind w:left="1133" w:hanging="283"/>
        <w:rPr>
          <w:color w:val="C00000"/>
        </w:rPr>
      </w:pPr>
      <w:r w:rsidRPr="00C0412D">
        <w:rPr>
          <w:rFonts w:hint="eastAsia"/>
          <w:b/>
        </w:rPr>
        <w:lastRenderedPageBreak/>
        <w:t>1</w:t>
      </w:r>
      <w:r w:rsidRPr="00C0412D">
        <w:rPr>
          <w:b/>
        </w:rPr>
        <w:t>.</w:t>
      </w:r>
      <w:r w:rsidR="0032098B" w:rsidRPr="00C0412D">
        <w:rPr>
          <w:rFonts w:hint="eastAsia"/>
          <w:b/>
        </w:rPr>
        <w:t>校學士</w:t>
      </w:r>
      <w:r w:rsidR="0032098B">
        <w:rPr>
          <w:rFonts w:hint="eastAsia"/>
          <w:b/>
        </w:rPr>
        <w:t>及院學士</w:t>
      </w:r>
      <w:r w:rsidR="00DA2750">
        <w:rPr>
          <w:rFonts w:hint="eastAsia"/>
          <w:b/>
        </w:rPr>
        <w:t>修讀人數尚待提升</w:t>
      </w:r>
      <w:r w:rsidRPr="004D1B93">
        <w:rPr>
          <w:rFonts w:hint="eastAsia"/>
        </w:rPr>
        <w:t>：1</w:t>
      </w:r>
      <w:r w:rsidRPr="004D1B93">
        <w:t>13</w:t>
      </w:r>
      <w:r w:rsidRPr="004D1B93">
        <w:rPr>
          <w:rFonts w:hint="eastAsia"/>
        </w:rPr>
        <w:t>學年度校學士修讀人數上限7</w:t>
      </w:r>
      <w:r w:rsidRPr="004D1B93">
        <w:t>0</w:t>
      </w:r>
      <w:r w:rsidRPr="004D1B93">
        <w:rPr>
          <w:rFonts w:hint="eastAsia"/>
        </w:rPr>
        <w:t>人，申請人數9</w:t>
      </w:r>
      <w:r w:rsidRPr="004D1B93">
        <w:t>6</w:t>
      </w:r>
      <w:r w:rsidRPr="004D1B93">
        <w:rPr>
          <w:rFonts w:hint="eastAsia"/>
        </w:rPr>
        <w:t>人</w:t>
      </w:r>
      <w:r w:rsidR="00C836A8">
        <w:rPr>
          <w:rFonts w:hint="eastAsia"/>
        </w:rPr>
        <w:t>雖較前2學年增加</w:t>
      </w:r>
      <w:r w:rsidRPr="004D1B93">
        <w:rPr>
          <w:rFonts w:hint="eastAsia"/>
        </w:rPr>
        <w:t>，</w:t>
      </w:r>
      <w:r w:rsidR="00C836A8">
        <w:rPr>
          <w:rFonts w:hint="eastAsia"/>
        </w:rPr>
        <w:t>惟</w:t>
      </w:r>
      <w:r w:rsidRPr="004D1B93">
        <w:rPr>
          <w:rFonts w:hint="eastAsia"/>
        </w:rPr>
        <w:t>核准4</w:t>
      </w:r>
      <w:r w:rsidRPr="004D1B93">
        <w:t>2</w:t>
      </w:r>
      <w:r w:rsidRPr="004D1B93">
        <w:rPr>
          <w:rFonts w:hint="eastAsia"/>
        </w:rPr>
        <w:t>人，核准申請比率</w:t>
      </w:r>
      <w:r w:rsidR="00C836A8">
        <w:rPr>
          <w:rFonts w:hint="eastAsia"/>
        </w:rPr>
        <w:t>僅</w:t>
      </w:r>
      <w:r w:rsidRPr="004D1B93">
        <w:rPr>
          <w:rFonts w:hint="eastAsia"/>
        </w:rPr>
        <w:t>4</w:t>
      </w:r>
      <w:r w:rsidRPr="004D1B93">
        <w:t>3.75%</w:t>
      </w:r>
      <w:r w:rsidR="00C1773E" w:rsidRPr="004D1B93">
        <w:rPr>
          <w:rFonts w:hint="eastAsia"/>
        </w:rPr>
        <w:t>，</w:t>
      </w:r>
      <w:r w:rsidR="00545667">
        <w:rPr>
          <w:rFonts w:hint="eastAsia"/>
        </w:rPr>
        <w:t>係自1</w:t>
      </w:r>
      <w:r w:rsidR="00545667">
        <w:t>11</w:t>
      </w:r>
      <w:r w:rsidR="00545667">
        <w:rPr>
          <w:rFonts w:hint="eastAsia"/>
        </w:rPr>
        <w:t>學年度以來最低，</w:t>
      </w:r>
      <w:r w:rsidR="00C836A8">
        <w:rPr>
          <w:rFonts w:hint="eastAsia"/>
        </w:rPr>
        <w:t>且</w:t>
      </w:r>
      <w:r w:rsidR="00545667">
        <w:rPr>
          <w:rFonts w:hint="eastAsia"/>
        </w:rPr>
        <w:t>核准人數與</w:t>
      </w:r>
      <w:r w:rsidR="00C1773E" w:rsidRPr="004D1B93">
        <w:rPr>
          <w:rFonts w:hint="eastAsia"/>
        </w:rPr>
        <w:t>修讀人數上限</w:t>
      </w:r>
      <w:r w:rsidR="00545667">
        <w:rPr>
          <w:rFonts w:hint="eastAsia"/>
        </w:rPr>
        <w:t>尚差</w:t>
      </w:r>
      <w:r w:rsidR="00C836A8">
        <w:rPr>
          <w:rFonts w:hint="eastAsia"/>
        </w:rPr>
        <w:t>2</w:t>
      </w:r>
      <w:r w:rsidR="00C836A8">
        <w:t>8</w:t>
      </w:r>
      <w:r w:rsidR="00C836A8">
        <w:rPr>
          <w:rFonts w:hint="eastAsia"/>
        </w:rPr>
        <w:t>人</w:t>
      </w:r>
      <w:r w:rsidR="001E6286" w:rsidRPr="004D1B93">
        <w:rPr>
          <w:rFonts w:hint="eastAsia"/>
        </w:rPr>
        <w:t>。</w:t>
      </w:r>
      <w:r w:rsidR="00C836A8">
        <w:rPr>
          <w:rFonts w:hint="eastAsia"/>
        </w:rPr>
        <w:t>至</w:t>
      </w:r>
      <w:r w:rsidR="001E6286" w:rsidRPr="004D1B93">
        <w:rPr>
          <w:rFonts w:hint="eastAsia"/>
        </w:rPr>
        <w:t>院學士方面，1</w:t>
      </w:r>
      <w:r w:rsidR="001E6286" w:rsidRPr="004D1B93">
        <w:t>13</w:t>
      </w:r>
      <w:r w:rsidR="001E6286" w:rsidRPr="004D1B93">
        <w:rPr>
          <w:rFonts w:hint="eastAsia"/>
        </w:rPr>
        <w:t>學年度</w:t>
      </w:r>
      <w:r w:rsidR="00C1773E" w:rsidRPr="004D1B93">
        <w:rPr>
          <w:rFonts w:hint="eastAsia"/>
        </w:rPr>
        <w:t>除</w:t>
      </w:r>
      <w:r w:rsidR="001E6286" w:rsidRPr="004D1B93">
        <w:rPr>
          <w:rFonts w:hint="eastAsia"/>
        </w:rPr>
        <w:t>社會科學院</w:t>
      </w:r>
      <w:r w:rsidR="00C1773E" w:rsidRPr="004D1B93">
        <w:rPr>
          <w:rFonts w:hint="eastAsia"/>
        </w:rPr>
        <w:t>按修讀人數上限核准2</w:t>
      </w:r>
      <w:r w:rsidR="00C1773E" w:rsidRPr="004D1B93">
        <w:t>0</w:t>
      </w:r>
      <w:r w:rsidR="00C1773E" w:rsidRPr="004D1B93">
        <w:rPr>
          <w:rFonts w:hint="eastAsia"/>
        </w:rPr>
        <w:t>人外，醫學院、工學院、</w:t>
      </w:r>
      <w:r w:rsidR="001E6286" w:rsidRPr="004D1B93">
        <w:rPr>
          <w:rFonts w:hint="eastAsia"/>
        </w:rPr>
        <w:t>生物資源暨農學院</w:t>
      </w:r>
      <w:r w:rsidR="00C1773E" w:rsidRPr="004D1B93">
        <w:rPr>
          <w:rFonts w:hint="eastAsia"/>
        </w:rPr>
        <w:t>、生命科學院</w:t>
      </w:r>
      <w:r w:rsidR="001E6286" w:rsidRPr="004D1B93">
        <w:rPr>
          <w:rFonts w:hint="eastAsia"/>
        </w:rPr>
        <w:t>院學士</w:t>
      </w:r>
      <w:r w:rsidR="00C1773E" w:rsidRPr="004D1B93">
        <w:rPr>
          <w:rFonts w:hint="eastAsia"/>
        </w:rPr>
        <w:t>申請人數均</w:t>
      </w:r>
      <w:r w:rsidR="007E7F15">
        <w:rPr>
          <w:rFonts w:hint="eastAsia"/>
        </w:rPr>
        <w:t>低於</w:t>
      </w:r>
      <w:r w:rsidR="0092175D">
        <w:rPr>
          <w:rFonts w:hint="eastAsia"/>
        </w:rPr>
        <w:t>修讀人數上限</w:t>
      </w:r>
      <w:r w:rsidR="007E7F15">
        <w:rPr>
          <w:rFonts w:hint="eastAsia"/>
        </w:rPr>
        <w:t>，例如生物資源暨農學院修讀人數上限3</w:t>
      </w:r>
      <w:r w:rsidR="007E7F15">
        <w:t>5</w:t>
      </w:r>
      <w:r w:rsidR="007E7F15">
        <w:rPr>
          <w:rFonts w:hint="eastAsia"/>
        </w:rPr>
        <w:t>人，僅5人申請(占比1</w:t>
      </w:r>
      <w:r w:rsidR="007E7F15">
        <w:t>4.29%)</w:t>
      </w:r>
      <w:r w:rsidR="007E7F15">
        <w:rPr>
          <w:rFonts w:hint="eastAsia"/>
        </w:rPr>
        <w:t>，核准1人(核准比率2</w:t>
      </w:r>
      <w:r w:rsidR="007E7F15">
        <w:t>0%</w:t>
      </w:r>
      <w:r w:rsidR="007E7F15">
        <w:rPr>
          <w:rFonts w:hint="eastAsia"/>
        </w:rPr>
        <w:t>，</w:t>
      </w:r>
      <w:r w:rsidR="004D1B93">
        <w:rPr>
          <w:rFonts w:hint="eastAsia"/>
        </w:rPr>
        <w:t>詳表1</w:t>
      </w:r>
      <w:r w:rsidR="004D1B93">
        <w:t>)</w:t>
      </w:r>
      <w:r w:rsidR="001E6286" w:rsidRPr="004D1B93">
        <w:rPr>
          <w:rFonts w:hint="eastAsia"/>
        </w:rPr>
        <w:t>。</w:t>
      </w:r>
      <w:r w:rsidRPr="004D1B93">
        <w:rPr>
          <w:rFonts w:hint="eastAsia"/>
        </w:rPr>
        <w:t>允宜分析</w:t>
      </w:r>
      <w:r w:rsidR="004D1B93">
        <w:rPr>
          <w:rFonts w:hint="eastAsia"/>
        </w:rPr>
        <w:t>校</w:t>
      </w:r>
      <w:r w:rsidR="000A75B0">
        <w:rPr>
          <w:rFonts w:hint="eastAsia"/>
        </w:rPr>
        <w:t>學士</w:t>
      </w:r>
      <w:r w:rsidR="009C0165">
        <w:rPr>
          <w:rFonts w:hint="eastAsia"/>
        </w:rPr>
        <w:t>核准申請比率偏低、</w:t>
      </w:r>
      <w:r w:rsidR="000A75B0">
        <w:rPr>
          <w:rFonts w:hint="eastAsia"/>
        </w:rPr>
        <w:t>部分</w:t>
      </w:r>
      <w:r w:rsidR="004D1B93">
        <w:rPr>
          <w:rFonts w:hint="eastAsia"/>
        </w:rPr>
        <w:t>院學士</w:t>
      </w:r>
      <w:r w:rsidR="004D1B93" w:rsidRPr="004D1B93">
        <w:rPr>
          <w:rFonts w:hint="eastAsia"/>
        </w:rPr>
        <w:t>申請人數不高，及</w:t>
      </w:r>
      <w:r w:rsidRPr="004D1B93">
        <w:rPr>
          <w:rFonts w:hint="eastAsia"/>
        </w:rPr>
        <w:t>計畫書未</w:t>
      </w:r>
      <w:r w:rsidR="004D1B93" w:rsidRPr="004D1B93">
        <w:rPr>
          <w:rFonts w:hint="eastAsia"/>
        </w:rPr>
        <w:t>通過</w:t>
      </w:r>
      <w:r w:rsidRPr="004D1B93">
        <w:rPr>
          <w:rFonts w:hint="eastAsia"/>
        </w:rPr>
        <w:t>審查原因，並</w:t>
      </w:r>
      <w:r w:rsidR="009C0165">
        <w:rPr>
          <w:rFonts w:hint="eastAsia"/>
        </w:rPr>
        <w:t>檢討</w:t>
      </w:r>
      <w:r w:rsidRPr="004D1B93">
        <w:rPr>
          <w:rFonts w:hint="eastAsia"/>
        </w:rPr>
        <w:t>強化課程規劃之輔導，以協助學生跨域學習。</w:t>
      </w:r>
    </w:p>
    <w:p w:rsidR="00313628" w:rsidRDefault="00313628" w:rsidP="00A77B07">
      <w:pPr>
        <w:pStyle w:val="21"/>
        <w:ind w:leftChars="-50" w:left="850" w:hangingChars="350" w:hanging="992"/>
        <w:rPr>
          <w:rFonts w:hint="eastAsia"/>
        </w:rPr>
      </w:pPr>
      <w:r w:rsidRPr="00313628">
        <w:rPr>
          <w:rFonts w:hint="eastAsia"/>
          <w:b/>
        </w:rPr>
        <w:t>表1</w:t>
      </w:r>
      <w:r w:rsidRPr="00313628">
        <w:rPr>
          <w:b/>
        </w:rPr>
        <w:t xml:space="preserve">  </w:t>
      </w:r>
      <w:r w:rsidR="00286B5A">
        <w:rPr>
          <w:rFonts w:hint="eastAsia"/>
          <w:b/>
        </w:rPr>
        <w:t>臺灣大學</w:t>
      </w:r>
      <w:r w:rsidRPr="00313628">
        <w:rPr>
          <w:rFonts w:hint="eastAsia"/>
          <w:b/>
        </w:rPr>
        <w:t>校學士及院學士修讀情形概況表</w:t>
      </w:r>
      <w:r w:rsidR="00A77B07">
        <w:t xml:space="preserve"> </w:t>
      </w:r>
      <w:r>
        <w:t xml:space="preserve"> </w:t>
      </w:r>
      <w:r w:rsidR="00AD0C24">
        <w:t xml:space="preserve"> </w:t>
      </w:r>
      <w:r>
        <w:t xml:space="preserve">   </w:t>
      </w:r>
      <w:r w:rsidR="00C0412D">
        <w:t xml:space="preserve"> </w:t>
      </w:r>
      <w:r w:rsidR="007140A9">
        <w:t xml:space="preserve"> </w:t>
      </w:r>
      <w:r>
        <w:t xml:space="preserve">   </w:t>
      </w:r>
      <w:r w:rsidRPr="00313628">
        <w:rPr>
          <w:rFonts w:hint="eastAsia"/>
          <w:sz w:val="24"/>
          <w:szCs w:val="24"/>
        </w:rPr>
        <w:t>單位：人</w:t>
      </w:r>
      <w:r w:rsidR="00C0412D">
        <w:rPr>
          <w:rFonts w:hint="eastAsia"/>
          <w:sz w:val="24"/>
          <w:szCs w:val="24"/>
        </w:rPr>
        <w:t>；%</w:t>
      </w:r>
    </w:p>
    <w:tbl>
      <w:tblPr>
        <w:tblW w:w="864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1559"/>
        <w:gridCol w:w="1417"/>
        <w:gridCol w:w="1371"/>
        <w:gridCol w:w="1323"/>
        <w:gridCol w:w="1275"/>
      </w:tblGrid>
      <w:tr w:rsidR="007E7F15" w:rsidRPr="0089516C" w:rsidTr="007E7F15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類別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學年度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修讀人數上限</w:t>
            </w:r>
            <w:r w:rsidRPr="0089516C">
              <w:rPr>
                <w:b/>
              </w:rPr>
              <w:t>[A]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申請人數[</w:t>
            </w:r>
            <w:r w:rsidRPr="0089516C">
              <w:rPr>
                <w:b/>
              </w:rPr>
              <w:t>B]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核准人數[</w:t>
            </w:r>
            <w:r w:rsidRPr="0089516C">
              <w:rPr>
                <w:b/>
              </w:rPr>
              <w:t>C]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E7F15" w:rsidRPr="0089516C" w:rsidRDefault="007E7F15" w:rsidP="00034502">
            <w:pPr>
              <w:pStyle w:val="141"/>
              <w:ind w:leftChars="-3" w:left="-8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核准比率[</w:t>
            </w:r>
            <w:r w:rsidRPr="0089516C">
              <w:rPr>
                <w:b/>
              </w:rPr>
              <w:t>C/B]</w:t>
            </w:r>
          </w:p>
        </w:tc>
      </w:tr>
      <w:tr w:rsidR="007E7F15" w:rsidTr="007E7F15">
        <w:tc>
          <w:tcPr>
            <w:tcW w:w="993" w:type="dxa"/>
            <w:vMerge w:val="restart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校學士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校學士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0.00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559" w:type="dxa"/>
            <w:vMerge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4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6.41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559" w:type="dxa"/>
            <w:vMerge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3.75</w:t>
            </w:r>
          </w:p>
        </w:tc>
      </w:tr>
      <w:tr w:rsidR="007E7F15" w:rsidTr="007E7F15">
        <w:tc>
          <w:tcPr>
            <w:tcW w:w="993" w:type="dxa"/>
            <w:vMerge w:val="restart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院學士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工學院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5.00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生命科學院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8.33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社會科學院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醫學院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6.67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工學院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5.00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生物資源暨農學院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E7F15" w:rsidRDefault="007E7F15" w:rsidP="0045762D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0.00</w:t>
            </w:r>
          </w:p>
        </w:tc>
      </w:tr>
      <w:tr w:rsidR="007E7F15" w:rsidTr="007E7F15">
        <w:tc>
          <w:tcPr>
            <w:tcW w:w="993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shd w:val="clear" w:color="auto" w:fill="auto"/>
          </w:tcPr>
          <w:p w:rsidR="007E7F15" w:rsidRDefault="007E7F15" w:rsidP="007140A9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生命科學院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7E7F15" w:rsidRDefault="007E7F15" w:rsidP="0003450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</w:tr>
    </w:tbl>
    <w:p w:rsidR="0045762D" w:rsidRDefault="0045762D" w:rsidP="00976181">
      <w:pPr>
        <w:pStyle w:val="141"/>
        <w:ind w:leftChars="-51" w:left="992" w:rightChars="-50" w:right="-142" w:hangingChars="467" w:hanging="1136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13</w:t>
      </w:r>
      <w:r>
        <w:rPr>
          <w:rFonts w:hint="eastAsia"/>
        </w:rPr>
        <w:t>學年度社會科學院院學士因申請人數超逾修讀人數上限，故未計列核准比率。</w:t>
      </w:r>
    </w:p>
    <w:p w:rsidR="00313628" w:rsidRDefault="00C41C4E" w:rsidP="00AC655C">
      <w:pPr>
        <w:pStyle w:val="141"/>
        <w:ind w:leftChars="-51" w:left="992" w:hangingChars="467" w:hanging="1136"/>
        <w:rPr>
          <w:rFonts w:hint="eastAsia"/>
        </w:rPr>
      </w:pPr>
      <w:r>
        <w:rPr>
          <w:rFonts w:hint="eastAsia"/>
        </w:rPr>
        <w:t>資料來源：臺灣大學。</w:t>
      </w:r>
    </w:p>
    <w:p w:rsidR="00037025" w:rsidRPr="002F7652" w:rsidRDefault="00037025" w:rsidP="00037025">
      <w:pPr>
        <w:pStyle w:val="123"/>
        <w:ind w:left="1133" w:hanging="283"/>
        <w:rPr>
          <w:rFonts w:hint="eastAsia"/>
        </w:rPr>
      </w:pPr>
      <w:r w:rsidRPr="002F7652">
        <w:rPr>
          <w:b/>
        </w:rPr>
        <w:t>2.</w:t>
      </w:r>
      <w:r w:rsidR="002F7652">
        <w:rPr>
          <w:b/>
        </w:rPr>
        <w:t>111</w:t>
      </w:r>
      <w:r w:rsidR="002F7652">
        <w:rPr>
          <w:rFonts w:hint="eastAsia"/>
          <w:b/>
        </w:rPr>
        <w:t>至1</w:t>
      </w:r>
      <w:r w:rsidR="002F7652">
        <w:rPr>
          <w:b/>
        </w:rPr>
        <w:t>13</w:t>
      </w:r>
      <w:r w:rsidR="002F7652">
        <w:rPr>
          <w:rFonts w:hint="eastAsia"/>
          <w:b/>
        </w:rPr>
        <w:t>學年度</w:t>
      </w:r>
      <w:r w:rsidRPr="002F7652">
        <w:rPr>
          <w:rFonts w:hint="eastAsia"/>
          <w:b/>
        </w:rPr>
        <w:t>輔系與雙主修</w:t>
      </w:r>
      <w:r w:rsidR="002F7652">
        <w:rPr>
          <w:rFonts w:hint="eastAsia"/>
          <w:b/>
        </w:rPr>
        <w:t>核准比率均低於5</w:t>
      </w:r>
      <w:r w:rsidR="002F7652">
        <w:rPr>
          <w:b/>
        </w:rPr>
        <w:t>0%</w:t>
      </w:r>
      <w:r w:rsidR="00BF4313" w:rsidRPr="002F7652">
        <w:rPr>
          <w:rFonts w:hint="eastAsia"/>
        </w:rPr>
        <w:t>：</w:t>
      </w:r>
      <w:r w:rsidR="00B04DE4" w:rsidRPr="002F7652">
        <w:rPr>
          <w:rFonts w:hint="eastAsia"/>
        </w:rPr>
        <w:t>臺灣大學</w:t>
      </w:r>
      <w:r w:rsidR="0034226D" w:rsidRPr="002F7652">
        <w:rPr>
          <w:rFonts w:hint="eastAsia"/>
        </w:rPr>
        <w:t>1</w:t>
      </w:r>
      <w:r w:rsidR="0034226D" w:rsidRPr="002F7652">
        <w:t>13</w:t>
      </w:r>
      <w:r w:rsidR="0034226D" w:rsidRPr="002F7652">
        <w:rPr>
          <w:rFonts w:hint="eastAsia"/>
        </w:rPr>
        <w:t>學年度申請輔系1</w:t>
      </w:r>
      <w:r w:rsidR="0034226D" w:rsidRPr="002F7652">
        <w:t>,163</w:t>
      </w:r>
      <w:r w:rsidR="0034226D" w:rsidRPr="002F7652">
        <w:rPr>
          <w:rFonts w:hint="eastAsia"/>
        </w:rPr>
        <w:t>人較1</w:t>
      </w:r>
      <w:r w:rsidR="0034226D" w:rsidRPr="002F7652">
        <w:t>11</w:t>
      </w:r>
      <w:r w:rsidR="0034226D" w:rsidRPr="002F7652">
        <w:rPr>
          <w:rFonts w:hint="eastAsia"/>
        </w:rPr>
        <w:t>及1</w:t>
      </w:r>
      <w:r w:rsidR="0034226D" w:rsidRPr="002F7652">
        <w:t>12</w:t>
      </w:r>
      <w:r w:rsidR="0034226D" w:rsidRPr="002F7652">
        <w:rPr>
          <w:rFonts w:hint="eastAsia"/>
        </w:rPr>
        <w:t>學年度減少，核准修讀輔系比率3</w:t>
      </w:r>
      <w:r w:rsidR="0034226D" w:rsidRPr="002F7652">
        <w:t>7.49%</w:t>
      </w:r>
      <w:r w:rsidR="0034226D" w:rsidRPr="002F7652">
        <w:rPr>
          <w:rFonts w:hint="eastAsia"/>
        </w:rPr>
        <w:t>亦低於1</w:t>
      </w:r>
      <w:r w:rsidR="0034226D" w:rsidRPr="002F7652">
        <w:t>12</w:t>
      </w:r>
      <w:r w:rsidR="0034226D" w:rsidRPr="002F7652">
        <w:rPr>
          <w:rFonts w:hint="eastAsia"/>
        </w:rPr>
        <w:t>學年度。</w:t>
      </w:r>
      <w:r w:rsidR="00B04DE4" w:rsidRPr="002F7652">
        <w:rPr>
          <w:rFonts w:hint="eastAsia"/>
        </w:rPr>
        <w:t>1</w:t>
      </w:r>
      <w:r w:rsidR="00B04DE4" w:rsidRPr="002F7652">
        <w:t>13</w:t>
      </w:r>
      <w:r w:rsidR="000C7CA8" w:rsidRPr="002F7652">
        <w:rPr>
          <w:rFonts w:hint="eastAsia"/>
        </w:rPr>
        <w:t>學年度申請雙主修1</w:t>
      </w:r>
      <w:r w:rsidR="000C7CA8" w:rsidRPr="002F7652">
        <w:t>,406</w:t>
      </w:r>
      <w:r w:rsidR="000C7CA8" w:rsidRPr="002F7652">
        <w:rPr>
          <w:rFonts w:hint="eastAsia"/>
        </w:rPr>
        <w:t>人雖</w:t>
      </w:r>
      <w:r w:rsidR="00B04DE4" w:rsidRPr="002F7652">
        <w:rPr>
          <w:rFonts w:hint="eastAsia"/>
        </w:rPr>
        <w:t>較1</w:t>
      </w:r>
      <w:r w:rsidR="00B04DE4" w:rsidRPr="002F7652">
        <w:t>11</w:t>
      </w:r>
      <w:r w:rsidR="00B04DE4" w:rsidRPr="002F7652">
        <w:rPr>
          <w:rFonts w:hint="eastAsia"/>
        </w:rPr>
        <w:t>及1</w:t>
      </w:r>
      <w:r w:rsidR="00B04DE4" w:rsidRPr="002F7652">
        <w:t>12</w:t>
      </w:r>
      <w:r w:rsidR="00B04DE4" w:rsidRPr="002F7652">
        <w:rPr>
          <w:rFonts w:hint="eastAsia"/>
        </w:rPr>
        <w:t>學年度增加</w:t>
      </w:r>
      <w:r w:rsidR="000C7CA8" w:rsidRPr="002F7652">
        <w:rPr>
          <w:rFonts w:hint="eastAsia"/>
        </w:rPr>
        <w:t>，惟核准</w:t>
      </w:r>
      <w:r w:rsidR="0034226D">
        <w:rPr>
          <w:rFonts w:hint="eastAsia"/>
        </w:rPr>
        <w:t>修</w:t>
      </w:r>
      <w:r w:rsidR="000C7CA8" w:rsidRPr="002F7652">
        <w:rPr>
          <w:rFonts w:hint="eastAsia"/>
        </w:rPr>
        <w:t>讀雙主修5</w:t>
      </w:r>
      <w:r w:rsidR="000C7CA8" w:rsidRPr="002F7652">
        <w:t>70</w:t>
      </w:r>
      <w:r w:rsidR="000C7CA8" w:rsidRPr="002F7652">
        <w:rPr>
          <w:rFonts w:hint="eastAsia"/>
        </w:rPr>
        <w:t>人，比率4</w:t>
      </w:r>
      <w:r w:rsidR="000C7CA8" w:rsidRPr="002F7652">
        <w:t>0.54%</w:t>
      </w:r>
      <w:r w:rsidR="00B04DE4" w:rsidRPr="002F7652">
        <w:rPr>
          <w:rFonts w:hint="eastAsia"/>
        </w:rPr>
        <w:t>，</w:t>
      </w:r>
      <w:r w:rsidR="000C7CA8" w:rsidRPr="002F7652">
        <w:rPr>
          <w:rFonts w:hint="eastAsia"/>
        </w:rPr>
        <w:t>較1</w:t>
      </w:r>
      <w:r w:rsidR="000C7CA8" w:rsidRPr="002F7652">
        <w:t>12</w:t>
      </w:r>
      <w:r w:rsidR="000C7CA8" w:rsidRPr="002F7652">
        <w:rPr>
          <w:rFonts w:hint="eastAsia"/>
        </w:rPr>
        <w:t>學年度降低</w:t>
      </w:r>
      <w:r w:rsidR="0034226D" w:rsidRPr="002F7652">
        <w:rPr>
          <w:rFonts w:hint="eastAsia"/>
        </w:rPr>
        <w:t>，近3學年</w:t>
      </w:r>
      <w:r w:rsidR="0034226D" w:rsidRPr="002F7652">
        <w:rPr>
          <w:rFonts w:hint="eastAsia"/>
        </w:rPr>
        <w:lastRenderedPageBreak/>
        <w:t>度核准修讀輔系及雙主修比率均低於5</w:t>
      </w:r>
      <w:r w:rsidR="0034226D" w:rsidRPr="002F7652">
        <w:t>0%</w:t>
      </w:r>
      <w:r w:rsidR="0034226D" w:rsidRPr="002F7652">
        <w:rPr>
          <w:rFonts w:hint="eastAsia"/>
        </w:rPr>
        <w:t xml:space="preserve"> </w:t>
      </w:r>
      <w:r w:rsidR="00B04DE4" w:rsidRPr="002F7652">
        <w:rPr>
          <w:rFonts w:hint="eastAsia"/>
        </w:rPr>
        <w:t>(詳表2</w:t>
      </w:r>
      <w:r w:rsidR="00B04DE4" w:rsidRPr="002F7652">
        <w:t>)</w:t>
      </w:r>
      <w:r w:rsidR="00B04DE4" w:rsidRPr="002F7652">
        <w:rPr>
          <w:rFonts w:hint="eastAsia"/>
        </w:rPr>
        <w:t>。</w:t>
      </w:r>
    </w:p>
    <w:p w:rsidR="00BF4313" w:rsidRDefault="00BF4313" w:rsidP="00A77B07">
      <w:pPr>
        <w:pStyle w:val="21"/>
        <w:ind w:leftChars="-50" w:left="850" w:hangingChars="350" w:hanging="992"/>
        <w:rPr>
          <w:rFonts w:hint="eastAsia"/>
          <w:b/>
        </w:rPr>
      </w:pPr>
      <w:r>
        <w:rPr>
          <w:rFonts w:hint="eastAsia"/>
          <w:b/>
        </w:rPr>
        <w:t>表2</w:t>
      </w:r>
      <w:r>
        <w:rPr>
          <w:b/>
        </w:rPr>
        <w:t xml:space="preserve">  </w:t>
      </w:r>
      <w:r w:rsidR="00286B5A">
        <w:rPr>
          <w:rFonts w:hint="eastAsia"/>
          <w:b/>
        </w:rPr>
        <w:t>臺灣大學</w:t>
      </w:r>
      <w:r w:rsidR="002258F2">
        <w:rPr>
          <w:rFonts w:hint="eastAsia"/>
          <w:b/>
        </w:rPr>
        <w:t>輔系與雙主修申請及核准人數概況表</w:t>
      </w:r>
      <w:r w:rsidR="002258F2">
        <w:rPr>
          <w:b/>
        </w:rPr>
        <w:t xml:space="preserve">       </w:t>
      </w:r>
      <w:r w:rsidR="002258F2" w:rsidRPr="002258F2">
        <w:rPr>
          <w:rFonts w:hint="eastAsia"/>
          <w:sz w:val="24"/>
          <w:szCs w:val="24"/>
        </w:rPr>
        <w:t>單位：人</w:t>
      </w:r>
      <w:r w:rsidR="000A6768" w:rsidRPr="000A6768">
        <w:rPr>
          <w:rFonts w:hint="eastAsia"/>
          <w:sz w:val="24"/>
          <w:szCs w:val="24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2976"/>
        <w:gridCol w:w="1494"/>
        <w:gridCol w:w="1494"/>
        <w:gridCol w:w="1495"/>
      </w:tblGrid>
      <w:tr w:rsidR="002258F2" w:rsidRPr="0089516C" w:rsidTr="00E67D38">
        <w:trPr>
          <w:tblHeader/>
        </w:trPr>
        <w:tc>
          <w:tcPr>
            <w:tcW w:w="4077" w:type="dxa"/>
            <w:gridSpan w:val="2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258F2" w:rsidRPr="0089516C" w:rsidRDefault="002258F2" w:rsidP="00605D03">
            <w:pPr>
              <w:pStyle w:val="141"/>
              <w:jc w:val="right"/>
              <w:rPr>
                <w:b/>
              </w:rPr>
            </w:pPr>
            <w:r w:rsidRPr="0089516C">
              <w:rPr>
                <w:rFonts w:hint="eastAsia"/>
                <w:b/>
              </w:rPr>
              <w:t>學年度</w:t>
            </w:r>
          </w:p>
          <w:p w:rsidR="002258F2" w:rsidRPr="0089516C" w:rsidRDefault="002258F2" w:rsidP="002258F2">
            <w:pPr>
              <w:pStyle w:val="141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類別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Pr="0089516C" w:rsidRDefault="002258F2" w:rsidP="00605D03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1</w:t>
            </w:r>
            <w:r w:rsidRPr="0089516C">
              <w:rPr>
                <w:b/>
              </w:rPr>
              <w:t>11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Pr="0089516C" w:rsidRDefault="002258F2" w:rsidP="00605D03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1</w:t>
            </w:r>
            <w:r w:rsidRPr="0089516C">
              <w:rPr>
                <w:b/>
              </w:rPr>
              <w:t>12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258F2" w:rsidRPr="0089516C" w:rsidRDefault="002258F2" w:rsidP="00605D03">
            <w:pPr>
              <w:pStyle w:val="141"/>
              <w:jc w:val="center"/>
              <w:rPr>
                <w:rFonts w:hint="eastAsia"/>
                <w:b/>
              </w:rPr>
            </w:pPr>
            <w:r w:rsidRPr="0089516C">
              <w:rPr>
                <w:rFonts w:hint="eastAsia"/>
                <w:b/>
              </w:rPr>
              <w:t>1</w:t>
            </w:r>
            <w:r w:rsidRPr="0089516C">
              <w:rPr>
                <w:b/>
              </w:rPr>
              <w:t>13</w:t>
            </w:r>
          </w:p>
        </w:tc>
      </w:tr>
      <w:tr w:rsidR="00E67D38" w:rsidTr="009A66F1">
        <w:tc>
          <w:tcPr>
            <w:tcW w:w="110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輔系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本系生有申請輔系</w:t>
            </w:r>
            <w:r w:rsidR="00CF0A46">
              <w:rPr>
                <w:rFonts w:hint="eastAsia"/>
              </w:rPr>
              <w:t>[</w:t>
            </w:r>
            <w:r w:rsidR="00CF0A46">
              <w:t>A]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,409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,250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,163</w:t>
            </w:r>
          </w:p>
        </w:tc>
      </w:tr>
      <w:tr w:rsidR="00E67D38" w:rsidTr="009A66F1">
        <w:tc>
          <w:tcPr>
            <w:tcW w:w="1101" w:type="dxa"/>
            <w:vMerge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本系學生核准修讀輔系</w:t>
            </w:r>
            <w:r w:rsidR="00CF0A46">
              <w:rPr>
                <w:rFonts w:hint="eastAsia"/>
              </w:rPr>
              <w:t>[</w:t>
            </w:r>
            <w:r w:rsidR="00CF0A46">
              <w:t>B]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01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36</w:t>
            </w:r>
          </w:p>
        </w:tc>
      </w:tr>
      <w:tr w:rsidR="00E67D38" w:rsidTr="009A66F1">
        <w:tc>
          <w:tcPr>
            <w:tcW w:w="1101" w:type="dxa"/>
            <w:vMerge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核准比率</w:t>
            </w:r>
            <w:r w:rsidR="00CF0A46">
              <w:rPr>
                <w:rFonts w:hint="eastAsia"/>
              </w:rPr>
              <w:t>[</w:t>
            </w:r>
            <w:r w:rsidR="00CF0A46">
              <w:t>B/A]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6.12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0.08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67D38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7.49</w:t>
            </w:r>
          </w:p>
        </w:tc>
      </w:tr>
      <w:tr w:rsidR="002258F2" w:rsidTr="009A66F1">
        <w:tc>
          <w:tcPr>
            <w:tcW w:w="1101" w:type="dxa"/>
            <w:vMerge w:val="restart"/>
            <w:shd w:val="clear" w:color="auto" w:fill="auto"/>
            <w:vAlign w:val="center"/>
          </w:tcPr>
          <w:p w:rsidR="002258F2" w:rsidRDefault="002258F2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雙主修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258F2" w:rsidRDefault="002258F2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本系生有申請雙</w:t>
            </w:r>
            <w:r w:rsidR="00E67D38">
              <w:rPr>
                <w:rFonts w:hint="eastAsia"/>
              </w:rPr>
              <w:t>主</w:t>
            </w:r>
            <w:r>
              <w:rPr>
                <w:rFonts w:hint="eastAsia"/>
              </w:rPr>
              <w:t>修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,399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,312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,406</w:t>
            </w:r>
          </w:p>
        </w:tc>
      </w:tr>
      <w:tr w:rsidR="002258F2" w:rsidTr="009A66F1">
        <w:tc>
          <w:tcPr>
            <w:tcW w:w="1101" w:type="dxa"/>
            <w:vMerge/>
            <w:shd w:val="clear" w:color="auto" w:fill="auto"/>
            <w:vAlign w:val="center"/>
          </w:tcPr>
          <w:p w:rsidR="002258F2" w:rsidRDefault="002258F2" w:rsidP="00605D0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258F2" w:rsidRDefault="002258F2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本系學生核准修讀雙</w:t>
            </w:r>
            <w:r w:rsidR="00E67D38">
              <w:rPr>
                <w:rFonts w:hint="eastAsia"/>
              </w:rPr>
              <w:t>主</w:t>
            </w:r>
            <w:r>
              <w:rPr>
                <w:rFonts w:hint="eastAsia"/>
              </w:rPr>
              <w:t>修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t>539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258F2" w:rsidRDefault="00A34DEE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70</w:t>
            </w:r>
          </w:p>
        </w:tc>
      </w:tr>
      <w:tr w:rsidR="002258F2" w:rsidTr="009A66F1">
        <w:tc>
          <w:tcPr>
            <w:tcW w:w="1101" w:type="dxa"/>
            <w:vMerge/>
            <w:shd w:val="clear" w:color="auto" w:fill="auto"/>
            <w:vAlign w:val="center"/>
          </w:tcPr>
          <w:p w:rsidR="002258F2" w:rsidRDefault="002258F2" w:rsidP="00605D0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258F2" w:rsidRDefault="00E67D38" w:rsidP="00605D0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核准比率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6.10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258F2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1.08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258F2" w:rsidRDefault="00E67D38" w:rsidP="00605D0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0.54</w:t>
            </w:r>
          </w:p>
        </w:tc>
      </w:tr>
    </w:tbl>
    <w:p w:rsidR="00BF4313" w:rsidRDefault="002258F2" w:rsidP="00BF4313">
      <w:pPr>
        <w:pStyle w:val="141"/>
        <w:rPr>
          <w:rFonts w:hint="eastAsia"/>
        </w:rPr>
      </w:pPr>
      <w:r w:rsidRPr="002258F2">
        <w:rPr>
          <w:rFonts w:hint="eastAsia"/>
        </w:rPr>
        <w:t>資料來源：臺灣大學。</w:t>
      </w:r>
    </w:p>
    <w:p w:rsidR="00F152D2" w:rsidRDefault="00037025" w:rsidP="00037025">
      <w:pPr>
        <w:pStyle w:val="123"/>
        <w:ind w:left="1133" w:hanging="283"/>
        <w:rPr>
          <w:rFonts w:hint="eastAsia"/>
        </w:rPr>
      </w:pPr>
      <w:r w:rsidRPr="00BF4313">
        <w:rPr>
          <w:b/>
        </w:rPr>
        <w:t>3</w:t>
      </w:r>
      <w:r w:rsidR="004D1B93" w:rsidRPr="00BF4313">
        <w:rPr>
          <w:b/>
        </w:rPr>
        <w:t>.</w:t>
      </w:r>
      <w:r w:rsidR="00BA44AF" w:rsidRPr="00BF4313">
        <w:rPr>
          <w:rFonts w:hint="eastAsia"/>
          <w:b/>
        </w:rPr>
        <w:t>大學校務評鑑</w:t>
      </w:r>
      <w:r w:rsidR="00242291">
        <w:rPr>
          <w:rFonts w:hint="eastAsia"/>
          <w:b/>
        </w:rPr>
        <w:t>對</w:t>
      </w:r>
      <w:r w:rsidR="00E64EE2">
        <w:rPr>
          <w:rFonts w:hint="eastAsia"/>
          <w:b/>
        </w:rPr>
        <w:t>該校</w:t>
      </w:r>
      <w:r w:rsidR="00E64EE2" w:rsidRPr="00E64EE2">
        <w:rPr>
          <w:rFonts w:hint="eastAsia"/>
          <w:b/>
        </w:rPr>
        <w:t>跨院系跨領域學習之學位學程，仍有</w:t>
      </w:r>
      <w:r w:rsidR="00EC7182">
        <w:rPr>
          <w:rFonts w:hint="eastAsia"/>
          <w:b/>
        </w:rPr>
        <w:t>提升</w:t>
      </w:r>
      <w:r w:rsidR="00E64EE2" w:rsidRPr="00E64EE2">
        <w:rPr>
          <w:rFonts w:hint="eastAsia"/>
          <w:b/>
        </w:rPr>
        <w:t>空間</w:t>
      </w:r>
      <w:r>
        <w:rPr>
          <w:rFonts w:hint="eastAsia"/>
        </w:rPr>
        <w:t>：</w:t>
      </w:r>
      <w:r w:rsidR="00242291">
        <w:rPr>
          <w:rFonts w:hint="eastAsia"/>
        </w:rPr>
        <w:t>據最近一次大學校務評鑑</w:t>
      </w:r>
      <w:r w:rsidR="00242291">
        <w:rPr>
          <w:rStyle w:val="af2"/>
        </w:rPr>
        <w:footnoteReference w:id="2"/>
      </w:r>
      <w:r w:rsidR="001172CF">
        <w:rPr>
          <w:rFonts w:hint="eastAsia"/>
        </w:rPr>
        <w:t>之</w:t>
      </w:r>
      <w:r w:rsidR="00242291">
        <w:rPr>
          <w:rFonts w:hint="eastAsia"/>
        </w:rPr>
        <w:t>「辦學成效」項目</w:t>
      </w:r>
      <w:r w:rsidR="001172CF">
        <w:rPr>
          <w:rFonts w:hint="eastAsia"/>
        </w:rPr>
        <w:t>，對臺灣大學</w:t>
      </w:r>
      <w:r w:rsidR="00242291">
        <w:rPr>
          <w:rFonts w:hint="eastAsia"/>
        </w:rPr>
        <w:t>所提訪評意見略以，</w:t>
      </w:r>
      <w:r>
        <w:rPr>
          <w:rFonts w:hint="eastAsia"/>
        </w:rPr>
        <w:t>學生修讀雙主修及輔系人數每年超過1</w:t>
      </w:r>
      <w:r>
        <w:t>,300</w:t>
      </w:r>
      <w:r>
        <w:rPr>
          <w:rFonts w:hint="eastAsia"/>
        </w:rPr>
        <w:t>人，顯現學生對跨域學習之殷切性，該校在因應快速變動科技與就業市場，設立跨院系跨領域學習之學位學程，仍有</w:t>
      </w:r>
      <w:r w:rsidR="00EC7182">
        <w:rPr>
          <w:rFonts w:hint="eastAsia"/>
        </w:rPr>
        <w:t>提升</w:t>
      </w:r>
      <w:r>
        <w:rPr>
          <w:rFonts w:hint="eastAsia"/>
        </w:rPr>
        <w:t>空間。雖經該校申復後，仍維持原訪評意見。</w:t>
      </w:r>
    </w:p>
    <w:p w:rsidR="00F152D2" w:rsidRDefault="00BF4313" w:rsidP="0079712A">
      <w:pPr>
        <w:ind w:left="566" w:firstLine="566"/>
      </w:pPr>
      <w:r>
        <w:rPr>
          <w:rFonts w:hint="eastAsia"/>
        </w:rPr>
        <w:t>綜上，</w:t>
      </w:r>
      <w:r w:rsidR="0079712A" w:rsidRPr="0079712A">
        <w:rPr>
          <w:rFonts w:hint="eastAsia"/>
        </w:rPr>
        <w:t>臺灣大學114年度預算案「教學研究及訓輔成本」編列96億1,528萬4千元，該校114年度業務計畫在教學方面</w:t>
      </w:r>
      <w:r w:rsidR="0079712A">
        <w:rPr>
          <w:rFonts w:hint="eastAsia"/>
        </w:rPr>
        <w:t>持續推動校</w:t>
      </w:r>
      <w:r w:rsidR="00EC7182">
        <w:rPr>
          <w:rFonts w:hint="eastAsia"/>
        </w:rPr>
        <w:t>、</w:t>
      </w:r>
      <w:r w:rsidR="0079712A">
        <w:rPr>
          <w:rFonts w:hint="eastAsia"/>
        </w:rPr>
        <w:t>院學士</w:t>
      </w:r>
      <w:r w:rsidR="00EC7182">
        <w:rPr>
          <w:rFonts w:hint="eastAsia"/>
        </w:rPr>
        <w:t>制度</w:t>
      </w:r>
      <w:r w:rsidR="0079712A">
        <w:rPr>
          <w:rFonts w:hint="eastAsia"/>
        </w:rPr>
        <w:t>，惟</w:t>
      </w:r>
      <w:r w:rsidR="0079712A" w:rsidRPr="0079712A">
        <w:rPr>
          <w:rFonts w:hint="eastAsia"/>
        </w:rPr>
        <w:t>校學士及部分院學士</w:t>
      </w:r>
      <w:r w:rsidR="00E64EE2">
        <w:rPr>
          <w:rFonts w:hint="eastAsia"/>
        </w:rPr>
        <w:t>修讀</w:t>
      </w:r>
      <w:r w:rsidR="0079712A" w:rsidRPr="0079712A">
        <w:rPr>
          <w:rFonts w:hint="eastAsia"/>
        </w:rPr>
        <w:t>人數不高，且</w:t>
      </w:r>
      <w:r w:rsidR="00E64EE2">
        <w:rPr>
          <w:rFonts w:hint="eastAsia"/>
        </w:rPr>
        <w:t>輔系、雙主修</w:t>
      </w:r>
      <w:r w:rsidR="0079712A" w:rsidRPr="0079712A">
        <w:rPr>
          <w:rFonts w:hint="eastAsia"/>
        </w:rPr>
        <w:t>核准比率</w:t>
      </w:r>
      <w:r w:rsidR="00E64EE2">
        <w:rPr>
          <w:rFonts w:hint="eastAsia"/>
        </w:rPr>
        <w:t>低於</w:t>
      </w:r>
      <w:r w:rsidR="0079712A" w:rsidRPr="0079712A">
        <w:rPr>
          <w:rFonts w:hint="eastAsia"/>
        </w:rPr>
        <w:t>5成，</w:t>
      </w:r>
      <w:r w:rsidR="0079712A">
        <w:rPr>
          <w:rFonts w:hint="eastAsia"/>
        </w:rPr>
        <w:t>鑒於</w:t>
      </w:r>
      <w:r w:rsidR="0079712A" w:rsidRPr="0079712A">
        <w:rPr>
          <w:rFonts w:hint="eastAsia"/>
        </w:rPr>
        <w:t>校務評鑑訪評意見</w:t>
      </w:r>
      <w:r w:rsidR="0079712A">
        <w:rPr>
          <w:rFonts w:hint="eastAsia"/>
        </w:rPr>
        <w:t>對該校</w:t>
      </w:r>
      <w:r w:rsidR="0079712A" w:rsidRPr="0079712A">
        <w:rPr>
          <w:rFonts w:hint="eastAsia"/>
        </w:rPr>
        <w:t>跨院系跨領域學習之學位學程，仍有</w:t>
      </w:r>
      <w:r w:rsidR="00EC7182">
        <w:rPr>
          <w:rFonts w:hint="eastAsia"/>
        </w:rPr>
        <w:t>提升</w:t>
      </w:r>
      <w:r w:rsidR="0079712A" w:rsidRPr="0079712A">
        <w:rPr>
          <w:rFonts w:hint="eastAsia"/>
        </w:rPr>
        <w:t>空間</w:t>
      </w:r>
      <w:r w:rsidR="007102FC">
        <w:rPr>
          <w:rFonts w:hint="eastAsia"/>
        </w:rPr>
        <w:t>，</w:t>
      </w:r>
      <w:r w:rsidR="0079712A">
        <w:rPr>
          <w:rFonts w:hint="eastAsia"/>
        </w:rPr>
        <w:t>允宜檢討</w:t>
      </w:r>
      <w:r w:rsidR="0079712A" w:rsidRPr="0079712A">
        <w:rPr>
          <w:rFonts w:hint="eastAsia"/>
        </w:rPr>
        <w:t>校</w:t>
      </w:r>
      <w:r w:rsidR="00E64EE2">
        <w:rPr>
          <w:rFonts w:hint="eastAsia"/>
        </w:rPr>
        <w:t>、</w:t>
      </w:r>
      <w:r w:rsidR="0079712A" w:rsidRPr="0079712A">
        <w:rPr>
          <w:rFonts w:hint="eastAsia"/>
        </w:rPr>
        <w:t>院學士</w:t>
      </w:r>
      <w:r w:rsidR="00E64EE2">
        <w:rPr>
          <w:rFonts w:hint="eastAsia"/>
        </w:rPr>
        <w:t>修讀</w:t>
      </w:r>
      <w:r w:rsidR="0079712A" w:rsidRPr="0079712A">
        <w:rPr>
          <w:rFonts w:hint="eastAsia"/>
        </w:rPr>
        <w:t>人數不高，及計畫書未通過審查原因，並強化課程規劃之輔導</w:t>
      </w:r>
      <w:r w:rsidR="0079712A">
        <w:rPr>
          <w:rFonts w:hint="eastAsia"/>
        </w:rPr>
        <w:t>與宣</w:t>
      </w:r>
      <w:r w:rsidR="00EC7182">
        <w:rPr>
          <w:rFonts w:hint="eastAsia"/>
        </w:rPr>
        <w:t>導</w:t>
      </w:r>
      <w:r w:rsidR="0079712A" w:rsidRPr="0079712A">
        <w:rPr>
          <w:rFonts w:hint="eastAsia"/>
        </w:rPr>
        <w:t>，</w:t>
      </w:r>
      <w:r w:rsidR="0079712A">
        <w:rPr>
          <w:rFonts w:hint="eastAsia"/>
        </w:rPr>
        <w:t>精進校</w:t>
      </w:r>
      <w:r w:rsidR="00E64EE2">
        <w:rPr>
          <w:rFonts w:hint="eastAsia"/>
        </w:rPr>
        <w:t>、</w:t>
      </w:r>
      <w:r w:rsidR="0079712A">
        <w:rPr>
          <w:rFonts w:hint="eastAsia"/>
        </w:rPr>
        <w:t>院學士</w:t>
      </w:r>
      <w:r w:rsidR="00E64EE2">
        <w:rPr>
          <w:rFonts w:hint="eastAsia"/>
        </w:rPr>
        <w:t>及輔系、雙主修制度</w:t>
      </w:r>
      <w:r w:rsidR="0079712A">
        <w:rPr>
          <w:rFonts w:hint="eastAsia"/>
        </w:rPr>
        <w:t>，</w:t>
      </w:r>
      <w:r w:rsidR="0079712A" w:rsidRPr="0079712A">
        <w:rPr>
          <w:rFonts w:hint="eastAsia"/>
        </w:rPr>
        <w:t>以</w:t>
      </w:r>
      <w:r w:rsidR="007102FC">
        <w:rPr>
          <w:rFonts w:hint="eastAsia"/>
        </w:rPr>
        <w:t>培育</w:t>
      </w:r>
      <w:r w:rsidR="0079712A" w:rsidRPr="0079712A">
        <w:rPr>
          <w:rFonts w:hint="eastAsia"/>
        </w:rPr>
        <w:t>跨</w:t>
      </w:r>
      <w:r w:rsidR="007102FC">
        <w:rPr>
          <w:rFonts w:hint="eastAsia"/>
        </w:rPr>
        <w:t>領</w:t>
      </w:r>
      <w:r w:rsidR="0079712A" w:rsidRPr="0079712A">
        <w:rPr>
          <w:rFonts w:hint="eastAsia"/>
        </w:rPr>
        <w:t>域</w:t>
      </w:r>
      <w:r w:rsidR="007102FC">
        <w:rPr>
          <w:rFonts w:hint="eastAsia"/>
        </w:rPr>
        <w:t>人才</w:t>
      </w:r>
      <w:r w:rsidR="0079712A" w:rsidRPr="0079712A">
        <w:rPr>
          <w:rFonts w:hint="eastAsia"/>
        </w:rPr>
        <w:t>。</w:t>
      </w:r>
    </w:p>
    <w:bookmarkEnd w:id="1"/>
    <w:bookmarkEnd w:id="2"/>
    <w:sectPr w:rsidR="00F152D2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FB2EAC" w:rsidRDefault="00FB2EAC" w:rsidP="00FB2EAC">
    <w:pPr>
      <w:pStyle w:val="ae"/>
      <w:tabs>
        <w:tab w:val="clear" w:pos="4153"/>
        <w:tab w:val="clear" w:pos="8306"/>
      </w:tabs>
      <w:ind w:leftChars="0" w:left="7" w:firstLineChars="3" w:firstLine="6"/>
      <w:jc w:val="center"/>
      <w:rPr>
        <w:rFonts w:hint="eastAsia"/>
      </w:rPr>
    </w:pPr>
    <w:r>
      <w:rPr>
        <w:rFonts w:hint="eastAsia"/>
      </w:rPr>
      <w:t>1</w:t>
    </w:r>
    <w:r>
      <w:t>40-</w:t>
    </w:r>
    <w:r>
      <w:fldChar w:fldCharType="begin"/>
    </w:r>
    <w:r>
      <w:instrText>PAGE   \* MERGEFORMAT</w:instrText>
    </w:r>
    <w:r>
      <w:fldChar w:fldCharType="separate"/>
    </w:r>
    <w:r w:rsidR="00CE2FE1" w:rsidRPr="00CE2FE1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C53" w:rsidRDefault="004E1C5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E1C53" w:rsidRDefault="004E1C5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0B6E2D" w:rsidRDefault="000B6E2D" w:rsidP="000B6E2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B6E2D">
        <w:rPr>
          <w:rFonts w:hint="eastAsia"/>
        </w:rPr>
        <w:t>113年度預算案迄113年9月30日尚未完成法定三讀(以下同)。</w:t>
      </w:r>
    </w:p>
  </w:footnote>
  <w:footnote w:id="2">
    <w:p w:rsidR="00242291" w:rsidRPr="00BA44AF" w:rsidRDefault="00242291" w:rsidP="0024229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最近一次校務評鑑係</w:t>
      </w:r>
      <w:r>
        <w:t>107</w:t>
      </w:r>
      <w:r>
        <w:rPr>
          <w:rFonts w:hint="eastAsia"/>
        </w:rPr>
        <w:t>年度下半年第二週期。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8035AD"/>
    <w:multiLevelType w:val="hybridMultilevel"/>
    <w:tmpl w:val="E67CABDA"/>
    <w:lvl w:ilvl="0" w:tplc="31C0F9C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8A"/>
    <w:rsid w:val="000045AD"/>
    <w:rsid w:val="00004AB7"/>
    <w:rsid w:val="00006F89"/>
    <w:rsid w:val="00007439"/>
    <w:rsid w:val="000129A0"/>
    <w:rsid w:val="00014A8A"/>
    <w:rsid w:val="00014F10"/>
    <w:rsid w:val="000168F6"/>
    <w:rsid w:val="0002003F"/>
    <w:rsid w:val="00021AB5"/>
    <w:rsid w:val="00022E08"/>
    <w:rsid w:val="00025B10"/>
    <w:rsid w:val="00034502"/>
    <w:rsid w:val="00035322"/>
    <w:rsid w:val="00037025"/>
    <w:rsid w:val="000401F8"/>
    <w:rsid w:val="00041589"/>
    <w:rsid w:val="000419CA"/>
    <w:rsid w:val="000422C8"/>
    <w:rsid w:val="000446A8"/>
    <w:rsid w:val="0004506C"/>
    <w:rsid w:val="00047E18"/>
    <w:rsid w:val="00052672"/>
    <w:rsid w:val="00054033"/>
    <w:rsid w:val="0005483B"/>
    <w:rsid w:val="00057B2D"/>
    <w:rsid w:val="00061D54"/>
    <w:rsid w:val="000620D8"/>
    <w:rsid w:val="00066D03"/>
    <w:rsid w:val="0007067B"/>
    <w:rsid w:val="0007377D"/>
    <w:rsid w:val="000748C1"/>
    <w:rsid w:val="00075DBD"/>
    <w:rsid w:val="00080BA6"/>
    <w:rsid w:val="00081E33"/>
    <w:rsid w:val="00082A6C"/>
    <w:rsid w:val="00082B77"/>
    <w:rsid w:val="00084BBE"/>
    <w:rsid w:val="000870B7"/>
    <w:rsid w:val="00090FE1"/>
    <w:rsid w:val="00094E1F"/>
    <w:rsid w:val="000A193B"/>
    <w:rsid w:val="000A1BD3"/>
    <w:rsid w:val="000A1C92"/>
    <w:rsid w:val="000A2E12"/>
    <w:rsid w:val="000A45CC"/>
    <w:rsid w:val="000A66EF"/>
    <w:rsid w:val="000A6768"/>
    <w:rsid w:val="000A75B0"/>
    <w:rsid w:val="000B19F9"/>
    <w:rsid w:val="000B3A78"/>
    <w:rsid w:val="000B4AD1"/>
    <w:rsid w:val="000B5ED8"/>
    <w:rsid w:val="000B6335"/>
    <w:rsid w:val="000B6423"/>
    <w:rsid w:val="000B6E2D"/>
    <w:rsid w:val="000C49DD"/>
    <w:rsid w:val="000C5986"/>
    <w:rsid w:val="000C71AD"/>
    <w:rsid w:val="000C7CA8"/>
    <w:rsid w:val="000D3975"/>
    <w:rsid w:val="000D3C4B"/>
    <w:rsid w:val="000D4B7A"/>
    <w:rsid w:val="000D4C41"/>
    <w:rsid w:val="000E05B0"/>
    <w:rsid w:val="000E09A6"/>
    <w:rsid w:val="000E2134"/>
    <w:rsid w:val="000E5E38"/>
    <w:rsid w:val="000E706F"/>
    <w:rsid w:val="000E7374"/>
    <w:rsid w:val="000F0149"/>
    <w:rsid w:val="000F0F95"/>
    <w:rsid w:val="000F2276"/>
    <w:rsid w:val="000F3DEB"/>
    <w:rsid w:val="000F6CD7"/>
    <w:rsid w:val="001055C3"/>
    <w:rsid w:val="001070BE"/>
    <w:rsid w:val="00110AA9"/>
    <w:rsid w:val="00110D08"/>
    <w:rsid w:val="00111C16"/>
    <w:rsid w:val="001125B9"/>
    <w:rsid w:val="001172CF"/>
    <w:rsid w:val="00117AB6"/>
    <w:rsid w:val="00120E1D"/>
    <w:rsid w:val="00121252"/>
    <w:rsid w:val="00121315"/>
    <w:rsid w:val="00123610"/>
    <w:rsid w:val="00123BBA"/>
    <w:rsid w:val="00124AAD"/>
    <w:rsid w:val="001275BD"/>
    <w:rsid w:val="001277C9"/>
    <w:rsid w:val="0013050C"/>
    <w:rsid w:val="001364A1"/>
    <w:rsid w:val="001415C1"/>
    <w:rsid w:val="00143276"/>
    <w:rsid w:val="00144C04"/>
    <w:rsid w:val="0014727D"/>
    <w:rsid w:val="00150E3D"/>
    <w:rsid w:val="00153C94"/>
    <w:rsid w:val="0015458A"/>
    <w:rsid w:val="00160132"/>
    <w:rsid w:val="00162DC3"/>
    <w:rsid w:val="0016390C"/>
    <w:rsid w:val="00163F71"/>
    <w:rsid w:val="00164325"/>
    <w:rsid w:val="00164B67"/>
    <w:rsid w:val="001651AF"/>
    <w:rsid w:val="00166944"/>
    <w:rsid w:val="00167CED"/>
    <w:rsid w:val="001711DE"/>
    <w:rsid w:val="00171272"/>
    <w:rsid w:val="00171DFB"/>
    <w:rsid w:val="00172AB7"/>
    <w:rsid w:val="001741C7"/>
    <w:rsid w:val="001760FA"/>
    <w:rsid w:val="001777EF"/>
    <w:rsid w:val="00177F7A"/>
    <w:rsid w:val="0018037F"/>
    <w:rsid w:val="0018064A"/>
    <w:rsid w:val="001811BB"/>
    <w:rsid w:val="00181BD7"/>
    <w:rsid w:val="00181F17"/>
    <w:rsid w:val="0018260D"/>
    <w:rsid w:val="00182FB3"/>
    <w:rsid w:val="00183CE3"/>
    <w:rsid w:val="00186A27"/>
    <w:rsid w:val="00187A65"/>
    <w:rsid w:val="00187A86"/>
    <w:rsid w:val="00190641"/>
    <w:rsid w:val="00192154"/>
    <w:rsid w:val="00192624"/>
    <w:rsid w:val="00192C47"/>
    <w:rsid w:val="00193D71"/>
    <w:rsid w:val="001940DA"/>
    <w:rsid w:val="001972A2"/>
    <w:rsid w:val="001976CC"/>
    <w:rsid w:val="001A42D0"/>
    <w:rsid w:val="001A4D22"/>
    <w:rsid w:val="001A612C"/>
    <w:rsid w:val="001A64D9"/>
    <w:rsid w:val="001B132A"/>
    <w:rsid w:val="001B2039"/>
    <w:rsid w:val="001B20BE"/>
    <w:rsid w:val="001B2527"/>
    <w:rsid w:val="001B2C3D"/>
    <w:rsid w:val="001B334F"/>
    <w:rsid w:val="001B3561"/>
    <w:rsid w:val="001B66DD"/>
    <w:rsid w:val="001B69C2"/>
    <w:rsid w:val="001C075D"/>
    <w:rsid w:val="001C176A"/>
    <w:rsid w:val="001C3F7B"/>
    <w:rsid w:val="001C4AF6"/>
    <w:rsid w:val="001C5467"/>
    <w:rsid w:val="001C6A2D"/>
    <w:rsid w:val="001C7436"/>
    <w:rsid w:val="001D4AF0"/>
    <w:rsid w:val="001D52DE"/>
    <w:rsid w:val="001D5680"/>
    <w:rsid w:val="001D7C92"/>
    <w:rsid w:val="001E1652"/>
    <w:rsid w:val="001E2D75"/>
    <w:rsid w:val="001E32D1"/>
    <w:rsid w:val="001E4AFE"/>
    <w:rsid w:val="001E6286"/>
    <w:rsid w:val="001F10B8"/>
    <w:rsid w:val="001F41B5"/>
    <w:rsid w:val="001F7985"/>
    <w:rsid w:val="001F7C01"/>
    <w:rsid w:val="002009DF"/>
    <w:rsid w:val="00201C37"/>
    <w:rsid w:val="002023AD"/>
    <w:rsid w:val="0020338C"/>
    <w:rsid w:val="00203B16"/>
    <w:rsid w:val="00203B3E"/>
    <w:rsid w:val="002069BB"/>
    <w:rsid w:val="00206DC5"/>
    <w:rsid w:val="00207909"/>
    <w:rsid w:val="002105D5"/>
    <w:rsid w:val="00211B6E"/>
    <w:rsid w:val="00211C95"/>
    <w:rsid w:val="00212DCD"/>
    <w:rsid w:val="0021476F"/>
    <w:rsid w:val="00215B35"/>
    <w:rsid w:val="0021635A"/>
    <w:rsid w:val="00220106"/>
    <w:rsid w:val="002206DD"/>
    <w:rsid w:val="00221E5D"/>
    <w:rsid w:val="00224951"/>
    <w:rsid w:val="002258F2"/>
    <w:rsid w:val="00225954"/>
    <w:rsid w:val="002259F6"/>
    <w:rsid w:val="00225EB8"/>
    <w:rsid w:val="00226AFB"/>
    <w:rsid w:val="00227394"/>
    <w:rsid w:val="002312B9"/>
    <w:rsid w:val="00231E30"/>
    <w:rsid w:val="00233438"/>
    <w:rsid w:val="0023402B"/>
    <w:rsid w:val="00234FAF"/>
    <w:rsid w:val="00242291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98E"/>
    <w:rsid w:val="00260DDF"/>
    <w:rsid w:val="00263BB5"/>
    <w:rsid w:val="0026607C"/>
    <w:rsid w:val="002669E9"/>
    <w:rsid w:val="00267126"/>
    <w:rsid w:val="002737F6"/>
    <w:rsid w:val="00275987"/>
    <w:rsid w:val="00277F4C"/>
    <w:rsid w:val="00280ED5"/>
    <w:rsid w:val="002813E1"/>
    <w:rsid w:val="002855B5"/>
    <w:rsid w:val="00286B5A"/>
    <w:rsid w:val="00286BE8"/>
    <w:rsid w:val="00287FCB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2B28"/>
    <w:rsid w:val="002A2B6D"/>
    <w:rsid w:val="002A528A"/>
    <w:rsid w:val="002A5571"/>
    <w:rsid w:val="002A6D99"/>
    <w:rsid w:val="002B21E3"/>
    <w:rsid w:val="002B2775"/>
    <w:rsid w:val="002B4C7F"/>
    <w:rsid w:val="002C086B"/>
    <w:rsid w:val="002C2915"/>
    <w:rsid w:val="002C4039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4EAD"/>
    <w:rsid w:val="002D6C39"/>
    <w:rsid w:val="002D760F"/>
    <w:rsid w:val="002E31AB"/>
    <w:rsid w:val="002E3D6C"/>
    <w:rsid w:val="002E3E56"/>
    <w:rsid w:val="002E415B"/>
    <w:rsid w:val="002E4E85"/>
    <w:rsid w:val="002E4FD7"/>
    <w:rsid w:val="002E5EDF"/>
    <w:rsid w:val="002E651E"/>
    <w:rsid w:val="002E6DE9"/>
    <w:rsid w:val="002E740D"/>
    <w:rsid w:val="002F00D0"/>
    <w:rsid w:val="002F1E1A"/>
    <w:rsid w:val="002F3024"/>
    <w:rsid w:val="002F4D48"/>
    <w:rsid w:val="002F5876"/>
    <w:rsid w:val="002F6920"/>
    <w:rsid w:val="002F6E25"/>
    <w:rsid w:val="002F7652"/>
    <w:rsid w:val="00302210"/>
    <w:rsid w:val="00302773"/>
    <w:rsid w:val="00304471"/>
    <w:rsid w:val="003044CD"/>
    <w:rsid w:val="003061F2"/>
    <w:rsid w:val="00306557"/>
    <w:rsid w:val="00307A66"/>
    <w:rsid w:val="00312F95"/>
    <w:rsid w:val="00313628"/>
    <w:rsid w:val="00313FD6"/>
    <w:rsid w:val="003152EC"/>
    <w:rsid w:val="00317FA6"/>
    <w:rsid w:val="0032098B"/>
    <w:rsid w:val="00320ED7"/>
    <w:rsid w:val="00320FF7"/>
    <w:rsid w:val="00321D9D"/>
    <w:rsid w:val="00322238"/>
    <w:rsid w:val="00330013"/>
    <w:rsid w:val="0033708B"/>
    <w:rsid w:val="00337804"/>
    <w:rsid w:val="0034226D"/>
    <w:rsid w:val="00342581"/>
    <w:rsid w:val="00343241"/>
    <w:rsid w:val="00343EF6"/>
    <w:rsid w:val="00344DC5"/>
    <w:rsid w:val="00344E0A"/>
    <w:rsid w:val="00345BC6"/>
    <w:rsid w:val="003471F7"/>
    <w:rsid w:val="00347F5C"/>
    <w:rsid w:val="00350B58"/>
    <w:rsid w:val="00351913"/>
    <w:rsid w:val="00351EE6"/>
    <w:rsid w:val="003521BC"/>
    <w:rsid w:val="00353740"/>
    <w:rsid w:val="0035582C"/>
    <w:rsid w:val="00356255"/>
    <w:rsid w:val="003616CB"/>
    <w:rsid w:val="0036546E"/>
    <w:rsid w:val="00366C7F"/>
    <w:rsid w:val="0036780D"/>
    <w:rsid w:val="003706CB"/>
    <w:rsid w:val="003708FD"/>
    <w:rsid w:val="00375FAB"/>
    <w:rsid w:val="00376489"/>
    <w:rsid w:val="0037687B"/>
    <w:rsid w:val="00376E27"/>
    <w:rsid w:val="0038562A"/>
    <w:rsid w:val="00385F63"/>
    <w:rsid w:val="00387260"/>
    <w:rsid w:val="00390522"/>
    <w:rsid w:val="00391EC6"/>
    <w:rsid w:val="00391FB3"/>
    <w:rsid w:val="00392D10"/>
    <w:rsid w:val="003946C8"/>
    <w:rsid w:val="00396907"/>
    <w:rsid w:val="00396CC4"/>
    <w:rsid w:val="003A0996"/>
    <w:rsid w:val="003A214B"/>
    <w:rsid w:val="003A26DF"/>
    <w:rsid w:val="003A5652"/>
    <w:rsid w:val="003A6AA8"/>
    <w:rsid w:val="003A7193"/>
    <w:rsid w:val="003A7489"/>
    <w:rsid w:val="003A7543"/>
    <w:rsid w:val="003B122D"/>
    <w:rsid w:val="003B2962"/>
    <w:rsid w:val="003B354A"/>
    <w:rsid w:val="003B3F00"/>
    <w:rsid w:val="003B40CC"/>
    <w:rsid w:val="003B66FF"/>
    <w:rsid w:val="003C11F4"/>
    <w:rsid w:val="003C12BA"/>
    <w:rsid w:val="003C228F"/>
    <w:rsid w:val="003C261E"/>
    <w:rsid w:val="003D0647"/>
    <w:rsid w:val="003D153B"/>
    <w:rsid w:val="003D2CB2"/>
    <w:rsid w:val="003D33F0"/>
    <w:rsid w:val="003E0B06"/>
    <w:rsid w:val="003E202B"/>
    <w:rsid w:val="003E28B7"/>
    <w:rsid w:val="003E3C86"/>
    <w:rsid w:val="003E6243"/>
    <w:rsid w:val="003F1702"/>
    <w:rsid w:val="003F629A"/>
    <w:rsid w:val="003F6616"/>
    <w:rsid w:val="0040272D"/>
    <w:rsid w:val="00402CA4"/>
    <w:rsid w:val="00402F69"/>
    <w:rsid w:val="004034D9"/>
    <w:rsid w:val="00404304"/>
    <w:rsid w:val="004052CA"/>
    <w:rsid w:val="00406C26"/>
    <w:rsid w:val="00406EA3"/>
    <w:rsid w:val="00406FF9"/>
    <w:rsid w:val="00410252"/>
    <w:rsid w:val="0041028B"/>
    <w:rsid w:val="004124CE"/>
    <w:rsid w:val="00414036"/>
    <w:rsid w:val="004143BD"/>
    <w:rsid w:val="00414699"/>
    <w:rsid w:val="00414B3B"/>
    <w:rsid w:val="00417D15"/>
    <w:rsid w:val="00423EE8"/>
    <w:rsid w:val="00425B18"/>
    <w:rsid w:val="00426EE3"/>
    <w:rsid w:val="00426F6C"/>
    <w:rsid w:val="00427EC5"/>
    <w:rsid w:val="00435292"/>
    <w:rsid w:val="00435B3C"/>
    <w:rsid w:val="0043704E"/>
    <w:rsid w:val="00440556"/>
    <w:rsid w:val="00442E0D"/>
    <w:rsid w:val="00443307"/>
    <w:rsid w:val="00446667"/>
    <w:rsid w:val="004472ED"/>
    <w:rsid w:val="004515EC"/>
    <w:rsid w:val="004523C0"/>
    <w:rsid w:val="004543C3"/>
    <w:rsid w:val="00456D3E"/>
    <w:rsid w:val="0045702A"/>
    <w:rsid w:val="00457406"/>
    <w:rsid w:val="0045762D"/>
    <w:rsid w:val="00457CAA"/>
    <w:rsid w:val="0046136F"/>
    <w:rsid w:val="0046214C"/>
    <w:rsid w:val="004679FB"/>
    <w:rsid w:val="00467EEF"/>
    <w:rsid w:val="0047088A"/>
    <w:rsid w:val="00472699"/>
    <w:rsid w:val="00473107"/>
    <w:rsid w:val="00473E7A"/>
    <w:rsid w:val="0047680F"/>
    <w:rsid w:val="00476AFA"/>
    <w:rsid w:val="0048585A"/>
    <w:rsid w:val="0048710E"/>
    <w:rsid w:val="00492144"/>
    <w:rsid w:val="00492A9B"/>
    <w:rsid w:val="00494394"/>
    <w:rsid w:val="004950A3"/>
    <w:rsid w:val="00497FBC"/>
    <w:rsid w:val="004A0797"/>
    <w:rsid w:val="004A07A3"/>
    <w:rsid w:val="004A1126"/>
    <w:rsid w:val="004A40F0"/>
    <w:rsid w:val="004A46A1"/>
    <w:rsid w:val="004A71A8"/>
    <w:rsid w:val="004A769A"/>
    <w:rsid w:val="004B220C"/>
    <w:rsid w:val="004B2FAC"/>
    <w:rsid w:val="004C184A"/>
    <w:rsid w:val="004C4A69"/>
    <w:rsid w:val="004D0879"/>
    <w:rsid w:val="004D1B93"/>
    <w:rsid w:val="004D29C6"/>
    <w:rsid w:val="004E180E"/>
    <w:rsid w:val="004E1C53"/>
    <w:rsid w:val="004E1DE0"/>
    <w:rsid w:val="004E231E"/>
    <w:rsid w:val="004E4847"/>
    <w:rsid w:val="004E7500"/>
    <w:rsid w:val="004F1BC9"/>
    <w:rsid w:val="004F2371"/>
    <w:rsid w:val="004F4402"/>
    <w:rsid w:val="004F46B6"/>
    <w:rsid w:val="004F4BFA"/>
    <w:rsid w:val="004F5DCC"/>
    <w:rsid w:val="004F7527"/>
    <w:rsid w:val="00501CA9"/>
    <w:rsid w:val="0050334E"/>
    <w:rsid w:val="00503C1C"/>
    <w:rsid w:val="00507870"/>
    <w:rsid w:val="00511E7C"/>
    <w:rsid w:val="00512BAA"/>
    <w:rsid w:val="005130C4"/>
    <w:rsid w:val="005155ED"/>
    <w:rsid w:val="005239DD"/>
    <w:rsid w:val="00523C0E"/>
    <w:rsid w:val="00524961"/>
    <w:rsid w:val="00526AE0"/>
    <w:rsid w:val="0052748B"/>
    <w:rsid w:val="0053205C"/>
    <w:rsid w:val="005324F0"/>
    <w:rsid w:val="00532500"/>
    <w:rsid w:val="0053548F"/>
    <w:rsid w:val="00541D43"/>
    <w:rsid w:val="005428B5"/>
    <w:rsid w:val="00545667"/>
    <w:rsid w:val="00546952"/>
    <w:rsid w:val="00550BFF"/>
    <w:rsid w:val="00551323"/>
    <w:rsid w:val="0055337A"/>
    <w:rsid w:val="00553DEF"/>
    <w:rsid w:val="00554260"/>
    <w:rsid w:val="0055513E"/>
    <w:rsid w:val="00556FCD"/>
    <w:rsid w:val="00561BED"/>
    <w:rsid w:val="00561CBA"/>
    <w:rsid w:val="00562476"/>
    <w:rsid w:val="00563413"/>
    <w:rsid w:val="0056512F"/>
    <w:rsid w:val="0056550C"/>
    <w:rsid w:val="005664C7"/>
    <w:rsid w:val="00570701"/>
    <w:rsid w:val="00571BBF"/>
    <w:rsid w:val="00572CFA"/>
    <w:rsid w:val="00573350"/>
    <w:rsid w:val="00575C92"/>
    <w:rsid w:val="00575D2D"/>
    <w:rsid w:val="0058233D"/>
    <w:rsid w:val="00582F36"/>
    <w:rsid w:val="00583C1A"/>
    <w:rsid w:val="00585DB2"/>
    <w:rsid w:val="00585EDB"/>
    <w:rsid w:val="00585FD6"/>
    <w:rsid w:val="00590715"/>
    <w:rsid w:val="00591A24"/>
    <w:rsid w:val="005924E0"/>
    <w:rsid w:val="005924F6"/>
    <w:rsid w:val="00593107"/>
    <w:rsid w:val="005933D4"/>
    <w:rsid w:val="005950B5"/>
    <w:rsid w:val="005955BF"/>
    <w:rsid w:val="00596246"/>
    <w:rsid w:val="0059647D"/>
    <w:rsid w:val="0059719F"/>
    <w:rsid w:val="005A0302"/>
    <w:rsid w:val="005A0529"/>
    <w:rsid w:val="005A1881"/>
    <w:rsid w:val="005A2010"/>
    <w:rsid w:val="005A30C3"/>
    <w:rsid w:val="005B0F78"/>
    <w:rsid w:val="005B1F02"/>
    <w:rsid w:val="005B3882"/>
    <w:rsid w:val="005B3BC3"/>
    <w:rsid w:val="005B4494"/>
    <w:rsid w:val="005C5574"/>
    <w:rsid w:val="005D1DFD"/>
    <w:rsid w:val="005D2E17"/>
    <w:rsid w:val="005D6BD7"/>
    <w:rsid w:val="005D788A"/>
    <w:rsid w:val="005D7E3E"/>
    <w:rsid w:val="005E3E30"/>
    <w:rsid w:val="005E407C"/>
    <w:rsid w:val="005E4D82"/>
    <w:rsid w:val="005E77A4"/>
    <w:rsid w:val="005F0569"/>
    <w:rsid w:val="005F4124"/>
    <w:rsid w:val="005F457D"/>
    <w:rsid w:val="005F6DA8"/>
    <w:rsid w:val="00603F77"/>
    <w:rsid w:val="0060450B"/>
    <w:rsid w:val="00605D03"/>
    <w:rsid w:val="00606494"/>
    <w:rsid w:val="00610149"/>
    <w:rsid w:val="00610707"/>
    <w:rsid w:val="006114B5"/>
    <w:rsid w:val="00611551"/>
    <w:rsid w:val="00611EC0"/>
    <w:rsid w:val="00614072"/>
    <w:rsid w:val="0061570A"/>
    <w:rsid w:val="006212DA"/>
    <w:rsid w:val="00622862"/>
    <w:rsid w:val="00622F33"/>
    <w:rsid w:val="00623AF8"/>
    <w:rsid w:val="00624DE4"/>
    <w:rsid w:val="00630840"/>
    <w:rsid w:val="00630AF6"/>
    <w:rsid w:val="00632EFF"/>
    <w:rsid w:val="0063503A"/>
    <w:rsid w:val="0063576F"/>
    <w:rsid w:val="00635C99"/>
    <w:rsid w:val="00640B5F"/>
    <w:rsid w:val="00642954"/>
    <w:rsid w:val="00642968"/>
    <w:rsid w:val="00644F47"/>
    <w:rsid w:val="00646DB2"/>
    <w:rsid w:val="006473AE"/>
    <w:rsid w:val="00652363"/>
    <w:rsid w:val="00652660"/>
    <w:rsid w:val="00654298"/>
    <w:rsid w:val="00654BD5"/>
    <w:rsid w:val="006565E8"/>
    <w:rsid w:val="00660664"/>
    <w:rsid w:val="0066133E"/>
    <w:rsid w:val="0066458B"/>
    <w:rsid w:val="00665274"/>
    <w:rsid w:val="00665568"/>
    <w:rsid w:val="00670567"/>
    <w:rsid w:val="0067056F"/>
    <w:rsid w:val="006705D9"/>
    <w:rsid w:val="00673AB9"/>
    <w:rsid w:val="00674019"/>
    <w:rsid w:val="00677146"/>
    <w:rsid w:val="00680333"/>
    <w:rsid w:val="00681BC5"/>
    <w:rsid w:val="0068270B"/>
    <w:rsid w:val="00683C04"/>
    <w:rsid w:val="0068509D"/>
    <w:rsid w:val="00685FE5"/>
    <w:rsid w:val="00686857"/>
    <w:rsid w:val="00690A42"/>
    <w:rsid w:val="00690FA7"/>
    <w:rsid w:val="0069138C"/>
    <w:rsid w:val="00693A26"/>
    <w:rsid w:val="00694A1D"/>
    <w:rsid w:val="006A052B"/>
    <w:rsid w:val="006A0A88"/>
    <w:rsid w:val="006A15B0"/>
    <w:rsid w:val="006A3EF9"/>
    <w:rsid w:val="006A425F"/>
    <w:rsid w:val="006A42E6"/>
    <w:rsid w:val="006A46B4"/>
    <w:rsid w:val="006A554B"/>
    <w:rsid w:val="006A772D"/>
    <w:rsid w:val="006A7B0B"/>
    <w:rsid w:val="006B0D91"/>
    <w:rsid w:val="006B0E34"/>
    <w:rsid w:val="006B152D"/>
    <w:rsid w:val="006B1EE3"/>
    <w:rsid w:val="006B24F8"/>
    <w:rsid w:val="006B3642"/>
    <w:rsid w:val="006B42AB"/>
    <w:rsid w:val="006B448D"/>
    <w:rsid w:val="006B4BA7"/>
    <w:rsid w:val="006B4D08"/>
    <w:rsid w:val="006C0087"/>
    <w:rsid w:val="006C219F"/>
    <w:rsid w:val="006D1D24"/>
    <w:rsid w:val="006D5159"/>
    <w:rsid w:val="006D5186"/>
    <w:rsid w:val="006D69C1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0D5"/>
    <w:rsid w:val="007015A1"/>
    <w:rsid w:val="00701F8D"/>
    <w:rsid w:val="00705534"/>
    <w:rsid w:val="00707116"/>
    <w:rsid w:val="007102FC"/>
    <w:rsid w:val="007140A9"/>
    <w:rsid w:val="00714D2A"/>
    <w:rsid w:val="00716506"/>
    <w:rsid w:val="0071698B"/>
    <w:rsid w:val="00717A77"/>
    <w:rsid w:val="007223D3"/>
    <w:rsid w:val="00722A2B"/>
    <w:rsid w:val="00722B17"/>
    <w:rsid w:val="007261EE"/>
    <w:rsid w:val="007276BB"/>
    <w:rsid w:val="00732B65"/>
    <w:rsid w:val="00734183"/>
    <w:rsid w:val="0073446C"/>
    <w:rsid w:val="007353EC"/>
    <w:rsid w:val="00735EEF"/>
    <w:rsid w:val="00740534"/>
    <w:rsid w:val="0074120F"/>
    <w:rsid w:val="007432FF"/>
    <w:rsid w:val="00744408"/>
    <w:rsid w:val="0074493B"/>
    <w:rsid w:val="00744CF5"/>
    <w:rsid w:val="00746D15"/>
    <w:rsid w:val="00750490"/>
    <w:rsid w:val="00751348"/>
    <w:rsid w:val="00751CB4"/>
    <w:rsid w:val="00752498"/>
    <w:rsid w:val="00754749"/>
    <w:rsid w:val="0075580D"/>
    <w:rsid w:val="00761120"/>
    <w:rsid w:val="0076243A"/>
    <w:rsid w:val="00762C31"/>
    <w:rsid w:val="0076369D"/>
    <w:rsid w:val="00764760"/>
    <w:rsid w:val="0076542D"/>
    <w:rsid w:val="00767D28"/>
    <w:rsid w:val="00772AFB"/>
    <w:rsid w:val="00772CEF"/>
    <w:rsid w:val="00773004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9712A"/>
    <w:rsid w:val="007A5CD6"/>
    <w:rsid w:val="007A7228"/>
    <w:rsid w:val="007A7348"/>
    <w:rsid w:val="007A7B67"/>
    <w:rsid w:val="007B156B"/>
    <w:rsid w:val="007B3448"/>
    <w:rsid w:val="007B58A5"/>
    <w:rsid w:val="007B61B8"/>
    <w:rsid w:val="007B666B"/>
    <w:rsid w:val="007C51BF"/>
    <w:rsid w:val="007C63A9"/>
    <w:rsid w:val="007C7278"/>
    <w:rsid w:val="007D088B"/>
    <w:rsid w:val="007D1D68"/>
    <w:rsid w:val="007D284D"/>
    <w:rsid w:val="007D2DF0"/>
    <w:rsid w:val="007D2FA3"/>
    <w:rsid w:val="007D5D4E"/>
    <w:rsid w:val="007D7587"/>
    <w:rsid w:val="007E464C"/>
    <w:rsid w:val="007E712B"/>
    <w:rsid w:val="007E75DF"/>
    <w:rsid w:val="007E7F15"/>
    <w:rsid w:val="007F3FF8"/>
    <w:rsid w:val="007F6796"/>
    <w:rsid w:val="0080105E"/>
    <w:rsid w:val="00801AEC"/>
    <w:rsid w:val="00801B55"/>
    <w:rsid w:val="00803874"/>
    <w:rsid w:val="00804C8D"/>
    <w:rsid w:val="00804CA3"/>
    <w:rsid w:val="008073D9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15CC"/>
    <w:rsid w:val="00822081"/>
    <w:rsid w:val="00823281"/>
    <w:rsid w:val="00824FDA"/>
    <w:rsid w:val="00825984"/>
    <w:rsid w:val="00827F76"/>
    <w:rsid w:val="00831D39"/>
    <w:rsid w:val="008329C3"/>
    <w:rsid w:val="008342BB"/>
    <w:rsid w:val="00834DA2"/>
    <w:rsid w:val="008421A2"/>
    <w:rsid w:val="00842458"/>
    <w:rsid w:val="00842661"/>
    <w:rsid w:val="008471F0"/>
    <w:rsid w:val="00851929"/>
    <w:rsid w:val="00852C8F"/>
    <w:rsid w:val="00852D32"/>
    <w:rsid w:val="00852E6C"/>
    <w:rsid w:val="00854E9E"/>
    <w:rsid w:val="008619CA"/>
    <w:rsid w:val="00862319"/>
    <w:rsid w:val="00863742"/>
    <w:rsid w:val="00863920"/>
    <w:rsid w:val="00865D28"/>
    <w:rsid w:val="00870DC5"/>
    <w:rsid w:val="008747D3"/>
    <w:rsid w:val="008748E1"/>
    <w:rsid w:val="008832C4"/>
    <w:rsid w:val="008833AA"/>
    <w:rsid w:val="008850DE"/>
    <w:rsid w:val="00886AD8"/>
    <w:rsid w:val="0088752E"/>
    <w:rsid w:val="00891C63"/>
    <w:rsid w:val="00892E52"/>
    <w:rsid w:val="008940BD"/>
    <w:rsid w:val="0089516C"/>
    <w:rsid w:val="0089559A"/>
    <w:rsid w:val="008958E2"/>
    <w:rsid w:val="00895901"/>
    <w:rsid w:val="00897DD1"/>
    <w:rsid w:val="008A02C0"/>
    <w:rsid w:val="008A0C84"/>
    <w:rsid w:val="008A1599"/>
    <w:rsid w:val="008A1AE1"/>
    <w:rsid w:val="008A6286"/>
    <w:rsid w:val="008A645E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6B03"/>
    <w:rsid w:val="008D0F3D"/>
    <w:rsid w:val="008D1AF1"/>
    <w:rsid w:val="008D1D91"/>
    <w:rsid w:val="008D52D1"/>
    <w:rsid w:val="008E1B14"/>
    <w:rsid w:val="008F2074"/>
    <w:rsid w:val="008F6529"/>
    <w:rsid w:val="0090105A"/>
    <w:rsid w:val="00901103"/>
    <w:rsid w:val="0090141B"/>
    <w:rsid w:val="009016F5"/>
    <w:rsid w:val="0090331F"/>
    <w:rsid w:val="00905115"/>
    <w:rsid w:val="00905C0A"/>
    <w:rsid w:val="00906455"/>
    <w:rsid w:val="00907436"/>
    <w:rsid w:val="00911E18"/>
    <w:rsid w:val="009150E5"/>
    <w:rsid w:val="00915490"/>
    <w:rsid w:val="0092175D"/>
    <w:rsid w:val="00922895"/>
    <w:rsid w:val="009237E8"/>
    <w:rsid w:val="00924BF9"/>
    <w:rsid w:val="00924E9A"/>
    <w:rsid w:val="00925A7F"/>
    <w:rsid w:val="0092754D"/>
    <w:rsid w:val="00927E8E"/>
    <w:rsid w:val="009302FD"/>
    <w:rsid w:val="00931B48"/>
    <w:rsid w:val="00936019"/>
    <w:rsid w:val="00941684"/>
    <w:rsid w:val="0094362E"/>
    <w:rsid w:val="00947753"/>
    <w:rsid w:val="00947AA7"/>
    <w:rsid w:val="00950DE1"/>
    <w:rsid w:val="00957500"/>
    <w:rsid w:val="00963779"/>
    <w:rsid w:val="00963F33"/>
    <w:rsid w:val="00967808"/>
    <w:rsid w:val="00973B8C"/>
    <w:rsid w:val="00976181"/>
    <w:rsid w:val="00977DFF"/>
    <w:rsid w:val="009807EA"/>
    <w:rsid w:val="00981D32"/>
    <w:rsid w:val="009838EE"/>
    <w:rsid w:val="00984EFA"/>
    <w:rsid w:val="00985D8D"/>
    <w:rsid w:val="0098746D"/>
    <w:rsid w:val="00987CD3"/>
    <w:rsid w:val="0099126D"/>
    <w:rsid w:val="009914DA"/>
    <w:rsid w:val="00991BAA"/>
    <w:rsid w:val="00995D19"/>
    <w:rsid w:val="00997F73"/>
    <w:rsid w:val="009A0EA6"/>
    <w:rsid w:val="009A1D71"/>
    <w:rsid w:val="009A2842"/>
    <w:rsid w:val="009A33A5"/>
    <w:rsid w:val="009A66F1"/>
    <w:rsid w:val="009B0770"/>
    <w:rsid w:val="009B0D50"/>
    <w:rsid w:val="009B0D9F"/>
    <w:rsid w:val="009B14B6"/>
    <w:rsid w:val="009B2929"/>
    <w:rsid w:val="009B71E2"/>
    <w:rsid w:val="009B732E"/>
    <w:rsid w:val="009C0165"/>
    <w:rsid w:val="009C1850"/>
    <w:rsid w:val="009C1BA1"/>
    <w:rsid w:val="009C1CF0"/>
    <w:rsid w:val="009C1E3F"/>
    <w:rsid w:val="009C28A0"/>
    <w:rsid w:val="009C4684"/>
    <w:rsid w:val="009C59C7"/>
    <w:rsid w:val="009C721F"/>
    <w:rsid w:val="009C75AE"/>
    <w:rsid w:val="009C787E"/>
    <w:rsid w:val="009C7E79"/>
    <w:rsid w:val="009D0530"/>
    <w:rsid w:val="009D053B"/>
    <w:rsid w:val="009D0AD4"/>
    <w:rsid w:val="009D0CA9"/>
    <w:rsid w:val="009D4DD6"/>
    <w:rsid w:val="009D502C"/>
    <w:rsid w:val="009D5732"/>
    <w:rsid w:val="009D5986"/>
    <w:rsid w:val="009D5BB2"/>
    <w:rsid w:val="009D7CE5"/>
    <w:rsid w:val="009E2021"/>
    <w:rsid w:val="009E2775"/>
    <w:rsid w:val="009E442C"/>
    <w:rsid w:val="009E472C"/>
    <w:rsid w:val="009F034D"/>
    <w:rsid w:val="009F3DD2"/>
    <w:rsid w:val="009F4224"/>
    <w:rsid w:val="009F4A19"/>
    <w:rsid w:val="009F5886"/>
    <w:rsid w:val="009F69F7"/>
    <w:rsid w:val="009F74B6"/>
    <w:rsid w:val="00A013F3"/>
    <w:rsid w:val="00A01B15"/>
    <w:rsid w:val="00A028F7"/>
    <w:rsid w:val="00A02B2E"/>
    <w:rsid w:val="00A06AA7"/>
    <w:rsid w:val="00A10551"/>
    <w:rsid w:val="00A12F8D"/>
    <w:rsid w:val="00A1343E"/>
    <w:rsid w:val="00A15D2F"/>
    <w:rsid w:val="00A16214"/>
    <w:rsid w:val="00A16ADA"/>
    <w:rsid w:val="00A20AC5"/>
    <w:rsid w:val="00A21881"/>
    <w:rsid w:val="00A24488"/>
    <w:rsid w:val="00A2593C"/>
    <w:rsid w:val="00A27F35"/>
    <w:rsid w:val="00A31BC3"/>
    <w:rsid w:val="00A33971"/>
    <w:rsid w:val="00A34DEE"/>
    <w:rsid w:val="00A40F42"/>
    <w:rsid w:val="00A421A0"/>
    <w:rsid w:val="00A42FFE"/>
    <w:rsid w:val="00A44DAE"/>
    <w:rsid w:val="00A46C2C"/>
    <w:rsid w:val="00A525E1"/>
    <w:rsid w:val="00A52EE2"/>
    <w:rsid w:val="00A53C39"/>
    <w:rsid w:val="00A5631A"/>
    <w:rsid w:val="00A57405"/>
    <w:rsid w:val="00A606A6"/>
    <w:rsid w:val="00A60CF0"/>
    <w:rsid w:val="00A625E2"/>
    <w:rsid w:val="00A63493"/>
    <w:rsid w:val="00A63E60"/>
    <w:rsid w:val="00A65281"/>
    <w:rsid w:val="00A66354"/>
    <w:rsid w:val="00A70785"/>
    <w:rsid w:val="00A7268B"/>
    <w:rsid w:val="00A726C3"/>
    <w:rsid w:val="00A729E4"/>
    <w:rsid w:val="00A764F2"/>
    <w:rsid w:val="00A77B07"/>
    <w:rsid w:val="00A77F3B"/>
    <w:rsid w:val="00A80044"/>
    <w:rsid w:val="00A80C88"/>
    <w:rsid w:val="00A80F26"/>
    <w:rsid w:val="00A8174D"/>
    <w:rsid w:val="00A81FD5"/>
    <w:rsid w:val="00A82E5D"/>
    <w:rsid w:val="00A83AF3"/>
    <w:rsid w:val="00A84DC3"/>
    <w:rsid w:val="00A85561"/>
    <w:rsid w:val="00A855E4"/>
    <w:rsid w:val="00A8570A"/>
    <w:rsid w:val="00A8643E"/>
    <w:rsid w:val="00A86EFA"/>
    <w:rsid w:val="00A901BC"/>
    <w:rsid w:val="00A91EB8"/>
    <w:rsid w:val="00A9534A"/>
    <w:rsid w:val="00A956C1"/>
    <w:rsid w:val="00A9649B"/>
    <w:rsid w:val="00A971AB"/>
    <w:rsid w:val="00AA1150"/>
    <w:rsid w:val="00AA1BF4"/>
    <w:rsid w:val="00AA1E1B"/>
    <w:rsid w:val="00AA2B0D"/>
    <w:rsid w:val="00AA57B7"/>
    <w:rsid w:val="00AA7322"/>
    <w:rsid w:val="00AA7DC1"/>
    <w:rsid w:val="00AB029D"/>
    <w:rsid w:val="00AB09C2"/>
    <w:rsid w:val="00AB34FE"/>
    <w:rsid w:val="00AB38D1"/>
    <w:rsid w:val="00AB4EEC"/>
    <w:rsid w:val="00AB6839"/>
    <w:rsid w:val="00AB7E9A"/>
    <w:rsid w:val="00AB7F25"/>
    <w:rsid w:val="00AC0A9B"/>
    <w:rsid w:val="00AC1F3F"/>
    <w:rsid w:val="00AC1F84"/>
    <w:rsid w:val="00AC327D"/>
    <w:rsid w:val="00AC33E6"/>
    <w:rsid w:val="00AC4A27"/>
    <w:rsid w:val="00AC655C"/>
    <w:rsid w:val="00AD0C24"/>
    <w:rsid w:val="00AD1C57"/>
    <w:rsid w:val="00AD1FDC"/>
    <w:rsid w:val="00AD3BB0"/>
    <w:rsid w:val="00AD3F19"/>
    <w:rsid w:val="00AD50FA"/>
    <w:rsid w:val="00AD53CA"/>
    <w:rsid w:val="00AD577C"/>
    <w:rsid w:val="00AD5F3C"/>
    <w:rsid w:val="00AE39C3"/>
    <w:rsid w:val="00AE3E35"/>
    <w:rsid w:val="00AE4531"/>
    <w:rsid w:val="00AE6311"/>
    <w:rsid w:val="00AF0AA1"/>
    <w:rsid w:val="00AF2623"/>
    <w:rsid w:val="00AF35F8"/>
    <w:rsid w:val="00AF58CC"/>
    <w:rsid w:val="00AF5D42"/>
    <w:rsid w:val="00AF6D86"/>
    <w:rsid w:val="00B0294D"/>
    <w:rsid w:val="00B04DE4"/>
    <w:rsid w:val="00B074AC"/>
    <w:rsid w:val="00B10086"/>
    <w:rsid w:val="00B15B82"/>
    <w:rsid w:val="00B16DD3"/>
    <w:rsid w:val="00B16F9E"/>
    <w:rsid w:val="00B173B9"/>
    <w:rsid w:val="00B175CD"/>
    <w:rsid w:val="00B17678"/>
    <w:rsid w:val="00B17ACB"/>
    <w:rsid w:val="00B2007C"/>
    <w:rsid w:val="00B22526"/>
    <w:rsid w:val="00B23002"/>
    <w:rsid w:val="00B2378C"/>
    <w:rsid w:val="00B24EF4"/>
    <w:rsid w:val="00B25CDF"/>
    <w:rsid w:val="00B3206A"/>
    <w:rsid w:val="00B32AB2"/>
    <w:rsid w:val="00B33638"/>
    <w:rsid w:val="00B33C47"/>
    <w:rsid w:val="00B352C0"/>
    <w:rsid w:val="00B42822"/>
    <w:rsid w:val="00B4567A"/>
    <w:rsid w:val="00B5057B"/>
    <w:rsid w:val="00B50B43"/>
    <w:rsid w:val="00B52169"/>
    <w:rsid w:val="00B52909"/>
    <w:rsid w:val="00B5484D"/>
    <w:rsid w:val="00B5489C"/>
    <w:rsid w:val="00B6055A"/>
    <w:rsid w:val="00B60FC7"/>
    <w:rsid w:val="00B61E3A"/>
    <w:rsid w:val="00B6222B"/>
    <w:rsid w:val="00B640F0"/>
    <w:rsid w:val="00B64C7D"/>
    <w:rsid w:val="00B65CEA"/>
    <w:rsid w:val="00B71AE4"/>
    <w:rsid w:val="00B725C6"/>
    <w:rsid w:val="00B7285E"/>
    <w:rsid w:val="00B82060"/>
    <w:rsid w:val="00B821EA"/>
    <w:rsid w:val="00B82595"/>
    <w:rsid w:val="00B84836"/>
    <w:rsid w:val="00B85071"/>
    <w:rsid w:val="00B86A8E"/>
    <w:rsid w:val="00B874E1"/>
    <w:rsid w:val="00B90CA4"/>
    <w:rsid w:val="00B90F79"/>
    <w:rsid w:val="00B91CA3"/>
    <w:rsid w:val="00B92039"/>
    <w:rsid w:val="00B9359C"/>
    <w:rsid w:val="00B93E5A"/>
    <w:rsid w:val="00B94334"/>
    <w:rsid w:val="00B965C1"/>
    <w:rsid w:val="00B969FF"/>
    <w:rsid w:val="00B97FD7"/>
    <w:rsid w:val="00BA44AF"/>
    <w:rsid w:val="00BA50C3"/>
    <w:rsid w:val="00BA7265"/>
    <w:rsid w:val="00BB0911"/>
    <w:rsid w:val="00BB0C48"/>
    <w:rsid w:val="00BB0CD9"/>
    <w:rsid w:val="00BB11AA"/>
    <w:rsid w:val="00BB400A"/>
    <w:rsid w:val="00BB7A48"/>
    <w:rsid w:val="00BC112F"/>
    <w:rsid w:val="00BC1240"/>
    <w:rsid w:val="00BC212A"/>
    <w:rsid w:val="00BC379E"/>
    <w:rsid w:val="00BC3B1C"/>
    <w:rsid w:val="00BC44A5"/>
    <w:rsid w:val="00BC6C2E"/>
    <w:rsid w:val="00BD1063"/>
    <w:rsid w:val="00BD13E8"/>
    <w:rsid w:val="00BD155A"/>
    <w:rsid w:val="00BD2F65"/>
    <w:rsid w:val="00BD38DC"/>
    <w:rsid w:val="00BD5E35"/>
    <w:rsid w:val="00BE1222"/>
    <w:rsid w:val="00BE12CE"/>
    <w:rsid w:val="00BE1D10"/>
    <w:rsid w:val="00BE38CD"/>
    <w:rsid w:val="00BE5384"/>
    <w:rsid w:val="00BE5CC9"/>
    <w:rsid w:val="00BE5F0B"/>
    <w:rsid w:val="00BE6B10"/>
    <w:rsid w:val="00BE78F7"/>
    <w:rsid w:val="00BF08EF"/>
    <w:rsid w:val="00BF1492"/>
    <w:rsid w:val="00BF37D6"/>
    <w:rsid w:val="00BF4313"/>
    <w:rsid w:val="00BF6A39"/>
    <w:rsid w:val="00C00D1D"/>
    <w:rsid w:val="00C02900"/>
    <w:rsid w:val="00C03EC4"/>
    <w:rsid w:val="00C03F24"/>
    <w:rsid w:val="00C0412D"/>
    <w:rsid w:val="00C05B0E"/>
    <w:rsid w:val="00C06F11"/>
    <w:rsid w:val="00C07068"/>
    <w:rsid w:val="00C10B65"/>
    <w:rsid w:val="00C12313"/>
    <w:rsid w:val="00C14419"/>
    <w:rsid w:val="00C14F06"/>
    <w:rsid w:val="00C16E30"/>
    <w:rsid w:val="00C17380"/>
    <w:rsid w:val="00C1773E"/>
    <w:rsid w:val="00C2044C"/>
    <w:rsid w:val="00C208D4"/>
    <w:rsid w:val="00C2219D"/>
    <w:rsid w:val="00C222DD"/>
    <w:rsid w:val="00C22F17"/>
    <w:rsid w:val="00C253BB"/>
    <w:rsid w:val="00C25A38"/>
    <w:rsid w:val="00C31399"/>
    <w:rsid w:val="00C41C12"/>
    <w:rsid w:val="00C41C4E"/>
    <w:rsid w:val="00C447F7"/>
    <w:rsid w:val="00C52825"/>
    <w:rsid w:val="00C5336E"/>
    <w:rsid w:val="00C5496A"/>
    <w:rsid w:val="00C578B3"/>
    <w:rsid w:val="00C60B0E"/>
    <w:rsid w:val="00C6115D"/>
    <w:rsid w:val="00C62BB9"/>
    <w:rsid w:val="00C636FA"/>
    <w:rsid w:val="00C649F2"/>
    <w:rsid w:val="00C65C48"/>
    <w:rsid w:val="00C672FC"/>
    <w:rsid w:val="00C72141"/>
    <w:rsid w:val="00C7310E"/>
    <w:rsid w:val="00C73CD0"/>
    <w:rsid w:val="00C75444"/>
    <w:rsid w:val="00C8247D"/>
    <w:rsid w:val="00C826D5"/>
    <w:rsid w:val="00C836A8"/>
    <w:rsid w:val="00C84587"/>
    <w:rsid w:val="00C865B9"/>
    <w:rsid w:val="00C90989"/>
    <w:rsid w:val="00C93490"/>
    <w:rsid w:val="00C95FB3"/>
    <w:rsid w:val="00C96195"/>
    <w:rsid w:val="00C9624E"/>
    <w:rsid w:val="00C97354"/>
    <w:rsid w:val="00C9792E"/>
    <w:rsid w:val="00CA3E7E"/>
    <w:rsid w:val="00CA43A5"/>
    <w:rsid w:val="00CA4F00"/>
    <w:rsid w:val="00CA5D08"/>
    <w:rsid w:val="00CA6DC1"/>
    <w:rsid w:val="00CB03F8"/>
    <w:rsid w:val="00CB1F1A"/>
    <w:rsid w:val="00CB3541"/>
    <w:rsid w:val="00CB4E56"/>
    <w:rsid w:val="00CC054E"/>
    <w:rsid w:val="00CC12CE"/>
    <w:rsid w:val="00CC1EC9"/>
    <w:rsid w:val="00CC20C3"/>
    <w:rsid w:val="00CC2D81"/>
    <w:rsid w:val="00CC4C89"/>
    <w:rsid w:val="00CC6496"/>
    <w:rsid w:val="00CC6BFE"/>
    <w:rsid w:val="00CD31B9"/>
    <w:rsid w:val="00CE19D0"/>
    <w:rsid w:val="00CE2FE1"/>
    <w:rsid w:val="00CE3445"/>
    <w:rsid w:val="00CE6549"/>
    <w:rsid w:val="00CE6E11"/>
    <w:rsid w:val="00CE73F9"/>
    <w:rsid w:val="00CE7D47"/>
    <w:rsid w:val="00CF0A46"/>
    <w:rsid w:val="00CF2877"/>
    <w:rsid w:val="00CF2B80"/>
    <w:rsid w:val="00CF33D3"/>
    <w:rsid w:val="00CF777A"/>
    <w:rsid w:val="00D00C69"/>
    <w:rsid w:val="00D00FDB"/>
    <w:rsid w:val="00D0294C"/>
    <w:rsid w:val="00D04098"/>
    <w:rsid w:val="00D072FA"/>
    <w:rsid w:val="00D0764F"/>
    <w:rsid w:val="00D10A43"/>
    <w:rsid w:val="00D11F39"/>
    <w:rsid w:val="00D120FA"/>
    <w:rsid w:val="00D1243F"/>
    <w:rsid w:val="00D15541"/>
    <w:rsid w:val="00D1645B"/>
    <w:rsid w:val="00D167E9"/>
    <w:rsid w:val="00D175DB"/>
    <w:rsid w:val="00D20364"/>
    <w:rsid w:val="00D20B42"/>
    <w:rsid w:val="00D219BF"/>
    <w:rsid w:val="00D2353C"/>
    <w:rsid w:val="00D2365C"/>
    <w:rsid w:val="00D236E2"/>
    <w:rsid w:val="00D2408E"/>
    <w:rsid w:val="00D25F0B"/>
    <w:rsid w:val="00D26E32"/>
    <w:rsid w:val="00D27EEF"/>
    <w:rsid w:val="00D337B4"/>
    <w:rsid w:val="00D3498D"/>
    <w:rsid w:val="00D34D53"/>
    <w:rsid w:val="00D35C03"/>
    <w:rsid w:val="00D37109"/>
    <w:rsid w:val="00D37FBC"/>
    <w:rsid w:val="00D407CB"/>
    <w:rsid w:val="00D41C01"/>
    <w:rsid w:val="00D425B2"/>
    <w:rsid w:val="00D43B9E"/>
    <w:rsid w:val="00D43E48"/>
    <w:rsid w:val="00D4541A"/>
    <w:rsid w:val="00D46E83"/>
    <w:rsid w:val="00D46F98"/>
    <w:rsid w:val="00D52078"/>
    <w:rsid w:val="00D52731"/>
    <w:rsid w:val="00D53852"/>
    <w:rsid w:val="00D548BA"/>
    <w:rsid w:val="00D55C01"/>
    <w:rsid w:val="00D55D82"/>
    <w:rsid w:val="00D5697F"/>
    <w:rsid w:val="00D56D7F"/>
    <w:rsid w:val="00D572EF"/>
    <w:rsid w:val="00D60296"/>
    <w:rsid w:val="00D605E7"/>
    <w:rsid w:val="00D60944"/>
    <w:rsid w:val="00D60C25"/>
    <w:rsid w:val="00D61961"/>
    <w:rsid w:val="00D61EEF"/>
    <w:rsid w:val="00D63A81"/>
    <w:rsid w:val="00D646B2"/>
    <w:rsid w:val="00D65C4C"/>
    <w:rsid w:val="00D666BC"/>
    <w:rsid w:val="00D70C0B"/>
    <w:rsid w:val="00D7323E"/>
    <w:rsid w:val="00D74214"/>
    <w:rsid w:val="00D76A0A"/>
    <w:rsid w:val="00D80E88"/>
    <w:rsid w:val="00D83185"/>
    <w:rsid w:val="00D83434"/>
    <w:rsid w:val="00D8555C"/>
    <w:rsid w:val="00D856A9"/>
    <w:rsid w:val="00D87397"/>
    <w:rsid w:val="00D90312"/>
    <w:rsid w:val="00D93856"/>
    <w:rsid w:val="00D94307"/>
    <w:rsid w:val="00D94835"/>
    <w:rsid w:val="00D97C37"/>
    <w:rsid w:val="00DA1134"/>
    <w:rsid w:val="00DA15A2"/>
    <w:rsid w:val="00DA2750"/>
    <w:rsid w:val="00DA3976"/>
    <w:rsid w:val="00DA4711"/>
    <w:rsid w:val="00DA4839"/>
    <w:rsid w:val="00DA48BB"/>
    <w:rsid w:val="00DA4B42"/>
    <w:rsid w:val="00DA6722"/>
    <w:rsid w:val="00DA6979"/>
    <w:rsid w:val="00DB00FB"/>
    <w:rsid w:val="00DB14A6"/>
    <w:rsid w:val="00DB2A2C"/>
    <w:rsid w:val="00DB2E33"/>
    <w:rsid w:val="00DB32B3"/>
    <w:rsid w:val="00DB583C"/>
    <w:rsid w:val="00DB5A04"/>
    <w:rsid w:val="00DB5B4C"/>
    <w:rsid w:val="00DB65FF"/>
    <w:rsid w:val="00DC274E"/>
    <w:rsid w:val="00DC40F6"/>
    <w:rsid w:val="00DC46A0"/>
    <w:rsid w:val="00DC4B1D"/>
    <w:rsid w:val="00DC5570"/>
    <w:rsid w:val="00DC5E2A"/>
    <w:rsid w:val="00DC7378"/>
    <w:rsid w:val="00DD0144"/>
    <w:rsid w:val="00DD1B67"/>
    <w:rsid w:val="00DD2452"/>
    <w:rsid w:val="00DD459A"/>
    <w:rsid w:val="00DD68C0"/>
    <w:rsid w:val="00DD75E3"/>
    <w:rsid w:val="00DD7FAD"/>
    <w:rsid w:val="00DE1644"/>
    <w:rsid w:val="00DE3F4C"/>
    <w:rsid w:val="00DE4DCB"/>
    <w:rsid w:val="00DE55BC"/>
    <w:rsid w:val="00DE65CA"/>
    <w:rsid w:val="00DE7BA0"/>
    <w:rsid w:val="00DF0F13"/>
    <w:rsid w:val="00DF0FC3"/>
    <w:rsid w:val="00DF153D"/>
    <w:rsid w:val="00DF1F41"/>
    <w:rsid w:val="00DF3F39"/>
    <w:rsid w:val="00DF5BA3"/>
    <w:rsid w:val="00DF6AF7"/>
    <w:rsid w:val="00DF6B0F"/>
    <w:rsid w:val="00DF6C5C"/>
    <w:rsid w:val="00E00C6D"/>
    <w:rsid w:val="00E00ED9"/>
    <w:rsid w:val="00E0198C"/>
    <w:rsid w:val="00E02204"/>
    <w:rsid w:val="00E04884"/>
    <w:rsid w:val="00E07D5E"/>
    <w:rsid w:val="00E10786"/>
    <w:rsid w:val="00E13E8D"/>
    <w:rsid w:val="00E14E35"/>
    <w:rsid w:val="00E1680E"/>
    <w:rsid w:val="00E17B74"/>
    <w:rsid w:val="00E20764"/>
    <w:rsid w:val="00E2096D"/>
    <w:rsid w:val="00E20CCC"/>
    <w:rsid w:val="00E238D8"/>
    <w:rsid w:val="00E23CCB"/>
    <w:rsid w:val="00E245D7"/>
    <w:rsid w:val="00E25D99"/>
    <w:rsid w:val="00E31858"/>
    <w:rsid w:val="00E42C22"/>
    <w:rsid w:val="00E43490"/>
    <w:rsid w:val="00E4367C"/>
    <w:rsid w:val="00E440B0"/>
    <w:rsid w:val="00E44468"/>
    <w:rsid w:val="00E44526"/>
    <w:rsid w:val="00E44580"/>
    <w:rsid w:val="00E454E1"/>
    <w:rsid w:val="00E46727"/>
    <w:rsid w:val="00E468F8"/>
    <w:rsid w:val="00E47D43"/>
    <w:rsid w:val="00E501B6"/>
    <w:rsid w:val="00E509A2"/>
    <w:rsid w:val="00E519AF"/>
    <w:rsid w:val="00E526F1"/>
    <w:rsid w:val="00E5368D"/>
    <w:rsid w:val="00E54B9E"/>
    <w:rsid w:val="00E57025"/>
    <w:rsid w:val="00E60FD2"/>
    <w:rsid w:val="00E61E87"/>
    <w:rsid w:val="00E62475"/>
    <w:rsid w:val="00E631E4"/>
    <w:rsid w:val="00E64EE2"/>
    <w:rsid w:val="00E65835"/>
    <w:rsid w:val="00E66078"/>
    <w:rsid w:val="00E66615"/>
    <w:rsid w:val="00E66727"/>
    <w:rsid w:val="00E66B6A"/>
    <w:rsid w:val="00E67D38"/>
    <w:rsid w:val="00E71E47"/>
    <w:rsid w:val="00E72FAE"/>
    <w:rsid w:val="00E733A4"/>
    <w:rsid w:val="00E7554E"/>
    <w:rsid w:val="00E76195"/>
    <w:rsid w:val="00E76DFC"/>
    <w:rsid w:val="00E80A48"/>
    <w:rsid w:val="00E80EF9"/>
    <w:rsid w:val="00E81FB4"/>
    <w:rsid w:val="00E824EB"/>
    <w:rsid w:val="00E82C5B"/>
    <w:rsid w:val="00E83406"/>
    <w:rsid w:val="00E83AAD"/>
    <w:rsid w:val="00E85798"/>
    <w:rsid w:val="00E904F6"/>
    <w:rsid w:val="00E937CC"/>
    <w:rsid w:val="00E93AA3"/>
    <w:rsid w:val="00E962DB"/>
    <w:rsid w:val="00E967CC"/>
    <w:rsid w:val="00EA21F9"/>
    <w:rsid w:val="00EA26D9"/>
    <w:rsid w:val="00EA31BE"/>
    <w:rsid w:val="00EA3A8B"/>
    <w:rsid w:val="00EA4168"/>
    <w:rsid w:val="00EA60F5"/>
    <w:rsid w:val="00EA6496"/>
    <w:rsid w:val="00EA6618"/>
    <w:rsid w:val="00EA7584"/>
    <w:rsid w:val="00EB2BFC"/>
    <w:rsid w:val="00EB33C3"/>
    <w:rsid w:val="00EB3BEC"/>
    <w:rsid w:val="00EB3E8A"/>
    <w:rsid w:val="00EB61CD"/>
    <w:rsid w:val="00EC02B0"/>
    <w:rsid w:val="00EC0E6D"/>
    <w:rsid w:val="00EC29DA"/>
    <w:rsid w:val="00EC329B"/>
    <w:rsid w:val="00EC347D"/>
    <w:rsid w:val="00EC3EFB"/>
    <w:rsid w:val="00EC3FB5"/>
    <w:rsid w:val="00EC40CF"/>
    <w:rsid w:val="00EC7182"/>
    <w:rsid w:val="00ED1185"/>
    <w:rsid w:val="00ED321F"/>
    <w:rsid w:val="00ED5E65"/>
    <w:rsid w:val="00ED6F33"/>
    <w:rsid w:val="00EE0A48"/>
    <w:rsid w:val="00EE36BD"/>
    <w:rsid w:val="00EE55BC"/>
    <w:rsid w:val="00EE5825"/>
    <w:rsid w:val="00EE72A7"/>
    <w:rsid w:val="00EF0381"/>
    <w:rsid w:val="00EF3AE5"/>
    <w:rsid w:val="00EF550A"/>
    <w:rsid w:val="00EF5B98"/>
    <w:rsid w:val="00EF705D"/>
    <w:rsid w:val="00EF7371"/>
    <w:rsid w:val="00F005C3"/>
    <w:rsid w:val="00F005CE"/>
    <w:rsid w:val="00F00DB9"/>
    <w:rsid w:val="00F0220E"/>
    <w:rsid w:val="00F04D01"/>
    <w:rsid w:val="00F06469"/>
    <w:rsid w:val="00F07D0A"/>
    <w:rsid w:val="00F1055A"/>
    <w:rsid w:val="00F11655"/>
    <w:rsid w:val="00F152D2"/>
    <w:rsid w:val="00F15766"/>
    <w:rsid w:val="00F2115C"/>
    <w:rsid w:val="00F21661"/>
    <w:rsid w:val="00F216C6"/>
    <w:rsid w:val="00F26A2F"/>
    <w:rsid w:val="00F27574"/>
    <w:rsid w:val="00F3036D"/>
    <w:rsid w:val="00F316E9"/>
    <w:rsid w:val="00F31BC8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523B9"/>
    <w:rsid w:val="00F5304E"/>
    <w:rsid w:val="00F55D86"/>
    <w:rsid w:val="00F5669A"/>
    <w:rsid w:val="00F56B9D"/>
    <w:rsid w:val="00F6198D"/>
    <w:rsid w:val="00F61ACF"/>
    <w:rsid w:val="00F649D1"/>
    <w:rsid w:val="00F655DC"/>
    <w:rsid w:val="00F65A57"/>
    <w:rsid w:val="00F65A6D"/>
    <w:rsid w:val="00F65DB6"/>
    <w:rsid w:val="00F6604C"/>
    <w:rsid w:val="00F6636F"/>
    <w:rsid w:val="00F67BEF"/>
    <w:rsid w:val="00F71EA6"/>
    <w:rsid w:val="00F73685"/>
    <w:rsid w:val="00F737AC"/>
    <w:rsid w:val="00F73A58"/>
    <w:rsid w:val="00F73D36"/>
    <w:rsid w:val="00F75170"/>
    <w:rsid w:val="00F76208"/>
    <w:rsid w:val="00F77036"/>
    <w:rsid w:val="00F773C6"/>
    <w:rsid w:val="00F8013F"/>
    <w:rsid w:val="00F802AF"/>
    <w:rsid w:val="00F80B46"/>
    <w:rsid w:val="00F80DA2"/>
    <w:rsid w:val="00F87E89"/>
    <w:rsid w:val="00F91053"/>
    <w:rsid w:val="00F91C9F"/>
    <w:rsid w:val="00F94100"/>
    <w:rsid w:val="00F94C1A"/>
    <w:rsid w:val="00F96D93"/>
    <w:rsid w:val="00FA2AC4"/>
    <w:rsid w:val="00FA3762"/>
    <w:rsid w:val="00FA3E21"/>
    <w:rsid w:val="00FA529B"/>
    <w:rsid w:val="00FA54F7"/>
    <w:rsid w:val="00FB1B7D"/>
    <w:rsid w:val="00FB1BA4"/>
    <w:rsid w:val="00FB2EAC"/>
    <w:rsid w:val="00FB5621"/>
    <w:rsid w:val="00FB5B86"/>
    <w:rsid w:val="00FB6196"/>
    <w:rsid w:val="00FB64C5"/>
    <w:rsid w:val="00FC00E9"/>
    <w:rsid w:val="00FC11D4"/>
    <w:rsid w:val="00FC1554"/>
    <w:rsid w:val="00FC2D53"/>
    <w:rsid w:val="00FC2E94"/>
    <w:rsid w:val="00FC3407"/>
    <w:rsid w:val="00FC37A0"/>
    <w:rsid w:val="00FC3A4D"/>
    <w:rsid w:val="00FC5638"/>
    <w:rsid w:val="00FC7A53"/>
    <w:rsid w:val="00FD2A78"/>
    <w:rsid w:val="00FD3EF3"/>
    <w:rsid w:val="00FD41FE"/>
    <w:rsid w:val="00FE1703"/>
    <w:rsid w:val="00FE2F2D"/>
    <w:rsid w:val="00FE3105"/>
    <w:rsid w:val="00FE7C3C"/>
    <w:rsid w:val="00FF2240"/>
    <w:rsid w:val="00FF22B3"/>
    <w:rsid w:val="00FF5552"/>
    <w:rsid w:val="00FF557C"/>
    <w:rsid w:val="00FF635E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07B69A0-481A-4FF4-8CA9-885B0A6D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C22F17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764760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4C4A69"/>
    <w:pPr>
      <w:tabs>
        <w:tab w:val="right" w:leader="hyphen" w:pos="8490"/>
      </w:tabs>
      <w:ind w:leftChars="0" w:left="487" w:rightChars="49" w:right="139" w:hangingChars="200" w:hanging="487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87284-B886-457C-8249-467DC9D48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440</Words>
  <Characters>2508</Characters>
  <Application>Microsoft Office Word</Application>
  <DocSecurity>0</DocSecurity>
  <Lines>20</Lines>
  <Paragraphs>5</Paragraphs>
  <ScaleCrop>false</ScaleCrop>
  <Company>HOME</Company>
  <LinksUpToDate>false</LinksUpToDate>
  <CharactersWithSpaces>2943</CharactersWithSpaces>
  <SharedDoc>false</SharedDoc>
  <HLinks>
    <vt:vector size="30" baseType="variant"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_Toc179905572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_Toc179905571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_Toc179905570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_Toc179905569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_Toc179905568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2024-10-25T02:28:00Z</dcterms:created>
  <dcterms:modified xsi:type="dcterms:W3CDTF">2024-10-25T02:28:00Z</dcterms:modified>
</cp:coreProperties>
</file>