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1B2" w:rsidRDefault="004F3367" w:rsidP="009301B2">
      <w:pPr>
        <w:pStyle w:val="ab"/>
        <w:jc w:val="left"/>
        <w:rPr>
          <w:rFonts w:hAnsi="標楷體" w:hint="eastAsia"/>
        </w:rPr>
      </w:pPr>
      <w:bookmarkStart w:id="0" w:name="_GoBack"/>
      <w:bookmarkEnd w:id="0"/>
      <w:r w:rsidRPr="004F3367">
        <w:rPr>
          <w:rFonts w:hAnsi="標楷體" w:hint="eastAsia"/>
        </w:rPr>
        <w:t>教育部所屬機構作業基金</w:t>
      </w:r>
      <w:r w:rsidR="009301B2" w:rsidRPr="0064421B">
        <w:rPr>
          <w:rFonts w:hAnsi="標楷體" w:hint="eastAsia"/>
        </w:rPr>
        <w:t>1</w:t>
      </w:r>
      <w:r w:rsidR="00D735DE">
        <w:rPr>
          <w:rFonts w:hAnsi="標楷體" w:hint="eastAsia"/>
        </w:rPr>
        <w:t>1</w:t>
      </w:r>
      <w:r w:rsidR="009A71E4">
        <w:rPr>
          <w:rFonts w:hAnsi="標楷體"/>
        </w:rPr>
        <w:t>4</w:t>
      </w:r>
      <w:r w:rsidR="009301B2" w:rsidRPr="0064421B">
        <w:rPr>
          <w:rFonts w:hAnsi="標楷體" w:hint="eastAsia"/>
        </w:rPr>
        <w:t>年度預算評估報告</w:t>
      </w:r>
    </w:p>
    <w:p w:rsidR="006C64A8" w:rsidRDefault="004F3367" w:rsidP="006C64A8">
      <w:pPr>
        <w:pStyle w:val="a8"/>
        <w:ind w:firstLine="566"/>
        <w:rPr>
          <w:snapToGrid/>
        </w:rPr>
      </w:pPr>
      <w:r w:rsidRPr="004F3367">
        <w:rPr>
          <w:rFonts w:hint="eastAsia"/>
          <w:snapToGrid/>
          <w:color w:val="000000"/>
        </w:rPr>
        <w:t>教育部所屬機構作業基金</w:t>
      </w:r>
      <w:r>
        <w:rPr>
          <w:rStyle w:val="af7"/>
          <w:snapToGrid/>
          <w:color w:val="000000"/>
        </w:rPr>
        <w:footnoteReference w:id="1"/>
      </w:r>
      <w:r w:rsidR="006C64A8" w:rsidRPr="006C64A8">
        <w:rPr>
          <w:rFonts w:hint="eastAsia"/>
          <w:snapToGrid/>
          <w:color w:val="000000"/>
        </w:rPr>
        <w:t>(以下簡稱</w:t>
      </w:r>
      <w:r>
        <w:rPr>
          <w:rFonts w:hint="eastAsia"/>
          <w:snapToGrid/>
        </w:rPr>
        <w:t>教育部所屬基金</w:t>
      </w:r>
      <w:r w:rsidR="006C64A8" w:rsidRPr="006C64A8">
        <w:rPr>
          <w:rFonts w:hint="eastAsia"/>
          <w:snapToGrid/>
        </w:rPr>
        <w:t>)</w:t>
      </w:r>
      <w:r w:rsidR="00A61E8E">
        <w:rPr>
          <w:rFonts w:hint="eastAsia"/>
          <w:snapToGrid/>
        </w:rPr>
        <w:t>包含</w:t>
      </w:r>
      <w:r w:rsidR="00A61E8E" w:rsidRPr="00886325">
        <w:rPr>
          <w:rFonts w:hAnsi="標楷體" w:hint="eastAsia"/>
        </w:rPr>
        <w:t>國立自然科學博物館</w:t>
      </w:r>
      <w:r w:rsidR="00A61E8E">
        <w:rPr>
          <w:rFonts w:hAnsi="標楷體" w:hint="eastAsia"/>
        </w:rPr>
        <w:t>(</w:t>
      </w:r>
      <w:r w:rsidR="00A61E8E" w:rsidRPr="00A61E8E">
        <w:rPr>
          <w:rFonts w:hAnsi="標楷體" w:hint="eastAsia"/>
        </w:rPr>
        <w:t>以下簡稱</w:t>
      </w:r>
      <w:r w:rsidR="00A61E8E" w:rsidRPr="00E80781">
        <w:rPr>
          <w:rFonts w:hAnsi="標楷體" w:hint="eastAsia"/>
        </w:rPr>
        <w:t>科博館</w:t>
      </w:r>
      <w:r w:rsidR="00A61E8E">
        <w:rPr>
          <w:rFonts w:hAnsi="標楷體" w:hint="eastAsia"/>
        </w:rPr>
        <w:t>)、</w:t>
      </w:r>
      <w:r w:rsidR="00A61E8E" w:rsidRPr="00A61E8E">
        <w:rPr>
          <w:rFonts w:hAnsi="標楷體" w:hint="eastAsia"/>
        </w:rPr>
        <w:t>國立科學工藝博物館(以下簡稱科工館)</w:t>
      </w:r>
      <w:r w:rsidR="00A61E8E">
        <w:rPr>
          <w:rFonts w:hAnsi="標楷體" w:hint="eastAsia"/>
        </w:rPr>
        <w:t>、</w:t>
      </w:r>
      <w:r w:rsidR="00A61E8E" w:rsidRPr="00A61E8E">
        <w:rPr>
          <w:rFonts w:hAnsi="標楷體" w:hint="eastAsia"/>
        </w:rPr>
        <w:t>國立海洋生物博物館(以下簡稱海生館)</w:t>
      </w:r>
      <w:r w:rsidR="00A61E8E">
        <w:rPr>
          <w:rFonts w:hAnsi="標楷體" w:hint="eastAsia"/>
        </w:rPr>
        <w:t>、</w:t>
      </w:r>
      <w:r w:rsidR="00A61E8E" w:rsidRPr="00A61E8E">
        <w:rPr>
          <w:rFonts w:hAnsi="標楷體" w:hint="eastAsia"/>
        </w:rPr>
        <w:t>國立臺灣科學教育館(以下簡稱科教館)</w:t>
      </w:r>
      <w:r w:rsidR="00A61E8E">
        <w:rPr>
          <w:rFonts w:hAnsi="標楷體" w:hint="eastAsia"/>
        </w:rPr>
        <w:t>、</w:t>
      </w:r>
      <w:r w:rsidR="00A61E8E" w:rsidRPr="008F3D17">
        <w:rPr>
          <w:rFonts w:hAnsi="標楷體" w:hint="eastAsia"/>
        </w:rPr>
        <w:t>國立臺灣圖書館</w:t>
      </w:r>
      <w:r w:rsidR="00A61E8E">
        <w:rPr>
          <w:rFonts w:hAnsi="標楷體" w:hint="eastAsia"/>
        </w:rPr>
        <w:t>(</w:t>
      </w:r>
      <w:r w:rsidR="00A61E8E" w:rsidRPr="00A61E8E">
        <w:rPr>
          <w:rFonts w:hAnsi="標楷體" w:hint="eastAsia"/>
        </w:rPr>
        <w:t>以下簡稱</w:t>
      </w:r>
      <w:r w:rsidR="00A61E8E" w:rsidRPr="006D31A8">
        <w:rPr>
          <w:rFonts w:hAnsi="標楷體" w:hint="eastAsia"/>
        </w:rPr>
        <w:t>臺灣圖書館</w:t>
      </w:r>
      <w:r w:rsidR="00A61E8E">
        <w:rPr>
          <w:rFonts w:hAnsi="標楷體" w:hint="eastAsia"/>
        </w:rPr>
        <w:t>)</w:t>
      </w:r>
      <w:r w:rsidR="00A61E8E" w:rsidRPr="006D31A8">
        <w:rPr>
          <w:rFonts w:hAnsi="標楷體" w:hint="eastAsia"/>
        </w:rPr>
        <w:t>及</w:t>
      </w:r>
      <w:r w:rsidR="00A61E8E" w:rsidRPr="008F3D17">
        <w:rPr>
          <w:rFonts w:hAnsi="標楷體" w:hint="eastAsia"/>
        </w:rPr>
        <w:t>國立海洋科技博物館</w:t>
      </w:r>
      <w:r w:rsidR="00A61E8E">
        <w:rPr>
          <w:rFonts w:hAnsi="標楷體" w:hint="eastAsia"/>
        </w:rPr>
        <w:t>(</w:t>
      </w:r>
      <w:r w:rsidR="00A61E8E" w:rsidRPr="00A61E8E">
        <w:rPr>
          <w:rFonts w:hAnsi="標楷體" w:hint="eastAsia"/>
        </w:rPr>
        <w:t>以下簡稱</w:t>
      </w:r>
      <w:r w:rsidR="00A61E8E" w:rsidRPr="006D31A8">
        <w:rPr>
          <w:rFonts w:hAnsi="標楷體" w:hint="eastAsia"/>
        </w:rPr>
        <w:t>海科館</w:t>
      </w:r>
      <w:r w:rsidR="00A61E8E">
        <w:rPr>
          <w:rFonts w:hAnsi="標楷體" w:hint="eastAsia"/>
        </w:rPr>
        <w:t>)等6個機構之分基金，</w:t>
      </w:r>
      <w:r w:rsidR="006C64A8" w:rsidRPr="006C64A8">
        <w:rPr>
          <w:rFonts w:hint="eastAsia"/>
          <w:snapToGrid/>
        </w:rPr>
        <w:t>1</w:t>
      </w:r>
      <w:r w:rsidR="00D735DE">
        <w:rPr>
          <w:rFonts w:hint="eastAsia"/>
          <w:snapToGrid/>
        </w:rPr>
        <w:t>1</w:t>
      </w:r>
      <w:r w:rsidR="009A71E4">
        <w:rPr>
          <w:snapToGrid/>
        </w:rPr>
        <w:t>4</w:t>
      </w:r>
      <w:r w:rsidR="006C64A8" w:rsidRPr="006C64A8">
        <w:rPr>
          <w:rFonts w:hint="eastAsia"/>
          <w:snapToGrid/>
        </w:rPr>
        <w:t>年度預算案編列業務收入</w:t>
      </w:r>
      <w:r w:rsidR="005723E2">
        <w:rPr>
          <w:snapToGrid/>
        </w:rPr>
        <w:t>2</w:t>
      </w:r>
      <w:r w:rsidR="00A02E06">
        <w:rPr>
          <w:snapToGrid/>
        </w:rPr>
        <w:t>1</w:t>
      </w:r>
      <w:r w:rsidR="006C64A8" w:rsidRPr="006C64A8">
        <w:rPr>
          <w:rFonts w:hint="eastAsia"/>
          <w:snapToGrid/>
        </w:rPr>
        <w:t>億</w:t>
      </w:r>
      <w:r w:rsidR="00A02E06">
        <w:rPr>
          <w:snapToGrid/>
        </w:rPr>
        <w:t>2,781</w:t>
      </w:r>
      <w:r w:rsidR="006C64A8" w:rsidRPr="006C64A8">
        <w:rPr>
          <w:rFonts w:hint="eastAsia"/>
          <w:snapToGrid/>
        </w:rPr>
        <w:t>萬</w:t>
      </w:r>
      <w:r w:rsidR="00A02E06">
        <w:rPr>
          <w:snapToGrid/>
        </w:rPr>
        <w:t>4</w:t>
      </w:r>
      <w:r w:rsidR="006C64A8" w:rsidRPr="006C64A8">
        <w:rPr>
          <w:rFonts w:hint="eastAsia"/>
          <w:snapToGrid/>
        </w:rPr>
        <w:t>千元，業務成本與費用2</w:t>
      </w:r>
      <w:r w:rsidR="00A02E06">
        <w:rPr>
          <w:snapToGrid/>
        </w:rPr>
        <w:t>8</w:t>
      </w:r>
      <w:r w:rsidR="006C64A8" w:rsidRPr="006C64A8">
        <w:rPr>
          <w:rFonts w:hint="eastAsia"/>
          <w:snapToGrid/>
        </w:rPr>
        <w:t>億</w:t>
      </w:r>
      <w:r w:rsidR="00A02E06">
        <w:rPr>
          <w:snapToGrid/>
        </w:rPr>
        <w:t>2,028</w:t>
      </w:r>
      <w:r w:rsidR="006C64A8" w:rsidRPr="006C64A8">
        <w:rPr>
          <w:rFonts w:hint="eastAsia"/>
          <w:snapToGrid/>
        </w:rPr>
        <w:t>萬</w:t>
      </w:r>
      <w:r w:rsidR="00A02E06">
        <w:rPr>
          <w:snapToGrid/>
        </w:rPr>
        <w:t>8</w:t>
      </w:r>
      <w:r w:rsidR="006C64A8" w:rsidRPr="006C64A8">
        <w:rPr>
          <w:rFonts w:hint="eastAsia"/>
          <w:snapToGrid/>
        </w:rPr>
        <w:t>千元，業務外收入</w:t>
      </w:r>
      <w:r w:rsidR="00A02E06">
        <w:rPr>
          <w:snapToGrid/>
        </w:rPr>
        <w:t>2</w:t>
      </w:r>
      <w:r w:rsidR="006C64A8" w:rsidRPr="006C64A8">
        <w:rPr>
          <w:rFonts w:hint="eastAsia"/>
          <w:snapToGrid/>
        </w:rPr>
        <w:t>億</w:t>
      </w:r>
      <w:r w:rsidR="00A02E06">
        <w:rPr>
          <w:snapToGrid/>
        </w:rPr>
        <w:t>395</w:t>
      </w:r>
      <w:r w:rsidR="006C64A8" w:rsidRPr="006C64A8">
        <w:rPr>
          <w:rFonts w:hint="eastAsia"/>
          <w:snapToGrid/>
        </w:rPr>
        <w:t>萬</w:t>
      </w:r>
      <w:r w:rsidR="005723E2">
        <w:rPr>
          <w:snapToGrid/>
        </w:rPr>
        <w:t>4</w:t>
      </w:r>
      <w:r w:rsidR="006C64A8" w:rsidRPr="006C64A8">
        <w:rPr>
          <w:rFonts w:hint="eastAsia"/>
          <w:snapToGrid/>
        </w:rPr>
        <w:t>千元，業務外費用</w:t>
      </w:r>
      <w:r w:rsidR="00691852">
        <w:rPr>
          <w:snapToGrid/>
        </w:rPr>
        <w:t>1,</w:t>
      </w:r>
      <w:r w:rsidR="00A02E06">
        <w:rPr>
          <w:snapToGrid/>
        </w:rPr>
        <w:t>587</w:t>
      </w:r>
      <w:r w:rsidR="006C64A8" w:rsidRPr="006C64A8">
        <w:rPr>
          <w:rFonts w:hint="eastAsia"/>
          <w:snapToGrid/>
        </w:rPr>
        <w:t>萬</w:t>
      </w:r>
      <w:r w:rsidR="00A02E06">
        <w:rPr>
          <w:rFonts w:hint="eastAsia"/>
          <w:snapToGrid/>
        </w:rPr>
        <w:t>5千</w:t>
      </w:r>
      <w:r w:rsidR="006C64A8" w:rsidRPr="006C64A8">
        <w:rPr>
          <w:rFonts w:hint="eastAsia"/>
          <w:snapToGrid/>
        </w:rPr>
        <w:t>元，收支相抵後短絀</w:t>
      </w:r>
      <w:r w:rsidR="00CF7F74">
        <w:rPr>
          <w:rFonts w:hint="eastAsia"/>
          <w:snapToGrid/>
        </w:rPr>
        <w:t>5</w:t>
      </w:r>
      <w:r w:rsidR="006C64A8" w:rsidRPr="006C64A8">
        <w:rPr>
          <w:rFonts w:hint="eastAsia"/>
          <w:snapToGrid/>
        </w:rPr>
        <w:t>億</w:t>
      </w:r>
      <w:r w:rsidR="00A02E06">
        <w:rPr>
          <w:snapToGrid/>
        </w:rPr>
        <w:t>439</w:t>
      </w:r>
      <w:r w:rsidR="006C64A8" w:rsidRPr="006C64A8">
        <w:rPr>
          <w:rFonts w:hint="eastAsia"/>
          <w:snapToGrid/>
        </w:rPr>
        <w:t>萬</w:t>
      </w:r>
      <w:r w:rsidR="00A02E06">
        <w:rPr>
          <w:snapToGrid/>
        </w:rPr>
        <w:t>5</w:t>
      </w:r>
      <w:r w:rsidR="00691852">
        <w:rPr>
          <w:rFonts w:hint="eastAsia"/>
          <w:snapToGrid/>
        </w:rPr>
        <w:t>千</w:t>
      </w:r>
      <w:r w:rsidR="006C64A8" w:rsidRPr="006C64A8">
        <w:rPr>
          <w:rFonts w:hint="eastAsia"/>
          <w:snapToGrid/>
        </w:rPr>
        <w:t>元，較1</w:t>
      </w:r>
      <w:r w:rsidR="00691852">
        <w:rPr>
          <w:rFonts w:hint="eastAsia"/>
          <w:snapToGrid/>
        </w:rPr>
        <w:t>1</w:t>
      </w:r>
      <w:r w:rsidR="00A02E06">
        <w:rPr>
          <w:snapToGrid/>
        </w:rPr>
        <w:t>3</w:t>
      </w:r>
      <w:r w:rsidR="006C64A8" w:rsidRPr="006C64A8">
        <w:rPr>
          <w:rFonts w:hint="eastAsia"/>
          <w:snapToGrid/>
        </w:rPr>
        <w:t>年度</w:t>
      </w:r>
      <w:r w:rsidR="006C64A8" w:rsidRPr="00EC0039">
        <w:rPr>
          <w:rFonts w:hint="eastAsia"/>
          <w:snapToGrid/>
        </w:rPr>
        <w:t>預算</w:t>
      </w:r>
      <w:r w:rsidR="00BA10F2">
        <w:rPr>
          <w:rFonts w:hint="eastAsia"/>
          <w:snapToGrid/>
        </w:rPr>
        <w:t>案</w:t>
      </w:r>
      <w:r w:rsidR="00691852">
        <w:rPr>
          <w:rFonts w:hint="eastAsia"/>
          <w:snapToGrid/>
        </w:rPr>
        <w:t>減少</w:t>
      </w:r>
      <w:r w:rsidR="006C64A8" w:rsidRPr="006C64A8">
        <w:rPr>
          <w:rFonts w:hint="eastAsia"/>
          <w:snapToGrid/>
        </w:rPr>
        <w:t>短絀</w:t>
      </w:r>
      <w:r w:rsidR="00A02E06">
        <w:rPr>
          <w:snapToGrid/>
        </w:rPr>
        <w:t>798</w:t>
      </w:r>
      <w:r w:rsidR="00691852">
        <w:rPr>
          <w:rFonts w:hint="eastAsia"/>
          <w:snapToGrid/>
        </w:rPr>
        <w:t>萬</w:t>
      </w:r>
      <w:r w:rsidR="00A02E06">
        <w:rPr>
          <w:snapToGrid/>
        </w:rPr>
        <w:t>1</w:t>
      </w:r>
      <w:r w:rsidR="00CF7F74">
        <w:rPr>
          <w:rFonts w:hint="eastAsia"/>
          <w:snapToGrid/>
          <w:lang w:eastAsia="zh-HK"/>
        </w:rPr>
        <w:t>千元</w:t>
      </w:r>
      <w:r w:rsidR="006C64A8" w:rsidRPr="006C64A8">
        <w:rPr>
          <w:rFonts w:hint="eastAsia"/>
          <w:snapToGrid/>
        </w:rPr>
        <w:t>（</w:t>
      </w:r>
      <w:r w:rsidR="00206C1A" w:rsidRPr="00206C1A">
        <w:rPr>
          <w:rFonts w:hint="eastAsia"/>
          <w:snapToGrid/>
        </w:rPr>
        <w:t>短絀</w:t>
      </w:r>
      <w:r w:rsidR="00691852">
        <w:rPr>
          <w:rFonts w:hint="eastAsia"/>
          <w:snapToGrid/>
        </w:rPr>
        <w:t>減</w:t>
      </w:r>
      <w:r w:rsidR="006C64A8" w:rsidRPr="006C64A8">
        <w:rPr>
          <w:rFonts w:hint="eastAsia"/>
          <w:snapToGrid/>
        </w:rPr>
        <w:t>幅</w:t>
      </w:r>
      <w:r w:rsidR="00A02E06">
        <w:rPr>
          <w:snapToGrid/>
        </w:rPr>
        <w:t>1.56</w:t>
      </w:r>
      <w:r w:rsidR="006C64A8" w:rsidRPr="006C64A8">
        <w:rPr>
          <w:rFonts w:hint="eastAsia"/>
          <w:snapToGrid/>
        </w:rPr>
        <w:t>%）。謹就</w:t>
      </w:r>
      <w:r w:rsidRPr="004F3367">
        <w:rPr>
          <w:rFonts w:hint="eastAsia"/>
          <w:snapToGrid/>
        </w:rPr>
        <w:t>教育部所屬基金</w:t>
      </w:r>
      <w:r w:rsidR="006C64A8" w:rsidRPr="006C64A8">
        <w:rPr>
          <w:rFonts w:hint="eastAsia"/>
          <w:snapToGrid/>
        </w:rPr>
        <w:t>1</w:t>
      </w:r>
      <w:r w:rsidR="00D735DE">
        <w:rPr>
          <w:rFonts w:hint="eastAsia"/>
          <w:snapToGrid/>
        </w:rPr>
        <w:t>1</w:t>
      </w:r>
      <w:r w:rsidR="00A02E06">
        <w:rPr>
          <w:snapToGrid/>
        </w:rPr>
        <w:t>4</w:t>
      </w:r>
      <w:r w:rsidR="006C64A8" w:rsidRPr="006C64A8">
        <w:rPr>
          <w:rFonts w:hint="eastAsia"/>
          <w:snapToGrid/>
        </w:rPr>
        <w:t>年度預算案評估如下：</w:t>
      </w:r>
    </w:p>
    <w:p w:rsidR="00C71EEE" w:rsidRPr="00D6630F" w:rsidRDefault="00C71EEE" w:rsidP="00C71EEE">
      <w:pPr>
        <w:pStyle w:val="144"/>
        <w:ind w:left="567" w:hanging="567"/>
        <w:rPr>
          <w:rFonts w:hint="eastAsia"/>
        </w:rPr>
      </w:pPr>
      <w:bookmarkStart w:id="1" w:name="_Toc180589860"/>
      <w:r>
        <w:rPr>
          <w:rStyle w:val="141"/>
          <w:rFonts w:hint="eastAsia"/>
          <w:b/>
          <w:snapToGrid w:val="0"/>
        </w:rPr>
        <w:t>二</w:t>
      </w:r>
      <w:r w:rsidRPr="00D6630F">
        <w:rPr>
          <w:rStyle w:val="141"/>
          <w:rFonts w:hint="eastAsia"/>
          <w:b/>
          <w:snapToGrid w:val="0"/>
        </w:rPr>
        <w:t>、</w:t>
      </w:r>
      <w:r>
        <w:rPr>
          <w:rStyle w:val="141"/>
          <w:rFonts w:hint="eastAsia"/>
          <w:b/>
          <w:snapToGrid w:val="0"/>
        </w:rPr>
        <w:t>部分館所1</w:t>
      </w:r>
      <w:r>
        <w:rPr>
          <w:rStyle w:val="141"/>
          <w:b/>
          <w:snapToGrid w:val="0"/>
        </w:rPr>
        <w:t>12</w:t>
      </w:r>
      <w:r>
        <w:rPr>
          <w:rStyle w:val="141"/>
          <w:rFonts w:hint="eastAsia"/>
          <w:b/>
          <w:snapToGrid w:val="0"/>
        </w:rPr>
        <w:t>年度之國外</w:t>
      </w:r>
      <w:r w:rsidRPr="00A2162F">
        <w:rPr>
          <w:rStyle w:val="141"/>
          <w:rFonts w:hint="eastAsia"/>
          <w:b/>
          <w:snapToGrid w:val="0"/>
        </w:rPr>
        <w:t>專業學術期刊發表論文</w:t>
      </w:r>
      <w:r>
        <w:rPr>
          <w:rStyle w:val="141"/>
          <w:rFonts w:hint="eastAsia"/>
          <w:b/>
          <w:snapToGrid w:val="0"/>
        </w:rPr>
        <w:t>數</w:t>
      </w:r>
      <w:r>
        <w:rPr>
          <w:rStyle w:val="141"/>
          <w:rFonts w:hAnsi="標楷體" w:hint="eastAsia"/>
          <w:b/>
          <w:snapToGrid w:val="0"/>
        </w:rPr>
        <w:t>，</w:t>
      </w:r>
      <w:r w:rsidR="00F245CA">
        <w:rPr>
          <w:rStyle w:val="141"/>
          <w:rFonts w:hAnsi="標楷體" w:hint="eastAsia"/>
          <w:b/>
          <w:snapToGrid w:val="0"/>
        </w:rPr>
        <w:t>為</w:t>
      </w:r>
      <w:r>
        <w:rPr>
          <w:rStyle w:val="141"/>
          <w:rFonts w:hint="eastAsia"/>
          <w:b/>
          <w:snapToGrid w:val="0"/>
        </w:rPr>
        <w:t>1</w:t>
      </w:r>
      <w:r>
        <w:rPr>
          <w:rStyle w:val="141"/>
          <w:b/>
          <w:snapToGrid w:val="0"/>
        </w:rPr>
        <w:t>08</w:t>
      </w:r>
      <w:r>
        <w:rPr>
          <w:rStyle w:val="141"/>
          <w:rFonts w:hint="eastAsia"/>
          <w:b/>
          <w:snapToGrid w:val="0"/>
        </w:rPr>
        <w:t>年度以來最低</w:t>
      </w:r>
      <w:r w:rsidRPr="00D6630F">
        <w:rPr>
          <w:rStyle w:val="141"/>
          <w:rFonts w:hint="eastAsia"/>
          <w:b/>
          <w:snapToGrid w:val="0"/>
        </w:rPr>
        <w:t>，</w:t>
      </w:r>
      <w:r>
        <w:rPr>
          <w:rStyle w:val="141"/>
          <w:rFonts w:hint="eastAsia"/>
          <w:b/>
          <w:snapToGrid w:val="0"/>
        </w:rPr>
        <w:t>允宜研謀改善</w:t>
      </w:r>
      <w:r>
        <w:rPr>
          <w:rStyle w:val="141"/>
          <w:rFonts w:hAnsi="標楷體" w:hint="eastAsia"/>
          <w:b/>
          <w:snapToGrid w:val="0"/>
        </w:rPr>
        <w:t>，</w:t>
      </w:r>
      <w:r>
        <w:rPr>
          <w:rStyle w:val="141"/>
          <w:rFonts w:hint="eastAsia"/>
          <w:b/>
          <w:snapToGrid w:val="0"/>
        </w:rPr>
        <w:t>俾提升專業研究水準</w:t>
      </w:r>
      <w:bookmarkEnd w:id="1"/>
    </w:p>
    <w:p w:rsidR="00C71EEE" w:rsidRDefault="00C71EEE" w:rsidP="00C71EEE">
      <w:pPr>
        <w:ind w:leftChars="202" w:left="572" w:firstLine="566"/>
        <w:rPr>
          <w:rFonts w:hAnsi="標楷體"/>
        </w:rPr>
      </w:pPr>
      <w:r w:rsidRPr="00E34AF2">
        <w:rPr>
          <w:rFonts w:hAnsi="標楷體" w:hint="eastAsia"/>
          <w:lang w:eastAsia="zh-HK"/>
        </w:rPr>
        <w:t>教育部所屬基金各館所除辦理社會科學教育之展覽與劇場演出活動等館務服務外，亦負有與其主要職掌相關生物</w:t>
      </w:r>
      <w:r>
        <w:rPr>
          <w:rFonts w:hAnsi="標楷體" w:hint="eastAsia"/>
        </w:rPr>
        <w:t>標本</w:t>
      </w:r>
      <w:r w:rsidRPr="00E34AF2">
        <w:rPr>
          <w:rFonts w:hAnsi="標楷體" w:hint="eastAsia"/>
          <w:lang w:eastAsia="zh-HK"/>
        </w:rPr>
        <w:t>或文物之</w:t>
      </w:r>
      <w:r>
        <w:rPr>
          <w:rFonts w:hAnsi="標楷體" w:hint="eastAsia"/>
        </w:rPr>
        <w:t>採集</w:t>
      </w:r>
      <w:r>
        <w:rPr>
          <w:rFonts w:hAnsi="標楷體" w:hint="eastAsia"/>
          <w:lang w:eastAsia="zh-HK"/>
        </w:rPr>
        <w:t>、</w:t>
      </w:r>
      <w:r w:rsidRPr="00E34AF2">
        <w:rPr>
          <w:rFonts w:hAnsi="標楷體" w:hint="eastAsia"/>
          <w:lang w:eastAsia="zh-HK"/>
        </w:rPr>
        <w:t>蒐</w:t>
      </w:r>
      <w:r>
        <w:rPr>
          <w:rFonts w:hAnsi="標楷體" w:hint="eastAsia"/>
        </w:rPr>
        <w:t>藏及</w:t>
      </w:r>
      <w:r w:rsidRPr="00E34AF2">
        <w:rPr>
          <w:rFonts w:hAnsi="標楷體" w:hint="eastAsia"/>
          <w:lang w:eastAsia="zh-HK"/>
        </w:rPr>
        <w:t>研究</w:t>
      </w:r>
      <w:r>
        <w:rPr>
          <w:rFonts w:hAnsi="標楷體" w:hint="eastAsia"/>
        </w:rPr>
        <w:t>(不含臺灣圖書館中山樓</w:t>
      </w:r>
      <w:r>
        <w:rPr>
          <w:rFonts w:hAnsi="標楷體"/>
        </w:rPr>
        <w:t>)</w:t>
      </w:r>
      <w:r w:rsidRPr="00E34AF2">
        <w:rPr>
          <w:rFonts w:hAnsi="標楷體" w:hint="eastAsia"/>
          <w:lang w:eastAsia="zh-HK"/>
        </w:rPr>
        <w:t>。</w:t>
      </w:r>
      <w:r w:rsidR="000E02E1" w:rsidRPr="000E02E1">
        <w:rPr>
          <w:rFonts w:hAnsi="標楷體" w:hint="eastAsia"/>
        </w:rPr>
        <w:t>114年度</w:t>
      </w:r>
      <w:r>
        <w:rPr>
          <w:rFonts w:hAnsi="標楷體" w:hint="eastAsia"/>
        </w:rPr>
        <w:t>科博館</w:t>
      </w:r>
      <w:r>
        <w:rPr>
          <w:rFonts w:hAnsi="標楷體" w:hint="eastAsia"/>
          <w:lang w:eastAsia="zh-HK"/>
        </w:rPr>
        <w:t>、</w:t>
      </w:r>
      <w:r>
        <w:rPr>
          <w:rFonts w:hAnsi="標楷體" w:hint="eastAsia"/>
        </w:rPr>
        <w:t>科工館及海生館</w:t>
      </w:r>
      <w:r w:rsidR="00BA10F2">
        <w:rPr>
          <w:rFonts w:hAnsi="標楷體" w:hint="eastAsia"/>
        </w:rPr>
        <w:t>皆</w:t>
      </w:r>
      <w:r>
        <w:rPr>
          <w:rFonts w:hAnsi="標楷體" w:hint="eastAsia"/>
        </w:rPr>
        <w:t>將在專業學術期刊發表科學文獻用指標論文(</w:t>
      </w:r>
      <w:r>
        <w:rPr>
          <w:rFonts w:hAnsi="標楷體"/>
        </w:rPr>
        <w:t>SCI)</w:t>
      </w:r>
      <w:r>
        <w:rPr>
          <w:rFonts w:hAnsi="標楷體" w:hint="eastAsia"/>
        </w:rPr>
        <w:t>數列為</w:t>
      </w:r>
      <w:r w:rsidR="000E02E1" w:rsidRPr="000E02E1">
        <w:rPr>
          <w:rFonts w:hAnsi="標楷體" w:hint="eastAsia"/>
        </w:rPr>
        <w:t>提升專業研究水準</w:t>
      </w:r>
      <w:r w:rsidR="000E02E1">
        <w:rPr>
          <w:rFonts w:hAnsi="標楷體" w:hint="eastAsia"/>
        </w:rPr>
        <w:t>之</w:t>
      </w:r>
      <w:r>
        <w:rPr>
          <w:rFonts w:hAnsi="標楷體" w:hint="eastAsia"/>
        </w:rPr>
        <w:t>績效衡量指標，</w:t>
      </w:r>
      <w:r w:rsidRPr="00E34AF2">
        <w:rPr>
          <w:rFonts w:hAnsi="標楷體" w:hint="eastAsia"/>
        </w:rPr>
        <w:t>該基金114年度預算案編列</w:t>
      </w:r>
      <w:r>
        <w:rPr>
          <w:rFonts w:hAnsi="標楷體" w:hint="eastAsia"/>
        </w:rPr>
        <w:t>專業研究</w:t>
      </w:r>
      <w:r w:rsidRPr="00D90348">
        <w:rPr>
          <w:rFonts w:hAnsi="標楷體" w:hint="eastAsia"/>
        </w:rPr>
        <w:t>(不含科普</w:t>
      </w:r>
      <w:r w:rsidR="00E05FA3">
        <w:rPr>
          <w:rFonts w:hAnsi="標楷體" w:hint="eastAsia"/>
        </w:rPr>
        <w:t>及</w:t>
      </w:r>
      <w:r w:rsidRPr="00D90348">
        <w:rPr>
          <w:rFonts w:hAnsi="標楷體" w:hint="eastAsia"/>
        </w:rPr>
        <w:t>科學教育通俗性)</w:t>
      </w:r>
      <w:r w:rsidR="00BA10F2" w:rsidRPr="00BA10F2">
        <w:rPr>
          <w:rFonts w:hAnsi="標楷體" w:hint="eastAsia"/>
        </w:rPr>
        <w:t>相關經費</w:t>
      </w:r>
      <w:r w:rsidRPr="00E34AF2">
        <w:rPr>
          <w:rFonts w:hAnsi="標楷體" w:hint="eastAsia"/>
        </w:rPr>
        <w:t>計</w:t>
      </w:r>
      <w:r>
        <w:rPr>
          <w:rFonts w:hAnsi="標楷體" w:hint="eastAsia"/>
        </w:rPr>
        <w:t>1億</w:t>
      </w:r>
      <w:r>
        <w:rPr>
          <w:rFonts w:hAnsi="標楷體"/>
        </w:rPr>
        <w:t>4,008</w:t>
      </w:r>
      <w:r w:rsidRPr="00E34AF2">
        <w:rPr>
          <w:rFonts w:hAnsi="標楷體" w:hint="eastAsia"/>
        </w:rPr>
        <w:t>萬</w:t>
      </w:r>
      <w:r>
        <w:rPr>
          <w:rFonts w:hAnsi="標楷體"/>
        </w:rPr>
        <w:t>5</w:t>
      </w:r>
      <w:r w:rsidRPr="00E34AF2">
        <w:rPr>
          <w:rFonts w:hAnsi="標楷體" w:hint="eastAsia"/>
        </w:rPr>
        <w:t>千元 (詳表1)。</w:t>
      </w:r>
    </w:p>
    <w:p w:rsidR="00C71EEE" w:rsidRDefault="00C71EEE" w:rsidP="00C71EEE">
      <w:pPr>
        <w:ind w:leftChars="202" w:left="572" w:firstLine="566"/>
        <w:rPr>
          <w:rFonts w:hAnsi="標楷體"/>
        </w:rPr>
      </w:pPr>
    </w:p>
    <w:p w:rsidR="00C71EEE" w:rsidRDefault="00C71EEE" w:rsidP="00C71EEE">
      <w:pPr>
        <w:pStyle w:val="142"/>
        <w:spacing w:beforeLines="20" w:before="100" w:line="0" w:lineRule="atLeast"/>
        <w:ind w:left="780" w:hangingChars="275" w:hanging="780"/>
        <w:rPr>
          <w:rFonts w:hAnsi="標楷體" w:hint="eastAsia"/>
          <w:color w:val="000000"/>
        </w:rPr>
      </w:pPr>
      <w:r>
        <w:rPr>
          <w:rFonts w:hAnsi="標楷體" w:hint="eastAsia"/>
          <w:b/>
          <w:sz w:val="28"/>
          <w:lang w:eastAsia="zh-HK"/>
        </w:rPr>
        <w:t>表1</w:t>
      </w:r>
      <w:r>
        <w:rPr>
          <w:rFonts w:hAnsi="標楷體" w:hint="eastAsia"/>
          <w:b/>
          <w:sz w:val="28"/>
        </w:rPr>
        <w:t xml:space="preserve">  1</w:t>
      </w:r>
      <w:r>
        <w:rPr>
          <w:rFonts w:hAnsi="標楷體"/>
          <w:b/>
          <w:sz w:val="28"/>
        </w:rPr>
        <w:t>10</w:t>
      </w:r>
      <w:r>
        <w:rPr>
          <w:rFonts w:hAnsi="標楷體" w:hint="eastAsia"/>
          <w:b/>
          <w:sz w:val="28"/>
        </w:rPr>
        <w:t>至11</w:t>
      </w:r>
      <w:r>
        <w:rPr>
          <w:rFonts w:hAnsi="標楷體"/>
          <w:b/>
          <w:sz w:val="28"/>
        </w:rPr>
        <w:t>4</w:t>
      </w:r>
      <w:r>
        <w:rPr>
          <w:rFonts w:hAnsi="標楷體" w:hint="eastAsia"/>
          <w:b/>
          <w:sz w:val="28"/>
        </w:rPr>
        <w:t>年度</w:t>
      </w:r>
      <w:r w:rsidRPr="00CD0208">
        <w:rPr>
          <w:rFonts w:hAnsi="標楷體" w:hint="eastAsia"/>
          <w:b/>
          <w:sz w:val="28"/>
        </w:rPr>
        <w:t>教育部所屬基金</w:t>
      </w:r>
      <w:r>
        <w:rPr>
          <w:rFonts w:hAnsi="標楷體" w:hint="eastAsia"/>
          <w:b/>
          <w:sz w:val="28"/>
        </w:rPr>
        <w:t>各分基金</w:t>
      </w:r>
      <w:r w:rsidRPr="00D90348">
        <w:rPr>
          <w:rFonts w:hAnsi="標楷體" w:hint="eastAsia"/>
          <w:b/>
          <w:sz w:val="28"/>
        </w:rPr>
        <w:t>專業研究</w:t>
      </w:r>
      <w:r w:rsidR="00BA10F2" w:rsidRPr="00D90348">
        <w:rPr>
          <w:rFonts w:hAnsi="標楷體" w:hint="eastAsia"/>
          <w:b/>
          <w:sz w:val="28"/>
        </w:rPr>
        <w:t xml:space="preserve"> </w:t>
      </w:r>
      <w:r w:rsidRPr="00D90348">
        <w:rPr>
          <w:rFonts w:hAnsi="標楷體" w:hint="eastAsia"/>
          <w:b/>
          <w:sz w:val="28"/>
        </w:rPr>
        <w:t>(不含科普</w:t>
      </w:r>
      <w:r w:rsidR="00E05FA3">
        <w:rPr>
          <w:rFonts w:hAnsi="標楷體" w:hint="eastAsia"/>
          <w:b/>
          <w:sz w:val="28"/>
        </w:rPr>
        <w:t>及</w:t>
      </w:r>
      <w:r w:rsidRPr="00D90348">
        <w:rPr>
          <w:rFonts w:hAnsi="標楷體" w:hint="eastAsia"/>
          <w:b/>
          <w:sz w:val="28"/>
        </w:rPr>
        <w:t>科學教育通俗性)</w:t>
      </w:r>
      <w:r w:rsidR="00BA10F2" w:rsidRPr="00BA10F2">
        <w:rPr>
          <w:rFonts w:hAnsi="標楷體" w:hint="eastAsia"/>
          <w:b/>
          <w:sz w:val="28"/>
        </w:rPr>
        <w:t>相關經費</w:t>
      </w:r>
      <w:r>
        <w:rPr>
          <w:rFonts w:hAnsi="標楷體" w:hint="eastAsia"/>
          <w:b/>
          <w:sz w:val="28"/>
        </w:rPr>
        <w:t xml:space="preserve">統計表　　</w:t>
      </w:r>
      <w:r w:rsidR="00F6526C">
        <w:rPr>
          <w:rFonts w:hAnsi="標楷體" w:hint="eastAsia"/>
          <w:b/>
          <w:sz w:val="28"/>
        </w:rPr>
        <w:t xml:space="preserve"> </w:t>
      </w:r>
      <w:r w:rsidR="00F6526C">
        <w:rPr>
          <w:rFonts w:hAnsi="標楷體"/>
          <w:b/>
          <w:sz w:val="28"/>
        </w:rPr>
        <w:t xml:space="preserve">  </w:t>
      </w:r>
      <w:r>
        <w:rPr>
          <w:rFonts w:hAnsi="標楷體" w:hint="eastAsia"/>
          <w:b/>
          <w:sz w:val="28"/>
        </w:rPr>
        <w:t xml:space="preserve">      </w:t>
      </w:r>
      <w:r>
        <w:rPr>
          <w:rFonts w:hAnsi="標楷體" w:hint="eastAsia"/>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45"/>
        <w:gridCol w:w="1237"/>
        <w:gridCol w:w="1237"/>
        <w:gridCol w:w="1237"/>
        <w:gridCol w:w="1237"/>
        <w:gridCol w:w="1327"/>
      </w:tblGrid>
      <w:tr w:rsidR="00C71EEE" w:rsidRPr="00C71EEE" w:rsidTr="003B2726">
        <w:trPr>
          <w:trHeight w:val="324"/>
          <w:tblHeader/>
        </w:trPr>
        <w:tc>
          <w:tcPr>
            <w:tcW w:w="2245" w:type="dxa"/>
            <w:shd w:val="clear" w:color="auto" w:fill="auto"/>
            <w:noWrap/>
            <w:vAlign w:val="center"/>
            <w:hideMark/>
          </w:tcPr>
          <w:p w:rsidR="00C71EEE" w:rsidRPr="00C71EEE" w:rsidRDefault="00C71EEE" w:rsidP="00F245CA">
            <w:pPr>
              <w:pStyle w:val="142"/>
              <w:jc w:val="center"/>
            </w:pPr>
            <w:r w:rsidRPr="00C71EEE">
              <w:rPr>
                <w:rFonts w:hint="eastAsia"/>
              </w:rPr>
              <w:t>機構別</w:t>
            </w:r>
          </w:p>
        </w:tc>
        <w:tc>
          <w:tcPr>
            <w:tcW w:w="1237" w:type="dxa"/>
            <w:shd w:val="clear" w:color="auto" w:fill="auto"/>
            <w:noWrap/>
            <w:vAlign w:val="center"/>
            <w:hideMark/>
          </w:tcPr>
          <w:p w:rsidR="00BA10F2" w:rsidRDefault="00C71EEE" w:rsidP="00F245CA">
            <w:pPr>
              <w:pStyle w:val="142"/>
              <w:jc w:val="center"/>
            </w:pPr>
            <w:r w:rsidRPr="00C71EEE">
              <w:rPr>
                <w:rFonts w:hint="eastAsia"/>
              </w:rPr>
              <w:t>1</w:t>
            </w:r>
            <w:r w:rsidRPr="00C71EEE">
              <w:t>10</w:t>
            </w:r>
            <w:r w:rsidR="00BA10F2">
              <w:rPr>
                <w:rFonts w:hint="eastAsia"/>
              </w:rPr>
              <w:t>年度</w:t>
            </w:r>
          </w:p>
          <w:p w:rsidR="00C71EEE" w:rsidRPr="00C71EEE" w:rsidRDefault="00C71EEE" w:rsidP="00F245CA">
            <w:pPr>
              <w:pStyle w:val="142"/>
              <w:jc w:val="center"/>
            </w:pPr>
            <w:r w:rsidRPr="00C71EEE">
              <w:rPr>
                <w:rFonts w:hint="eastAsia"/>
              </w:rPr>
              <w:t>決算數</w:t>
            </w:r>
          </w:p>
        </w:tc>
        <w:tc>
          <w:tcPr>
            <w:tcW w:w="1237" w:type="dxa"/>
            <w:shd w:val="clear" w:color="auto" w:fill="auto"/>
            <w:noWrap/>
            <w:vAlign w:val="center"/>
            <w:hideMark/>
          </w:tcPr>
          <w:p w:rsidR="00BA10F2" w:rsidRDefault="00C71EEE" w:rsidP="00F245CA">
            <w:pPr>
              <w:pStyle w:val="142"/>
              <w:jc w:val="center"/>
            </w:pPr>
            <w:r w:rsidRPr="00C71EEE">
              <w:rPr>
                <w:rFonts w:hint="eastAsia"/>
              </w:rPr>
              <w:t>1</w:t>
            </w:r>
            <w:r w:rsidRPr="00C71EEE">
              <w:t>11</w:t>
            </w:r>
            <w:r w:rsidR="00BA10F2">
              <w:rPr>
                <w:rFonts w:hint="eastAsia"/>
              </w:rPr>
              <w:t>年度</w:t>
            </w:r>
          </w:p>
          <w:p w:rsidR="00C71EEE" w:rsidRPr="00C71EEE" w:rsidRDefault="00C71EEE" w:rsidP="00F245CA">
            <w:pPr>
              <w:pStyle w:val="142"/>
              <w:jc w:val="center"/>
            </w:pPr>
            <w:r w:rsidRPr="00C71EEE">
              <w:rPr>
                <w:rFonts w:hint="eastAsia"/>
              </w:rPr>
              <w:t>決算數</w:t>
            </w:r>
          </w:p>
        </w:tc>
        <w:tc>
          <w:tcPr>
            <w:tcW w:w="1237" w:type="dxa"/>
            <w:shd w:val="clear" w:color="auto" w:fill="auto"/>
            <w:noWrap/>
            <w:vAlign w:val="center"/>
            <w:hideMark/>
          </w:tcPr>
          <w:p w:rsidR="00BA10F2" w:rsidRDefault="00C71EEE" w:rsidP="00F245CA">
            <w:pPr>
              <w:pStyle w:val="142"/>
              <w:jc w:val="center"/>
            </w:pPr>
            <w:r w:rsidRPr="00C71EEE">
              <w:rPr>
                <w:rFonts w:hint="eastAsia"/>
              </w:rPr>
              <w:t>11</w:t>
            </w:r>
            <w:r w:rsidRPr="00C71EEE">
              <w:t>2</w:t>
            </w:r>
            <w:r w:rsidR="00BA10F2">
              <w:rPr>
                <w:rFonts w:hint="eastAsia"/>
              </w:rPr>
              <w:t>年度</w:t>
            </w:r>
          </w:p>
          <w:p w:rsidR="00C71EEE" w:rsidRPr="00C71EEE" w:rsidRDefault="00C71EEE" w:rsidP="00F245CA">
            <w:pPr>
              <w:pStyle w:val="142"/>
              <w:jc w:val="center"/>
            </w:pPr>
            <w:r w:rsidRPr="00C71EEE">
              <w:t>決</w:t>
            </w:r>
            <w:r w:rsidRPr="00C71EEE">
              <w:rPr>
                <w:rFonts w:hint="eastAsia"/>
              </w:rPr>
              <w:t>算數</w:t>
            </w:r>
          </w:p>
        </w:tc>
        <w:tc>
          <w:tcPr>
            <w:tcW w:w="1237" w:type="dxa"/>
            <w:shd w:val="clear" w:color="auto" w:fill="auto"/>
            <w:noWrap/>
            <w:vAlign w:val="center"/>
            <w:hideMark/>
          </w:tcPr>
          <w:p w:rsidR="00BA10F2" w:rsidRDefault="00C71EEE" w:rsidP="00F245CA">
            <w:pPr>
              <w:pStyle w:val="142"/>
              <w:jc w:val="center"/>
            </w:pPr>
            <w:r w:rsidRPr="00C71EEE">
              <w:rPr>
                <w:rFonts w:hint="eastAsia"/>
              </w:rPr>
              <w:t>11</w:t>
            </w:r>
            <w:r w:rsidRPr="00C71EEE">
              <w:t>3</w:t>
            </w:r>
            <w:r w:rsidR="00BA10F2">
              <w:rPr>
                <w:rFonts w:hint="eastAsia"/>
              </w:rPr>
              <w:t>年度</w:t>
            </w:r>
          </w:p>
          <w:p w:rsidR="00C71EEE" w:rsidRPr="00C71EEE" w:rsidRDefault="00C71EEE" w:rsidP="00676459">
            <w:pPr>
              <w:pStyle w:val="142"/>
              <w:jc w:val="center"/>
            </w:pPr>
            <w:r w:rsidRPr="00C71EEE">
              <w:rPr>
                <w:rFonts w:hint="eastAsia"/>
              </w:rPr>
              <w:t>預算</w:t>
            </w:r>
            <w:r w:rsidR="00CB092E">
              <w:rPr>
                <w:rFonts w:hint="eastAsia"/>
              </w:rPr>
              <w:t>案</w:t>
            </w:r>
          </w:p>
        </w:tc>
        <w:tc>
          <w:tcPr>
            <w:tcW w:w="1327" w:type="dxa"/>
            <w:shd w:val="clear" w:color="auto" w:fill="auto"/>
            <w:noWrap/>
            <w:vAlign w:val="center"/>
            <w:hideMark/>
          </w:tcPr>
          <w:p w:rsidR="00BA10F2" w:rsidRDefault="00C71EEE" w:rsidP="00F245CA">
            <w:pPr>
              <w:pStyle w:val="142"/>
              <w:jc w:val="center"/>
            </w:pPr>
            <w:r w:rsidRPr="00C71EEE">
              <w:rPr>
                <w:rFonts w:hint="eastAsia"/>
              </w:rPr>
              <w:t>11</w:t>
            </w:r>
            <w:r w:rsidRPr="00C71EEE">
              <w:t>4</w:t>
            </w:r>
            <w:r w:rsidR="00BA10F2">
              <w:rPr>
                <w:rFonts w:hint="eastAsia"/>
              </w:rPr>
              <w:t>年度</w:t>
            </w:r>
          </w:p>
          <w:p w:rsidR="00C71EEE" w:rsidRPr="00C71EEE" w:rsidRDefault="00C71EEE" w:rsidP="00F245CA">
            <w:pPr>
              <w:pStyle w:val="142"/>
              <w:jc w:val="center"/>
            </w:pPr>
            <w:r w:rsidRPr="00C71EEE">
              <w:rPr>
                <w:rFonts w:hint="eastAsia"/>
              </w:rPr>
              <w:t>預算案</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lastRenderedPageBreak/>
              <w:t>國立自然科學博物館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106,375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104,274 </w:t>
            </w:r>
          </w:p>
        </w:tc>
        <w:tc>
          <w:tcPr>
            <w:tcW w:w="1237" w:type="dxa"/>
            <w:noWrap/>
          </w:tcPr>
          <w:p w:rsidR="00C71EEE" w:rsidRPr="00C71EEE" w:rsidRDefault="00C71EEE" w:rsidP="00C71EEE">
            <w:pPr>
              <w:pStyle w:val="142"/>
              <w:jc w:val="right"/>
              <w:rPr>
                <w:rFonts w:hint="eastAsia"/>
              </w:rPr>
            </w:pPr>
            <w:r w:rsidRPr="00C71EEE">
              <w:rPr>
                <w:rFonts w:hint="eastAsia"/>
              </w:rPr>
              <w:t xml:space="preserve">120,866 </w:t>
            </w:r>
          </w:p>
        </w:tc>
        <w:tc>
          <w:tcPr>
            <w:tcW w:w="1237" w:type="dxa"/>
            <w:noWrap/>
          </w:tcPr>
          <w:p w:rsidR="00C71EEE" w:rsidRPr="00C71EEE" w:rsidRDefault="00C71EEE" w:rsidP="00C71EEE">
            <w:pPr>
              <w:pStyle w:val="142"/>
              <w:jc w:val="right"/>
              <w:rPr>
                <w:rFonts w:hint="eastAsia"/>
              </w:rPr>
            </w:pPr>
            <w:r w:rsidRPr="00C71EEE">
              <w:rPr>
                <w:rFonts w:hint="eastAsia"/>
              </w:rPr>
              <w:t xml:space="preserve">106,000 </w:t>
            </w:r>
          </w:p>
        </w:tc>
        <w:tc>
          <w:tcPr>
            <w:tcW w:w="1327" w:type="dxa"/>
            <w:noWrap/>
          </w:tcPr>
          <w:p w:rsidR="00C71EEE" w:rsidRPr="00C71EEE" w:rsidRDefault="00C71EEE" w:rsidP="00C71EEE">
            <w:pPr>
              <w:pStyle w:val="142"/>
              <w:jc w:val="right"/>
              <w:rPr>
                <w:rFonts w:hint="eastAsia"/>
              </w:rPr>
            </w:pPr>
            <w:r w:rsidRPr="00C71EEE">
              <w:rPr>
                <w:rFonts w:hint="eastAsia"/>
              </w:rPr>
              <w:t xml:space="preserve">107,000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國立科學工藝博物館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180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178 </w:t>
            </w:r>
          </w:p>
        </w:tc>
        <w:tc>
          <w:tcPr>
            <w:tcW w:w="1237" w:type="dxa"/>
            <w:noWrap/>
          </w:tcPr>
          <w:p w:rsidR="00C71EEE" w:rsidRPr="00C71EEE" w:rsidRDefault="00C71EEE" w:rsidP="00C71EEE">
            <w:pPr>
              <w:pStyle w:val="142"/>
              <w:jc w:val="right"/>
              <w:rPr>
                <w:rFonts w:hint="eastAsia"/>
              </w:rPr>
            </w:pPr>
            <w:r w:rsidRPr="00C71EEE">
              <w:rPr>
                <w:rFonts w:hint="eastAsia"/>
              </w:rPr>
              <w:t xml:space="preserve">87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1,280 </w:t>
            </w:r>
          </w:p>
        </w:tc>
        <w:tc>
          <w:tcPr>
            <w:tcW w:w="1327" w:type="dxa"/>
            <w:noWrap/>
          </w:tcPr>
          <w:p w:rsidR="00C71EEE" w:rsidRPr="00C71EEE" w:rsidRDefault="00C71EEE" w:rsidP="00C71EEE">
            <w:pPr>
              <w:pStyle w:val="142"/>
              <w:jc w:val="right"/>
              <w:rPr>
                <w:rFonts w:hint="eastAsia"/>
              </w:rPr>
            </w:pPr>
            <w:r w:rsidRPr="00C71EEE">
              <w:rPr>
                <w:rFonts w:hint="eastAsia"/>
              </w:rPr>
              <w:t xml:space="preserve">1,012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國立海洋生物博物館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2,474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2,206 </w:t>
            </w:r>
          </w:p>
        </w:tc>
        <w:tc>
          <w:tcPr>
            <w:tcW w:w="1237" w:type="dxa"/>
            <w:noWrap/>
          </w:tcPr>
          <w:p w:rsidR="00C71EEE" w:rsidRPr="00C71EEE" w:rsidRDefault="00C71EEE" w:rsidP="00C71EEE">
            <w:pPr>
              <w:pStyle w:val="142"/>
              <w:jc w:val="right"/>
              <w:rPr>
                <w:rFonts w:hint="eastAsia"/>
              </w:rPr>
            </w:pPr>
            <w:r w:rsidRPr="00C71EEE">
              <w:rPr>
                <w:rFonts w:hint="eastAsia"/>
              </w:rPr>
              <w:t xml:space="preserve">2,279 </w:t>
            </w:r>
          </w:p>
        </w:tc>
        <w:tc>
          <w:tcPr>
            <w:tcW w:w="1237" w:type="dxa"/>
            <w:noWrap/>
          </w:tcPr>
          <w:p w:rsidR="00C71EEE" w:rsidRPr="00C71EEE" w:rsidRDefault="00C71EEE" w:rsidP="00C71EEE">
            <w:pPr>
              <w:pStyle w:val="142"/>
              <w:jc w:val="right"/>
              <w:rPr>
                <w:rFonts w:hint="eastAsia"/>
              </w:rPr>
            </w:pPr>
            <w:r w:rsidRPr="00C71EEE">
              <w:rPr>
                <w:rFonts w:hint="eastAsia"/>
              </w:rPr>
              <w:t xml:space="preserve">2,280 </w:t>
            </w:r>
          </w:p>
        </w:tc>
        <w:tc>
          <w:tcPr>
            <w:tcW w:w="1327" w:type="dxa"/>
            <w:noWrap/>
          </w:tcPr>
          <w:p w:rsidR="00C71EEE" w:rsidRPr="00C71EEE" w:rsidRDefault="00C71EEE" w:rsidP="00C71EEE">
            <w:pPr>
              <w:pStyle w:val="142"/>
              <w:jc w:val="right"/>
              <w:rPr>
                <w:rFonts w:hint="eastAsia"/>
              </w:rPr>
            </w:pPr>
            <w:r w:rsidRPr="00C71EEE">
              <w:rPr>
                <w:rFonts w:hint="eastAsia"/>
              </w:rPr>
              <w:t xml:space="preserve">2,505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國立臺灣科學教育館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809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847 </w:t>
            </w:r>
          </w:p>
        </w:tc>
        <w:tc>
          <w:tcPr>
            <w:tcW w:w="1237" w:type="dxa"/>
            <w:noWrap/>
          </w:tcPr>
          <w:p w:rsidR="00C71EEE" w:rsidRPr="00C71EEE" w:rsidRDefault="00C71EEE" w:rsidP="00C71EEE">
            <w:pPr>
              <w:pStyle w:val="142"/>
              <w:jc w:val="right"/>
              <w:rPr>
                <w:rFonts w:hint="eastAsia"/>
              </w:rPr>
            </w:pPr>
            <w:r w:rsidRPr="00C71EEE">
              <w:rPr>
                <w:rFonts w:hint="eastAsia"/>
              </w:rPr>
              <w:t xml:space="preserve">610 </w:t>
            </w:r>
          </w:p>
        </w:tc>
        <w:tc>
          <w:tcPr>
            <w:tcW w:w="1237" w:type="dxa"/>
            <w:noWrap/>
          </w:tcPr>
          <w:p w:rsidR="00C71EEE" w:rsidRPr="00C71EEE" w:rsidRDefault="00C71EEE" w:rsidP="00C71EEE">
            <w:pPr>
              <w:pStyle w:val="142"/>
              <w:jc w:val="right"/>
              <w:rPr>
                <w:rFonts w:hint="eastAsia"/>
              </w:rPr>
            </w:pPr>
            <w:r w:rsidRPr="00C71EEE">
              <w:rPr>
                <w:rFonts w:hint="eastAsia"/>
              </w:rPr>
              <w:t xml:space="preserve">720 </w:t>
            </w:r>
          </w:p>
        </w:tc>
        <w:tc>
          <w:tcPr>
            <w:tcW w:w="1327" w:type="dxa"/>
            <w:noWrap/>
          </w:tcPr>
          <w:p w:rsidR="00C71EEE" w:rsidRPr="00C71EEE" w:rsidRDefault="00C71EEE" w:rsidP="00C71EEE">
            <w:pPr>
              <w:pStyle w:val="142"/>
              <w:jc w:val="right"/>
              <w:rPr>
                <w:rFonts w:hint="eastAsia"/>
              </w:rPr>
            </w:pPr>
            <w:r w:rsidRPr="00C71EEE">
              <w:rPr>
                <w:rFonts w:hint="eastAsia"/>
              </w:rPr>
              <w:t xml:space="preserve">720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pPr>
            <w:r w:rsidRPr="00C71EEE">
              <w:rPr>
                <w:rFonts w:hint="eastAsia"/>
              </w:rPr>
              <w:t>國立海洋科技博物館</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16,202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18,950 </w:t>
            </w:r>
          </w:p>
        </w:tc>
        <w:tc>
          <w:tcPr>
            <w:tcW w:w="1237" w:type="dxa"/>
            <w:noWrap/>
          </w:tcPr>
          <w:p w:rsidR="00C71EEE" w:rsidRPr="00C71EEE" w:rsidRDefault="00C71EEE" w:rsidP="00C71EEE">
            <w:pPr>
              <w:pStyle w:val="142"/>
              <w:jc w:val="right"/>
              <w:rPr>
                <w:rFonts w:hint="eastAsia"/>
              </w:rPr>
            </w:pPr>
            <w:r w:rsidRPr="00C71EEE">
              <w:rPr>
                <w:rFonts w:hint="eastAsia"/>
              </w:rPr>
              <w:t xml:space="preserve">22,470 </w:t>
            </w:r>
          </w:p>
        </w:tc>
        <w:tc>
          <w:tcPr>
            <w:tcW w:w="1237" w:type="dxa"/>
            <w:noWrap/>
          </w:tcPr>
          <w:p w:rsidR="00C71EEE" w:rsidRPr="00C71EEE" w:rsidRDefault="00C71EEE" w:rsidP="00C71EEE">
            <w:pPr>
              <w:pStyle w:val="142"/>
              <w:jc w:val="right"/>
              <w:rPr>
                <w:rFonts w:hint="eastAsia"/>
              </w:rPr>
            </w:pPr>
            <w:r w:rsidRPr="00C71EEE">
              <w:rPr>
                <w:rFonts w:hint="eastAsia"/>
              </w:rPr>
              <w:t xml:space="preserve">24,609 </w:t>
            </w:r>
          </w:p>
        </w:tc>
        <w:tc>
          <w:tcPr>
            <w:tcW w:w="1327" w:type="dxa"/>
            <w:noWrap/>
          </w:tcPr>
          <w:p w:rsidR="00C71EEE" w:rsidRPr="00C71EEE" w:rsidRDefault="00C71EEE" w:rsidP="00C71EEE">
            <w:pPr>
              <w:pStyle w:val="142"/>
              <w:jc w:val="right"/>
              <w:rPr>
                <w:rFonts w:hint="eastAsia"/>
              </w:rPr>
            </w:pPr>
            <w:r w:rsidRPr="00C71EEE">
              <w:rPr>
                <w:rFonts w:hint="eastAsia"/>
              </w:rPr>
              <w:t xml:space="preserve">28,848 </w:t>
            </w:r>
          </w:p>
        </w:tc>
      </w:tr>
      <w:tr w:rsidR="00C71EEE" w:rsidRPr="00C71EEE" w:rsidTr="003B2726">
        <w:trPr>
          <w:trHeight w:val="324"/>
        </w:trPr>
        <w:tc>
          <w:tcPr>
            <w:tcW w:w="2245" w:type="dxa"/>
            <w:shd w:val="clear" w:color="auto" w:fill="auto"/>
            <w:noWrap/>
            <w:vAlign w:val="center"/>
            <w:hideMark/>
          </w:tcPr>
          <w:p w:rsidR="00C71EEE" w:rsidRPr="00C71EEE" w:rsidRDefault="00C71EEE" w:rsidP="00C71EEE">
            <w:pPr>
              <w:pStyle w:val="142"/>
              <w:jc w:val="center"/>
            </w:pPr>
            <w:r w:rsidRPr="00C71EEE">
              <w:rPr>
                <w:rFonts w:hint="eastAsia"/>
              </w:rPr>
              <w:t>合計</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126,040 </w:t>
            </w:r>
          </w:p>
        </w:tc>
        <w:tc>
          <w:tcPr>
            <w:tcW w:w="1237" w:type="dxa"/>
            <w:noWrap/>
            <w:hideMark/>
          </w:tcPr>
          <w:p w:rsidR="00C71EEE" w:rsidRPr="00C71EEE" w:rsidRDefault="00C71EEE" w:rsidP="00C71EEE">
            <w:pPr>
              <w:pStyle w:val="142"/>
              <w:jc w:val="right"/>
              <w:rPr>
                <w:rFonts w:hint="eastAsia"/>
              </w:rPr>
            </w:pPr>
            <w:r w:rsidRPr="00C71EEE">
              <w:rPr>
                <w:rFonts w:hint="eastAsia"/>
              </w:rPr>
              <w:t xml:space="preserve">126,455 </w:t>
            </w:r>
          </w:p>
        </w:tc>
        <w:tc>
          <w:tcPr>
            <w:tcW w:w="1237" w:type="dxa"/>
            <w:noWrap/>
          </w:tcPr>
          <w:p w:rsidR="00C71EEE" w:rsidRPr="00C71EEE" w:rsidRDefault="00C71EEE" w:rsidP="00C71EEE">
            <w:pPr>
              <w:pStyle w:val="142"/>
              <w:jc w:val="right"/>
              <w:rPr>
                <w:rFonts w:hint="eastAsia"/>
              </w:rPr>
            </w:pPr>
            <w:r w:rsidRPr="00C71EEE">
              <w:rPr>
                <w:rFonts w:hint="eastAsia"/>
              </w:rPr>
              <w:t xml:space="preserve">146,312 </w:t>
            </w:r>
          </w:p>
        </w:tc>
        <w:tc>
          <w:tcPr>
            <w:tcW w:w="1237" w:type="dxa"/>
            <w:noWrap/>
          </w:tcPr>
          <w:p w:rsidR="00C71EEE" w:rsidRPr="00C71EEE" w:rsidRDefault="00C71EEE" w:rsidP="00C71EEE">
            <w:pPr>
              <w:pStyle w:val="142"/>
              <w:jc w:val="right"/>
              <w:rPr>
                <w:rFonts w:hint="eastAsia"/>
              </w:rPr>
            </w:pPr>
            <w:r w:rsidRPr="00C71EEE">
              <w:rPr>
                <w:rFonts w:hint="eastAsia"/>
              </w:rPr>
              <w:t xml:space="preserve">134,889 </w:t>
            </w:r>
          </w:p>
        </w:tc>
        <w:tc>
          <w:tcPr>
            <w:tcW w:w="1327" w:type="dxa"/>
            <w:noWrap/>
          </w:tcPr>
          <w:p w:rsidR="00C71EEE" w:rsidRPr="00C71EEE" w:rsidRDefault="00C71EEE" w:rsidP="00C71EEE">
            <w:pPr>
              <w:pStyle w:val="142"/>
              <w:jc w:val="right"/>
              <w:rPr>
                <w:rFonts w:hint="eastAsia"/>
              </w:rPr>
            </w:pPr>
            <w:r w:rsidRPr="00C71EEE">
              <w:rPr>
                <w:rFonts w:hint="eastAsia"/>
              </w:rPr>
              <w:t xml:space="preserve">140,085 </w:t>
            </w:r>
          </w:p>
        </w:tc>
      </w:tr>
    </w:tbl>
    <w:p w:rsidR="00C71EEE" w:rsidRDefault="00C71EEE" w:rsidP="00C71EEE">
      <w:pPr>
        <w:pStyle w:val="142"/>
        <w:ind w:left="1216" w:hangingChars="500" w:hanging="1216"/>
        <w:jc w:val="both"/>
        <w:rPr>
          <w:rFonts w:hAnsi="標楷體"/>
        </w:rPr>
      </w:pPr>
      <w:r>
        <w:rPr>
          <w:rFonts w:hAnsi="標楷體" w:hint="eastAsia"/>
        </w:rPr>
        <w:t xml:space="preserve">說 </w:t>
      </w:r>
      <w:r>
        <w:rPr>
          <w:rFonts w:hAnsi="標楷體"/>
        </w:rPr>
        <w:t xml:space="preserve">   </w:t>
      </w:r>
      <w:r>
        <w:rPr>
          <w:rFonts w:hAnsi="標楷體" w:hint="eastAsia"/>
        </w:rPr>
        <w:t>明：科博館包含建教合作成本及部門經費</w:t>
      </w:r>
      <w:r w:rsidR="004F4FC5">
        <w:rPr>
          <w:rFonts w:hAnsi="標楷體" w:hint="eastAsia"/>
        </w:rPr>
        <w:t>(</w:t>
      </w:r>
      <w:r w:rsidR="004F4FC5" w:rsidRPr="004F4FC5">
        <w:rPr>
          <w:rFonts w:hAnsi="標楷體" w:hint="eastAsia"/>
        </w:rPr>
        <w:t>含計畫主持人費及計畫專(兼)任助理薪資</w:t>
      </w:r>
      <w:r w:rsidR="004F4FC5">
        <w:rPr>
          <w:rFonts w:hAnsi="標楷體"/>
        </w:rPr>
        <w:t>)</w:t>
      </w:r>
      <w:r w:rsidR="00CB092E">
        <w:rPr>
          <w:rFonts w:hAnsi="標楷體" w:hint="eastAsia"/>
        </w:rPr>
        <w:t>；</w:t>
      </w:r>
      <w:r>
        <w:rPr>
          <w:rFonts w:hAnsi="標楷體" w:hint="eastAsia"/>
        </w:rPr>
        <w:t>科工館為科技文物徵集研究與維護經費</w:t>
      </w:r>
      <w:r w:rsidR="00CB092E">
        <w:rPr>
          <w:rFonts w:hAnsi="標楷體" w:hint="eastAsia"/>
        </w:rPr>
        <w:t>；</w:t>
      </w:r>
      <w:r>
        <w:rPr>
          <w:rFonts w:hAnsi="標楷體" w:hint="eastAsia"/>
        </w:rPr>
        <w:t>海生館包含海域生態監測-後灣生態及水質計畫與各主題研究計畫經費</w:t>
      </w:r>
      <w:r w:rsidR="00CB092E">
        <w:rPr>
          <w:rFonts w:hAnsi="標楷體" w:hint="eastAsia"/>
        </w:rPr>
        <w:t>；</w:t>
      </w:r>
      <w:r>
        <w:rPr>
          <w:rFonts w:hAnsi="標楷體" w:hint="eastAsia"/>
        </w:rPr>
        <w:t>科教館為推廣教育經費</w:t>
      </w:r>
      <w:r w:rsidR="00CB092E">
        <w:rPr>
          <w:rFonts w:hAnsi="標楷體" w:hint="eastAsia"/>
        </w:rPr>
        <w:t>；</w:t>
      </w:r>
      <w:r>
        <w:rPr>
          <w:rFonts w:hAnsi="標楷體" w:hint="eastAsia"/>
        </w:rPr>
        <w:t>海科</w:t>
      </w:r>
      <w:r w:rsidRPr="00A2162F">
        <w:rPr>
          <w:rFonts w:hAnsi="標楷體" w:hint="eastAsia"/>
        </w:rPr>
        <w:t>館</w:t>
      </w:r>
      <w:r>
        <w:rPr>
          <w:rFonts w:hAnsi="標楷體" w:hint="eastAsia"/>
        </w:rPr>
        <w:t>為</w:t>
      </w:r>
      <w:r w:rsidRPr="00A2162F">
        <w:rPr>
          <w:rFonts w:hAnsi="標楷體" w:hint="eastAsia"/>
        </w:rPr>
        <w:t>研究人員用人費用</w:t>
      </w:r>
      <w:r>
        <w:rPr>
          <w:rFonts w:hAnsi="標楷體" w:hint="eastAsia"/>
        </w:rPr>
        <w:t>。</w:t>
      </w:r>
    </w:p>
    <w:p w:rsidR="00C71EEE" w:rsidRDefault="00C71EEE" w:rsidP="00C71EEE">
      <w:pPr>
        <w:pStyle w:val="142"/>
        <w:ind w:left="851" w:hangingChars="350" w:hanging="851"/>
        <w:rPr>
          <w:rFonts w:hAnsi="標楷體" w:hint="eastAsia"/>
        </w:rPr>
      </w:pPr>
      <w:r>
        <w:rPr>
          <w:rFonts w:hAnsi="標楷體" w:hint="eastAsia"/>
        </w:rPr>
        <w:t>資料來源：彙整自教育部所屬基金各分基金提供資料。</w:t>
      </w:r>
    </w:p>
    <w:p w:rsidR="00C71EEE" w:rsidRDefault="00C71EEE" w:rsidP="00C71EEE">
      <w:pPr>
        <w:ind w:left="566" w:firstLine="566"/>
      </w:pPr>
      <w:r>
        <w:rPr>
          <w:rFonts w:hint="eastAsia"/>
        </w:rPr>
        <w:t>由</w:t>
      </w:r>
      <w:r w:rsidRPr="00C57294">
        <w:rPr>
          <w:rFonts w:hint="eastAsia"/>
        </w:rPr>
        <w:t>教育部所屬基金各館所(不含臺灣圖書館)</w:t>
      </w:r>
      <w:r>
        <w:rPr>
          <w:rFonts w:hint="eastAsia"/>
        </w:rPr>
        <w:t>1</w:t>
      </w:r>
      <w:r>
        <w:t>08</w:t>
      </w:r>
      <w:r>
        <w:rPr>
          <w:rFonts w:hint="eastAsia"/>
        </w:rPr>
        <w:t>年度至11</w:t>
      </w:r>
      <w:r>
        <w:t>3</w:t>
      </w:r>
      <w:r>
        <w:rPr>
          <w:rFonts w:hint="eastAsia"/>
        </w:rPr>
        <w:t>年7月底</w:t>
      </w:r>
      <w:r w:rsidRPr="001A549F">
        <w:rPr>
          <w:rFonts w:hint="eastAsia"/>
        </w:rPr>
        <w:t>國外專業或學術期刊發表論文數</w:t>
      </w:r>
      <w:r>
        <w:rPr>
          <w:rFonts w:hint="eastAsia"/>
        </w:rPr>
        <w:t>(詳表2）</w:t>
      </w:r>
      <w:r w:rsidR="00BA10F2" w:rsidRPr="00BA10F2">
        <w:rPr>
          <w:rFonts w:hint="eastAsia"/>
        </w:rPr>
        <w:t>觀之</w:t>
      </w:r>
      <w:r>
        <w:rPr>
          <w:rFonts w:hint="eastAsia"/>
        </w:rPr>
        <w:t>，整體S</w:t>
      </w:r>
      <w:r>
        <w:t>CI</w:t>
      </w:r>
      <w:r>
        <w:rPr>
          <w:rFonts w:hint="eastAsia"/>
        </w:rPr>
        <w:t>發表篇數由1</w:t>
      </w:r>
      <w:r>
        <w:t>08</w:t>
      </w:r>
      <w:r>
        <w:rPr>
          <w:rFonts w:hint="eastAsia"/>
        </w:rPr>
        <w:t>年度</w:t>
      </w:r>
      <w:r>
        <w:t>107</w:t>
      </w:r>
      <w:r>
        <w:rPr>
          <w:rFonts w:hint="eastAsia"/>
        </w:rPr>
        <w:t>篇增為1</w:t>
      </w:r>
      <w:r>
        <w:t>11</w:t>
      </w:r>
      <w:r>
        <w:rPr>
          <w:rFonts w:hint="eastAsia"/>
        </w:rPr>
        <w:t>年度1</w:t>
      </w:r>
      <w:r>
        <w:t>20</w:t>
      </w:r>
      <w:r>
        <w:rPr>
          <w:rFonts w:hint="eastAsia"/>
        </w:rPr>
        <w:t>篇，1</w:t>
      </w:r>
      <w:r>
        <w:t>12</w:t>
      </w:r>
      <w:r>
        <w:rPr>
          <w:rFonts w:hint="eastAsia"/>
        </w:rPr>
        <w:t>年度則僅8</w:t>
      </w:r>
      <w:r>
        <w:t>5</w:t>
      </w:r>
      <w:r>
        <w:rPr>
          <w:rFonts w:hint="eastAsia"/>
        </w:rPr>
        <w:t>篇，為該期間最低</w:t>
      </w:r>
      <w:r w:rsidR="00CB092E">
        <w:rPr>
          <w:rFonts w:hAnsi="標楷體" w:hint="eastAsia"/>
        </w:rPr>
        <w:t>；</w:t>
      </w:r>
      <w:r w:rsidR="00CB092E">
        <w:rPr>
          <w:rFonts w:hint="eastAsia"/>
        </w:rPr>
        <w:t>至</w:t>
      </w:r>
      <w:r>
        <w:rPr>
          <w:rFonts w:hint="eastAsia"/>
        </w:rPr>
        <w:t>其他國外發表篇數</w:t>
      </w:r>
      <w:r w:rsidR="00CB092E">
        <w:rPr>
          <w:rFonts w:hint="eastAsia"/>
        </w:rPr>
        <w:t>亦</w:t>
      </w:r>
      <w:r>
        <w:rPr>
          <w:rFonts w:hint="eastAsia"/>
        </w:rPr>
        <w:t>由1</w:t>
      </w:r>
      <w:r>
        <w:t>08</w:t>
      </w:r>
      <w:r>
        <w:rPr>
          <w:rFonts w:hint="eastAsia"/>
        </w:rPr>
        <w:t>年度3</w:t>
      </w:r>
      <w:r>
        <w:t>3</w:t>
      </w:r>
      <w:r>
        <w:rPr>
          <w:rFonts w:hint="eastAsia"/>
        </w:rPr>
        <w:t>篇，減為1</w:t>
      </w:r>
      <w:r>
        <w:t>12</w:t>
      </w:r>
      <w:r>
        <w:rPr>
          <w:rFonts w:hint="eastAsia"/>
        </w:rPr>
        <w:t>年度2</w:t>
      </w:r>
      <w:r>
        <w:t>3</w:t>
      </w:r>
      <w:r>
        <w:rPr>
          <w:rFonts w:hint="eastAsia"/>
        </w:rPr>
        <w:t>篇。由</w:t>
      </w:r>
      <w:r w:rsidR="00CB092E">
        <w:rPr>
          <w:rFonts w:hint="eastAsia"/>
        </w:rPr>
        <w:t>個</w:t>
      </w:r>
      <w:r>
        <w:rPr>
          <w:rFonts w:hint="eastAsia"/>
        </w:rPr>
        <w:t>別館所觀之，1</w:t>
      </w:r>
      <w:r>
        <w:t>12</w:t>
      </w:r>
      <w:r>
        <w:rPr>
          <w:rFonts w:hint="eastAsia"/>
        </w:rPr>
        <w:t>年度除科工館其他國外篇數</w:t>
      </w:r>
      <w:r w:rsidR="000E02E1">
        <w:rPr>
          <w:rFonts w:hint="eastAsia"/>
        </w:rPr>
        <w:t>較1</w:t>
      </w:r>
      <w:r w:rsidR="000E02E1">
        <w:t>11</w:t>
      </w:r>
      <w:r w:rsidR="000E02E1">
        <w:rPr>
          <w:rFonts w:hint="eastAsia"/>
        </w:rPr>
        <w:t>年度增加</w:t>
      </w:r>
      <w:r w:rsidR="00BA10F2">
        <w:rPr>
          <w:rFonts w:hint="eastAsia"/>
        </w:rPr>
        <w:t>及科教館同為1篇</w:t>
      </w:r>
      <w:r>
        <w:rPr>
          <w:rFonts w:hint="eastAsia"/>
        </w:rPr>
        <w:t>外，</w:t>
      </w:r>
      <w:r w:rsidR="00CB092E">
        <w:rPr>
          <w:rFonts w:hint="eastAsia"/>
        </w:rPr>
        <w:t>其餘</w:t>
      </w:r>
      <w:r>
        <w:rPr>
          <w:rFonts w:hint="eastAsia"/>
        </w:rPr>
        <w:t>館所不論S</w:t>
      </w:r>
      <w:r>
        <w:t>CI</w:t>
      </w:r>
      <w:r>
        <w:rPr>
          <w:rFonts w:hint="eastAsia"/>
        </w:rPr>
        <w:t>或其他國外發表篇數皆低於1</w:t>
      </w:r>
      <w:r>
        <w:t>11</w:t>
      </w:r>
      <w:r>
        <w:rPr>
          <w:rFonts w:hint="eastAsia"/>
        </w:rPr>
        <w:t>年度，允宜研謀改善。</w:t>
      </w:r>
    </w:p>
    <w:p w:rsidR="00BA10F2" w:rsidRDefault="00BA10F2" w:rsidP="00BA10F2">
      <w:pPr>
        <w:ind w:left="566" w:firstLine="566"/>
      </w:pPr>
      <w:r>
        <w:rPr>
          <w:rFonts w:hint="eastAsia"/>
        </w:rPr>
        <w:t>綜上</w:t>
      </w:r>
      <w:r>
        <w:rPr>
          <w:rFonts w:hAnsi="標楷體" w:hint="eastAsia"/>
        </w:rPr>
        <w:t>，</w:t>
      </w:r>
      <w:r w:rsidRPr="001A549F">
        <w:rPr>
          <w:rFonts w:hAnsi="標楷體" w:hint="eastAsia"/>
        </w:rPr>
        <w:t>教育部所屬基金各館所負有與其主要職掌相關生物標本或文物之採集、蒐藏及研究</w:t>
      </w:r>
      <w:r>
        <w:rPr>
          <w:rFonts w:hAnsi="標楷體" w:hint="eastAsia"/>
        </w:rPr>
        <w:t>，並</w:t>
      </w:r>
      <w:r w:rsidRPr="001A549F">
        <w:rPr>
          <w:rFonts w:hAnsi="標楷體" w:hint="eastAsia"/>
        </w:rPr>
        <w:t>將在專業學術期刊發表科學文獻用指標論文(SCI)數列為</w:t>
      </w:r>
      <w:r w:rsidRPr="000E02E1">
        <w:rPr>
          <w:rFonts w:hAnsi="標楷體" w:hint="eastAsia"/>
        </w:rPr>
        <w:t>提升專業研究水準</w:t>
      </w:r>
      <w:r>
        <w:rPr>
          <w:rFonts w:hAnsi="標楷體" w:hint="eastAsia"/>
        </w:rPr>
        <w:t>之</w:t>
      </w:r>
      <w:r w:rsidRPr="001A549F">
        <w:rPr>
          <w:rFonts w:hAnsi="標楷體" w:hint="eastAsia"/>
        </w:rPr>
        <w:t>績效衡量指標</w:t>
      </w:r>
      <w:r>
        <w:rPr>
          <w:rFonts w:hAnsi="標楷體" w:hint="eastAsia"/>
        </w:rPr>
        <w:t>，然1</w:t>
      </w:r>
      <w:r>
        <w:rPr>
          <w:rFonts w:hAnsi="標楷體"/>
        </w:rPr>
        <w:t>12</w:t>
      </w:r>
      <w:r>
        <w:rPr>
          <w:rFonts w:hAnsi="標楷體" w:hint="eastAsia"/>
        </w:rPr>
        <w:t>年度多數館所</w:t>
      </w:r>
      <w:r w:rsidRPr="001A549F">
        <w:rPr>
          <w:rFonts w:hAnsi="標楷體" w:hint="eastAsia"/>
        </w:rPr>
        <w:t>之國外專業學術期刊發表論文數，係108年度以來最低，允宜研謀改善，俾提升專業研究水準</w:t>
      </w:r>
      <w:r>
        <w:rPr>
          <w:rFonts w:hAnsi="標楷體" w:hint="eastAsia"/>
        </w:rPr>
        <w:t>。</w:t>
      </w:r>
    </w:p>
    <w:p w:rsidR="00C71EEE" w:rsidRDefault="00C71EEE" w:rsidP="00C71EEE">
      <w:pPr>
        <w:pStyle w:val="142"/>
        <w:spacing w:beforeLines="20" w:before="100" w:line="0" w:lineRule="atLeast"/>
        <w:ind w:left="780" w:hangingChars="275" w:hanging="780"/>
        <w:rPr>
          <w:rFonts w:hAnsi="標楷體" w:hint="eastAsia"/>
          <w:color w:val="000000"/>
        </w:rPr>
      </w:pPr>
      <w:r>
        <w:rPr>
          <w:rFonts w:hAnsi="標楷體" w:hint="eastAsia"/>
          <w:b/>
          <w:sz w:val="28"/>
          <w:lang w:eastAsia="zh-HK"/>
        </w:rPr>
        <w:t>表</w:t>
      </w:r>
      <w:r>
        <w:rPr>
          <w:rFonts w:hAnsi="標楷體"/>
          <w:b/>
          <w:sz w:val="28"/>
          <w:lang w:eastAsia="zh-HK"/>
        </w:rPr>
        <w:t>2</w:t>
      </w:r>
      <w:r>
        <w:rPr>
          <w:rFonts w:hAnsi="標楷體" w:hint="eastAsia"/>
          <w:b/>
          <w:sz w:val="28"/>
        </w:rPr>
        <w:t xml:space="preserve">  1</w:t>
      </w:r>
      <w:r>
        <w:rPr>
          <w:rFonts w:hAnsi="標楷體"/>
          <w:b/>
          <w:sz w:val="28"/>
        </w:rPr>
        <w:t>08</w:t>
      </w:r>
      <w:r w:rsidR="00F6526C">
        <w:rPr>
          <w:rFonts w:hAnsi="標楷體" w:hint="eastAsia"/>
          <w:b/>
          <w:sz w:val="28"/>
        </w:rPr>
        <w:t>年度</w:t>
      </w:r>
      <w:r>
        <w:rPr>
          <w:rFonts w:hAnsi="標楷體" w:hint="eastAsia"/>
          <w:b/>
          <w:sz w:val="28"/>
        </w:rPr>
        <w:t>至11</w:t>
      </w:r>
      <w:r>
        <w:rPr>
          <w:rFonts w:hAnsi="標楷體"/>
          <w:b/>
          <w:sz w:val="28"/>
        </w:rPr>
        <w:t>3</w:t>
      </w:r>
      <w:r>
        <w:rPr>
          <w:rFonts w:hAnsi="標楷體" w:hint="eastAsia"/>
          <w:b/>
          <w:sz w:val="28"/>
        </w:rPr>
        <w:t>年7月底</w:t>
      </w:r>
      <w:r w:rsidRPr="00CD0208">
        <w:rPr>
          <w:rFonts w:hAnsi="標楷體" w:hint="eastAsia"/>
          <w:b/>
          <w:sz w:val="28"/>
        </w:rPr>
        <w:t>教育部所屬基金</w:t>
      </w:r>
      <w:r>
        <w:rPr>
          <w:rFonts w:hAnsi="標楷體" w:hint="eastAsia"/>
          <w:b/>
          <w:sz w:val="28"/>
        </w:rPr>
        <w:t>各分基金於國外</w:t>
      </w:r>
      <w:r w:rsidRPr="00D90348">
        <w:rPr>
          <w:rFonts w:hAnsi="標楷體" w:hint="eastAsia"/>
          <w:b/>
          <w:sz w:val="28"/>
        </w:rPr>
        <w:t>專業</w:t>
      </w:r>
      <w:r>
        <w:rPr>
          <w:rFonts w:hAnsi="標楷體" w:hint="eastAsia"/>
          <w:b/>
          <w:sz w:val="28"/>
        </w:rPr>
        <w:t>或</w:t>
      </w:r>
      <w:r w:rsidRPr="00D90348">
        <w:rPr>
          <w:rFonts w:hAnsi="標楷體" w:hint="eastAsia"/>
          <w:b/>
          <w:sz w:val="28"/>
        </w:rPr>
        <w:t>學術期刊發表論文數</w:t>
      </w:r>
      <w:r>
        <w:rPr>
          <w:rFonts w:hAnsi="標楷體" w:hint="eastAsia"/>
          <w:b/>
          <w:sz w:val="28"/>
        </w:rPr>
        <w:t xml:space="preserve">統計表　  </w:t>
      </w:r>
      <w:r>
        <w:rPr>
          <w:rFonts w:hAnsi="標楷體"/>
          <w:b/>
          <w:sz w:val="28"/>
        </w:rPr>
        <w:t xml:space="preserve">                     </w:t>
      </w:r>
      <w:r>
        <w:rPr>
          <w:rFonts w:hAnsi="標楷體" w:hint="eastAsia"/>
        </w:rPr>
        <w:t>單位:篇</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300"/>
        <w:gridCol w:w="1031"/>
        <w:gridCol w:w="871"/>
        <w:gridCol w:w="871"/>
        <w:gridCol w:w="873"/>
        <w:gridCol w:w="873"/>
        <w:gridCol w:w="873"/>
        <w:gridCol w:w="868"/>
      </w:tblGrid>
      <w:tr w:rsidR="00C71EEE" w:rsidRPr="00C71EEE" w:rsidTr="00BA10F2">
        <w:trPr>
          <w:trHeight w:val="322"/>
          <w:tblHeader/>
        </w:trPr>
        <w:tc>
          <w:tcPr>
            <w:tcW w:w="1945" w:type="pct"/>
            <w:gridSpan w:val="2"/>
            <w:shd w:val="clear" w:color="auto" w:fill="auto"/>
            <w:noWrap/>
            <w:vAlign w:val="center"/>
            <w:hideMark/>
          </w:tcPr>
          <w:p w:rsidR="00C71EEE" w:rsidRPr="00C71EEE" w:rsidRDefault="00C71EEE" w:rsidP="00C71EEE">
            <w:pPr>
              <w:pStyle w:val="142"/>
              <w:jc w:val="center"/>
              <w:rPr>
                <w:rFonts w:hint="eastAsia"/>
              </w:rPr>
            </w:pPr>
            <w:r w:rsidRPr="00C71EEE">
              <w:rPr>
                <w:rFonts w:hint="eastAsia"/>
              </w:rPr>
              <w:t>機構別/年度</w:t>
            </w:r>
          </w:p>
        </w:tc>
        <w:tc>
          <w:tcPr>
            <w:tcW w:w="509"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108</w:t>
            </w:r>
          </w:p>
        </w:tc>
        <w:tc>
          <w:tcPr>
            <w:tcW w:w="509"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109</w:t>
            </w:r>
          </w:p>
        </w:tc>
        <w:tc>
          <w:tcPr>
            <w:tcW w:w="510"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110</w:t>
            </w:r>
          </w:p>
        </w:tc>
        <w:tc>
          <w:tcPr>
            <w:tcW w:w="510"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111</w:t>
            </w:r>
          </w:p>
        </w:tc>
        <w:tc>
          <w:tcPr>
            <w:tcW w:w="510"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112</w:t>
            </w:r>
          </w:p>
        </w:tc>
        <w:tc>
          <w:tcPr>
            <w:tcW w:w="508"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113</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國立自然科學博物館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17</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22</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29</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17</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24</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25</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24</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19</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11</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國立科學工藝博物館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8</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4</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11</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8</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國立海洋生物博物館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79</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87</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63</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24</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lastRenderedPageBreak/>
              <w:t>國立臺灣科學教育館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7</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5</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2</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1</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國立海洋科技博物館</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09"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6</w:t>
            </w:r>
          </w:p>
        </w:tc>
        <w:tc>
          <w:tcPr>
            <w:tcW w:w="510"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3</w:t>
            </w:r>
          </w:p>
        </w:tc>
        <w:tc>
          <w:tcPr>
            <w:tcW w:w="508" w:type="pct"/>
            <w:shd w:val="clear" w:color="auto" w:fill="auto"/>
            <w:noWrap/>
            <w:vAlign w:val="center"/>
            <w:hideMark/>
          </w:tcPr>
          <w:p w:rsidR="00C71EEE" w:rsidRPr="00C71EEE" w:rsidRDefault="00C71EEE" w:rsidP="00C71EEE">
            <w:pPr>
              <w:pStyle w:val="142"/>
              <w:jc w:val="right"/>
              <w:rPr>
                <w:rFonts w:hint="eastAsia"/>
              </w:rPr>
            </w:pPr>
            <w:r w:rsidRPr="00C71EEE">
              <w:rPr>
                <w:rFonts w:hint="eastAsia"/>
              </w:rPr>
              <w:t>0</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0</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0</w:t>
            </w:r>
          </w:p>
        </w:tc>
        <w:tc>
          <w:tcPr>
            <w:tcW w:w="508"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0</w:t>
            </w:r>
          </w:p>
        </w:tc>
      </w:tr>
      <w:tr w:rsidR="00C71EEE" w:rsidRPr="00C71EEE" w:rsidTr="003B2726">
        <w:trPr>
          <w:trHeight w:val="322"/>
        </w:trPr>
        <w:tc>
          <w:tcPr>
            <w:tcW w:w="1343" w:type="pct"/>
            <w:vMerge w:val="restar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總計</w:t>
            </w: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SCI</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107</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98</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103</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120</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85</w:t>
            </w:r>
          </w:p>
        </w:tc>
        <w:tc>
          <w:tcPr>
            <w:tcW w:w="508"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33</w:t>
            </w:r>
          </w:p>
        </w:tc>
      </w:tr>
      <w:tr w:rsidR="00C71EEE" w:rsidRPr="00C71EEE" w:rsidTr="003B2726">
        <w:trPr>
          <w:trHeight w:val="322"/>
        </w:trPr>
        <w:tc>
          <w:tcPr>
            <w:tcW w:w="1343" w:type="pct"/>
            <w:vMerge/>
            <w:shd w:val="clear" w:color="auto" w:fill="auto"/>
            <w:noWrap/>
            <w:vAlign w:val="center"/>
            <w:hideMark/>
          </w:tcPr>
          <w:p w:rsidR="00C71EEE" w:rsidRPr="00C71EEE" w:rsidRDefault="00C71EEE" w:rsidP="00C71EEE">
            <w:pPr>
              <w:pStyle w:val="142"/>
              <w:jc w:val="center"/>
              <w:rPr>
                <w:rFonts w:hint="eastAsia"/>
              </w:rPr>
            </w:pPr>
          </w:p>
        </w:tc>
        <w:tc>
          <w:tcPr>
            <w:tcW w:w="601" w:type="pct"/>
            <w:shd w:val="clear" w:color="auto" w:fill="auto"/>
            <w:noWrap/>
            <w:vAlign w:val="center"/>
            <w:hideMark/>
          </w:tcPr>
          <w:p w:rsidR="00C71EEE" w:rsidRPr="00C71EEE" w:rsidRDefault="00C71EEE" w:rsidP="00C71EEE">
            <w:pPr>
              <w:pStyle w:val="142"/>
              <w:jc w:val="center"/>
              <w:rPr>
                <w:rFonts w:hint="eastAsia"/>
              </w:rPr>
            </w:pPr>
            <w:r w:rsidRPr="00C71EEE">
              <w:rPr>
                <w:rFonts w:hint="eastAsia"/>
              </w:rPr>
              <w:t>其他國外</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33</w:t>
            </w:r>
          </w:p>
        </w:tc>
        <w:tc>
          <w:tcPr>
            <w:tcW w:w="509"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29</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26</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25</w:t>
            </w:r>
          </w:p>
        </w:tc>
        <w:tc>
          <w:tcPr>
            <w:tcW w:w="510"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23</w:t>
            </w:r>
          </w:p>
        </w:tc>
        <w:tc>
          <w:tcPr>
            <w:tcW w:w="508" w:type="pct"/>
            <w:shd w:val="clear" w:color="auto" w:fill="auto"/>
            <w:noWrap/>
            <w:vAlign w:val="center"/>
            <w:hideMark/>
          </w:tcPr>
          <w:p w:rsidR="00C71EEE" w:rsidRPr="00C71EEE" w:rsidRDefault="00C71EEE" w:rsidP="00F6526C">
            <w:pPr>
              <w:pStyle w:val="142"/>
              <w:jc w:val="right"/>
              <w:rPr>
                <w:rFonts w:hint="eastAsia"/>
              </w:rPr>
            </w:pPr>
            <w:r w:rsidRPr="00C71EEE">
              <w:rPr>
                <w:rFonts w:hint="eastAsia"/>
              </w:rPr>
              <w:t>11</w:t>
            </w:r>
          </w:p>
        </w:tc>
      </w:tr>
    </w:tbl>
    <w:p w:rsidR="00AB76DF" w:rsidRDefault="00AB76DF" w:rsidP="00C71EEE">
      <w:pPr>
        <w:pStyle w:val="142"/>
        <w:ind w:left="851" w:hangingChars="350" w:hanging="851"/>
        <w:rPr>
          <w:rFonts w:hAnsi="標楷體" w:hint="eastAsia"/>
        </w:rPr>
      </w:pPr>
      <w:r>
        <w:rPr>
          <w:rFonts w:hAnsi="標楷體" w:hint="eastAsia"/>
        </w:rPr>
        <w:t xml:space="preserve">說 </w:t>
      </w:r>
      <w:r>
        <w:rPr>
          <w:rFonts w:hAnsi="標楷體"/>
        </w:rPr>
        <w:t xml:space="preserve">   </w:t>
      </w:r>
      <w:r>
        <w:rPr>
          <w:rFonts w:hAnsi="標楷體" w:hint="eastAsia"/>
        </w:rPr>
        <w:t>明：1</w:t>
      </w:r>
      <w:r>
        <w:rPr>
          <w:rFonts w:hAnsi="標楷體"/>
        </w:rPr>
        <w:t>13</w:t>
      </w:r>
      <w:r>
        <w:rPr>
          <w:rFonts w:hAnsi="標楷體" w:hint="eastAsia"/>
        </w:rPr>
        <w:t>年為截至7月底實際數。</w:t>
      </w:r>
    </w:p>
    <w:p w:rsidR="00C71EEE" w:rsidRDefault="00C71EEE" w:rsidP="00C71EEE">
      <w:pPr>
        <w:pStyle w:val="142"/>
        <w:ind w:left="851" w:hangingChars="350" w:hanging="851"/>
        <w:rPr>
          <w:rFonts w:hAnsi="標楷體" w:hint="eastAsia"/>
        </w:rPr>
      </w:pPr>
      <w:r>
        <w:rPr>
          <w:rFonts w:hAnsi="標楷體" w:hint="eastAsia"/>
        </w:rPr>
        <w:t>資料來源：彙整自教育部所屬基金各分基金提供資料。</w:t>
      </w:r>
    </w:p>
    <w:sectPr w:rsidR="00C71EEE" w:rsidSect="00BB48A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3D4" w:rsidRDefault="007603D4" w:rsidP="00B126F2">
      <w:pPr>
        <w:spacing w:line="240" w:lineRule="auto"/>
        <w:ind w:left="560" w:firstLine="560"/>
      </w:pPr>
      <w:r>
        <w:separator/>
      </w:r>
    </w:p>
  </w:endnote>
  <w:endnote w:type="continuationSeparator" w:id="0">
    <w:p w:rsidR="007603D4" w:rsidRDefault="007603D4" w:rsidP="00B126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B13211">
    <w:pPr>
      <w:pStyle w:val="af0"/>
      <w:ind w:leftChars="0" w:left="566" w:firstLineChars="0" w:firstLine="406"/>
      <w:jc w:val="center"/>
    </w:pPr>
    <w:r>
      <w:fldChar w:fldCharType="begin"/>
    </w:r>
    <w:r>
      <w:instrText>PAGE   \* MERGEFORMAT</w:instrText>
    </w:r>
    <w:r>
      <w:fldChar w:fldCharType="separate"/>
    </w:r>
    <w:r w:rsidR="0007322E" w:rsidRPr="0007322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3D4" w:rsidRDefault="007603D4" w:rsidP="0016188D">
      <w:pPr>
        <w:spacing w:line="240" w:lineRule="auto"/>
        <w:ind w:left="560" w:firstLine="560"/>
      </w:pPr>
      <w:r>
        <w:separator/>
      </w:r>
    </w:p>
  </w:footnote>
  <w:footnote w:type="continuationSeparator" w:id="0">
    <w:p w:rsidR="007603D4" w:rsidRDefault="007603D4" w:rsidP="00B126F2">
      <w:pPr>
        <w:spacing w:line="240" w:lineRule="auto"/>
        <w:ind w:left="560" w:firstLine="560"/>
      </w:pPr>
      <w:r>
        <w:continuationSeparator/>
      </w:r>
    </w:p>
  </w:footnote>
  <w:footnote w:id="1">
    <w:p w:rsidR="00A2162F" w:rsidRPr="004F3367" w:rsidRDefault="00A2162F" w:rsidP="003B467E">
      <w:pPr>
        <w:pStyle w:val="142"/>
        <w:ind w:left="61" w:hangingChars="25" w:hanging="61"/>
        <w:jc w:val="both"/>
        <w:rPr>
          <w:rFonts w:hint="eastAsia"/>
        </w:rPr>
      </w:pPr>
      <w:r>
        <w:rPr>
          <w:rStyle w:val="af7"/>
        </w:rPr>
        <w:footnoteRef/>
      </w:r>
      <w:r>
        <w:rPr>
          <w:rFonts w:hint="eastAsia"/>
        </w:rPr>
        <w:t>按教育部96年度成立</w:t>
      </w:r>
      <w:r>
        <w:rPr>
          <w:rFonts w:hAnsi="標楷體" w:hint="eastAsia"/>
        </w:rPr>
        <w:t>「國立社教機構作業基金」，復配合107年11月28日制定公布並施行之「</w:t>
      </w:r>
      <w:r w:rsidRPr="004F3367">
        <w:rPr>
          <w:rFonts w:hAnsi="標楷體" w:hint="eastAsia"/>
        </w:rPr>
        <w:t>教育部所屬機構作業基金</w:t>
      </w:r>
      <w:r>
        <w:rPr>
          <w:rFonts w:hAnsi="標楷體" w:hint="eastAsia"/>
        </w:rPr>
        <w:t>設置條例」，自109年度起更名為</w:t>
      </w:r>
      <w:r w:rsidRPr="004F3367">
        <w:rPr>
          <w:rFonts w:hAnsi="標楷體" w:hint="eastAsia"/>
        </w:rPr>
        <w:t>教育部所屬機構作業基金</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36E87"/>
    <w:multiLevelType w:val="hybridMultilevel"/>
    <w:tmpl w:val="1304F540"/>
    <w:lvl w:ilvl="0" w:tplc="8A5EA77E">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C3B57E7"/>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B93C91"/>
    <w:multiLevelType w:val="hybridMultilevel"/>
    <w:tmpl w:val="F852ECDE"/>
    <w:lvl w:ilvl="0" w:tplc="259422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530657"/>
    <w:multiLevelType w:val="hybridMultilevel"/>
    <w:tmpl w:val="8C5C1C56"/>
    <w:lvl w:ilvl="0" w:tplc="24AE9E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45FF7EBE"/>
    <w:multiLevelType w:val="hybridMultilevel"/>
    <w:tmpl w:val="192AADAE"/>
    <w:lvl w:ilvl="0" w:tplc="E02C8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AE193E"/>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4E635A"/>
    <w:multiLevelType w:val="hybridMultilevel"/>
    <w:tmpl w:val="9E768B4A"/>
    <w:lvl w:ilvl="0" w:tplc="DDCEC024">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DB024FC"/>
    <w:multiLevelType w:val="hybridMultilevel"/>
    <w:tmpl w:val="25A448C2"/>
    <w:lvl w:ilvl="0" w:tplc="6C183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6"/>
  </w:num>
  <w:num w:numId="4">
    <w:abstractNumId w:val="0"/>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6BE"/>
    <w:rsid w:val="0000338D"/>
    <w:rsid w:val="00004550"/>
    <w:rsid w:val="0000671F"/>
    <w:rsid w:val="000132F9"/>
    <w:rsid w:val="000136D5"/>
    <w:rsid w:val="00015B73"/>
    <w:rsid w:val="00015C15"/>
    <w:rsid w:val="00017770"/>
    <w:rsid w:val="00021478"/>
    <w:rsid w:val="0002233E"/>
    <w:rsid w:val="000305D4"/>
    <w:rsid w:val="0003665E"/>
    <w:rsid w:val="00040943"/>
    <w:rsid w:val="000426B9"/>
    <w:rsid w:val="00044DAF"/>
    <w:rsid w:val="00045525"/>
    <w:rsid w:val="0004627F"/>
    <w:rsid w:val="00047AD9"/>
    <w:rsid w:val="0005025D"/>
    <w:rsid w:val="00050453"/>
    <w:rsid w:val="00051013"/>
    <w:rsid w:val="00051122"/>
    <w:rsid w:val="00055214"/>
    <w:rsid w:val="00055C0C"/>
    <w:rsid w:val="000573CB"/>
    <w:rsid w:val="000602B1"/>
    <w:rsid w:val="0006031E"/>
    <w:rsid w:val="00064881"/>
    <w:rsid w:val="0006559A"/>
    <w:rsid w:val="0007137E"/>
    <w:rsid w:val="0007322E"/>
    <w:rsid w:val="0007493A"/>
    <w:rsid w:val="00077A11"/>
    <w:rsid w:val="00081DF8"/>
    <w:rsid w:val="00082294"/>
    <w:rsid w:val="00083534"/>
    <w:rsid w:val="00083928"/>
    <w:rsid w:val="0008616D"/>
    <w:rsid w:val="000876A9"/>
    <w:rsid w:val="000961EB"/>
    <w:rsid w:val="000A03E0"/>
    <w:rsid w:val="000A5167"/>
    <w:rsid w:val="000A5FBD"/>
    <w:rsid w:val="000A7477"/>
    <w:rsid w:val="000B3D50"/>
    <w:rsid w:val="000B4AD1"/>
    <w:rsid w:val="000B60FD"/>
    <w:rsid w:val="000B674A"/>
    <w:rsid w:val="000C11BA"/>
    <w:rsid w:val="000C1D76"/>
    <w:rsid w:val="000C203A"/>
    <w:rsid w:val="000C3166"/>
    <w:rsid w:val="000C43CD"/>
    <w:rsid w:val="000C4599"/>
    <w:rsid w:val="000C54D5"/>
    <w:rsid w:val="000C6D9E"/>
    <w:rsid w:val="000D0141"/>
    <w:rsid w:val="000D1078"/>
    <w:rsid w:val="000D1655"/>
    <w:rsid w:val="000D1B06"/>
    <w:rsid w:val="000D2341"/>
    <w:rsid w:val="000D285F"/>
    <w:rsid w:val="000D2887"/>
    <w:rsid w:val="000D2ACC"/>
    <w:rsid w:val="000D321E"/>
    <w:rsid w:val="000D3BB8"/>
    <w:rsid w:val="000D4553"/>
    <w:rsid w:val="000D4B51"/>
    <w:rsid w:val="000E02E1"/>
    <w:rsid w:val="000E04DD"/>
    <w:rsid w:val="000F06FC"/>
    <w:rsid w:val="000F1B79"/>
    <w:rsid w:val="000F5678"/>
    <w:rsid w:val="000F6276"/>
    <w:rsid w:val="000F764A"/>
    <w:rsid w:val="0010162F"/>
    <w:rsid w:val="001020B0"/>
    <w:rsid w:val="00103915"/>
    <w:rsid w:val="001068E4"/>
    <w:rsid w:val="001147DB"/>
    <w:rsid w:val="00116F17"/>
    <w:rsid w:val="00121D8B"/>
    <w:rsid w:val="001227F8"/>
    <w:rsid w:val="00124AF7"/>
    <w:rsid w:val="00125108"/>
    <w:rsid w:val="001256F6"/>
    <w:rsid w:val="001258E8"/>
    <w:rsid w:val="00127D1B"/>
    <w:rsid w:val="00131E20"/>
    <w:rsid w:val="00133385"/>
    <w:rsid w:val="00133E36"/>
    <w:rsid w:val="00134344"/>
    <w:rsid w:val="00135D03"/>
    <w:rsid w:val="00137C99"/>
    <w:rsid w:val="00137DAF"/>
    <w:rsid w:val="00137EA5"/>
    <w:rsid w:val="00142977"/>
    <w:rsid w:val="001429FC"/>
    <w:rsid w:val="00147941"/>
    <w:rsid w:val="0015084E"/>
    <w:rsid w:val="00150D5B"/>
    <w:rsid w:val="00152345"/>
    <w:rsid w:val="00154038"/>
    <w:rsid w:val="00155EA8"/>
    <w:rsid w:val="00156C97"/>
    <w:rsid w:val="001608FB"/>
    <w:rsid w:val="0016188D"/>
    <w:rsid w:val="001624FA"/>
    <w:rsid w:val="0016571B"/>
    <w:rsid w:val="00166B19"/>
    <w:rsid w:val="001744F3"/>
    <w:rsid w:val="00181F21"/>
    <w:rsid w:val="00182FB0"/>
    <w:rsid w:val="001841C4"/>
    <w:rsid w:val="0018425E"/>
    <w:rsid w:val="00184AB6"/>
    <w:rsid w:val="00191E8E"/>
    <w:rsid w:val="00194434"/>
    <w:rsid w:val="00195131"/>
    <w:rsid w:val="001970A4"/>
    <w:rsid w:val="00197456"/>
    <w:rsid w:val="001A292A"/>
    <w:rsid w:val="001A293B"/>
    <w:rsid w:val="001A319D"/>
    <w:rsid w:val="001A381A"/>
    <w:rsid w:val="001A549F"/>
    <w:rsid w:val="001A60ED"/>
    <w:rsid w:val="001B05EB"/>
    <w:rsid w:val="001B0608"/>
    <w:rsid w:val="001B1D30"/>
    <w:rsid w:val="001B31D4"/>
    <w:rsid w:val="001C02F5"/>
    <w:rsid w:val="001C1187"/>
    <w:rsid w:val="001C21CA"/>
    <w:rsid w:val="001D1245"/>
    <w:rsid w:val="001D527A"/>
    <w:rsid w:val="001D5793"/>
    <w:rsid w:val="001D5846"/>
    <w:rsid w:val="001D749B"/>
    <w:rsid w:val="001E2715"/>
    <w:rsid w:val="001E4FD3"/>
    <w:rsid w:val="001E6EF2"/>
    <w:rsid w:val="001E72FE"/>
    <w:rsid w:val="001E7810"/>
    <w:rsid w:val="001F0693"/>
    <w:rsid w:val="001F2394"/>
    <w:rsid w:val="001F5876"/>
    <w:rsid w:val="001F6992"/>
    <w:rsid w:val="001F7F71"/>
    <w:rsid w:val="00201C27"/>
    <w:rsid w:val="00203B60"/>
    <w:rsid w:val="00203BB4"/>
    <w:rsid w:val="002049F4"/>
    <w:rsid w:val="00205010"/>
    <w:rsid w:val="002055E1"/>
    <w:rsid w:val="00206C1A"/>
    <w:rsid w:val="00207340"/>
    <w:rsid w:val="00207B05"/>
    <w:rsid w:val="0021064A"/>
    <w:rsid w:val="00210F38"/>
    <w:rsid w:val="00212E02"/>
    <w:rsid w:val="002163AF"/>
    <w:rsid w:val="002221C0"/>
    <w:rsid w:val="00223CBD"/>
    <w:rsid w:val="00224D60"/>
    <w:rsid w:val="00226A6A"/>
    <w:rsid w:val="00230325"/>
    <w:rsid w:val="0023144A"/>
    <w:rsid w:val="00233EA3"/>
    <w:rsid w:val="002362F9"/>
    <w:rsid w:val="00236E44"/>
    <w:rsid w:val="00240103"/>
    <w:rsid w:val="002425F0"/>
    <w:rsid w:val="00242675"/>
    <w:rsid w:val="0024344F"/>
    <w:rsid w:val="00244715"/>
    <w:rsid w:val="002503F9"/>
    <w:rsid w:val="00250D0B"/>
    <w:rsid w:val="0025126C"/>
    <w:rsid w:val="0025145A"/>
    <w:rsid w:val="00253872"/>
    <w:rsid w:val="0025486F"/>
    <w:rsid w:val="0025512D"/>
    <w:rsid w:val="00263120"/>
    <w:rsid w:val="0026793A"/>
    <w:rsid w:val="0027002E"/>
    <w:rsid w:val="002708A3"/>
    <w:rsid w:val="002718C8"/>
    <w:rsid w:val="00273B91"/>
    <w:rsid w:val="002742B2"/>
    <w:rsid w:val="00274B48"/>
    <w:rsid w:val="00280414"/>
    <w:rsid w:val="00282707"/>
    <w:rsid w:val="00283C59"/>
    <w:rsid w:val="00283D15"/>
    <w:rsid w:val="002854EE"/>
    <w:rsid w:val="00290BEE"/>
    <w:rsid w:val="00291771"/>
    <w:rsid w:val="002928CD"/>
    <w:rsid w:val="00295692"/>
    <w:rsid w:val="0029608D"/>
    <w:rsid w:val="002A02A0"/>
    <w:rsid w:val="002A4E0F"/>
    <w:rsid w:val="002B279F"/>
    <w:rsid w:val="002B4AF1"/>
    <w:rsid w:val="002B4F60"/>
    <w:rsid w:val="002B5E91"/>
    <w:rsid w:val="002C03C4"/>
    <w:rsid w:val="002C234C"/>
    <w:rsid w:val="002C3D0D"/>
    <w:rsid w:val="002C3DE8"/>
    <w:rsid w:val="002C4495"/>
    <w:rsid w:val="002C4DB6"/>
    <w:rsid w:val="002D08B3"/>
    <w:rsid w:val="002D0C5D"/>
    <w:rsid w:val="002D59B0"/>
    <w:rsid w:val="002D5C2C"/>
    <w:rsid w:val="002D6FDD"/>
    <w:rsid w:val="002E0207"/>
    <w:rsid w:val="002E1FFF"/>
    <w:rsid w:val="002E4402"/>
    <w:rsid w:val="002E5186"/>
    <w:rsid w:val="002E69BE"/>
    <w:rsid w:val="002F0460"/>
    <w:rsid w:val="002F27E7"/>
    <w:rsid w:val="002F2C8B"/>
    <w:rsid w:val="002F33D0"/>
    <w:rsid w:val="002F4623"/>
    <w:rsid w:val="002F5926"/>
    <w:rsid w:val="002F73CC"/>
    <w:rsid w:val="00300C14"/>
    <w:rsid w:val="00301EDE"/>
    <w:rsid w:val="00302765"/>
    <w:rsid w:val="00302D35"/>
    <w:rsid w:val="00306704"/>
    <w:rsid w:val="00316929"/>
    <w:rsid w:val="00322867"/>
    <w:rsid w:val="00324A24"/>
    <w:rsid w:val="0032550F"/>
    <w:rsid w:val="00326311"/>
    <w:rsid w:val="003275BE"/>
    <w:rsid w:val="0033174A"/>
    <w:rsid w:val="00331973"/>
    <w:rsid w:val="00332D00"/>
    <w:rsid w:val="00334D03"/>
    <w:rsid w:val="003374E9"/>
    <w:rsid w:val="00340448"/>
    <w:rsid w:val="003419EC"/>
    <w:rsid w:val="00342A3B"/>
    <w:rsid w:val="003448BD"/>
    <w:rsid w:val="00347578"/>
    <w:rsid w:val="00347793"/>
    <w:rsid w:val="003532E9"/>
    <w:rsid w:val="00354943"/>
    <w:rsid w:val="003563A7"/>
    <w:rsid w:val="003643D8"/>
    <w:rsid w:val="00366C47"/>
    <w:rsid w:val="00371344"/>
    <w:rsid w:val="00372791"/>
    <w:rsid w:val="00373195"/>
    <w:rsid w:val="003746A9"/>
    <w:rsid w:val="003755B2"/>
    <w:rsid w:val="0037650A"/>
    <w:rsid w:val="00380AD2"/>
    <w:rsid w:val="00381ADE"/>
    <w:rsid w:val="003836A7"/>
    <w:rsid w:val="003842D1"/>
    <w:rsid w:val="00385642"/>
    <w:rsid w:val="0039186C"/>
    <w:rsid w:val="00394A88"/>
    <w:rsid w:val="00395C31"/>
    <w:rsid w:val="00397C25"/>
    <w:rsid w:val="003A098D"/>
    <w:rsid w:val="003A18FB"/>
    <w:rsid w:val="003A78E6"/>
    <w:rsid w:val="003B0500"/>
    <w:rsid w:val="003B2726"/>
    <w:rsid w:val="003B282A"/>
    <w:rsid w:val="003B3A0C"/>
    <w:rsid w:val="003B467E"/>
    <w:rsid w:val="003B5CFB"/>
    <w:rsid w:val="003B67BB"/>
    <w:rsid w:val="003B6D55"/>
    <w:rsid w:val="003B7342"/>
    <w:rsid w:val="003C027B"/>
    <w:rsid w:val="003C1458"/>
    <w:rsid w:val="003C2AF4"/>
    <w:rsid w:val="003C4577"/>
    <w:rsid w:val="003D0FAA"/>
    <w:rsid w:val="003D4C8C"/>
    <w:rsid w:val="003E2A3E"/>
    <w:rsid w:val="003E4393"/>
    <w:rsid w:val="003E4396"/>
    <w:rsid w:val="003E5AFD"/>
    <w:rsid w:val="003F1B87"/>
    <w:rsid w:val="003F3F31"/>
    <w:rsid w:val="003F73C1"/>
    <w:rsid w:val="00400147"/>
    <w:rsid w:val="00402EAB"/>
    <w:rsid w:val="00403360"/>
    <w:rsid w:val="00403803"/>
    <w:rsid w:val="00405417"/>
    <w:rsid w:val="004059CF"/>
    <w:rsid w:val="004109B1"/>
    <w:rsid w:val="00413328"/>
    <w:rsid w:val="00414933"/>
    <w:rsid w:val="00416161"/>
    <w:rsid w:val="004177A5"/>
    <w:rsid w:val="00420655"/>
    <w:rsid w:val="004206DE"/>
    <w:rsid w:val="004232D0"/>
    <w:rsid w:val="004255E7"/>
    <w:rsid w:val="00427F56"/>
    <w:rsid w:val="00431635"/>
    <w:rsid w:val="00432CE2"/>
    <w:rsid w:val="00435174"/>
    <w:rsid w:val="00442182"/>
    <w:rsid w:val="00446178"/>
    <w:rsid w:val="00447F32"/>
    <w:rsid w:val="00451EF0"/>
    <w:rsid w:val="0045255F"/>
    <w:rsid w:val="0045288C"/>
    <w:rsid w:val="00453F98"/>
    <w:rsid w:val="00454533"/>
    <w:rsid w:val="00456ECA"/>
    <w:rsid w:val="00462FDF"/>
    <w:rsid w:val="00463DE6"/>
    <w:rsid w:val="00464B9F"/>
    <w:rsid w:val="004654DD"/>
    <w:rsid w:val="00465583"/>
    <w:rsid w:val="004662A0"/>
    <w:rsid w:val="004662B4"/>
    <w:rsid w:val="004663A5"/>
    <w:rsid w:val="004677E4"/>
    <w:rsid w:val="00467ABF"/>
    <w:rsid w:val="0047023C"/>
    <w:rsid w:val="00470E0A"/>
    <w:rsid w:val="004725A8"/>
    <w:rsid w:val="00476A3B"/>
    <w:rsid w:val="00477B1A"/>
    <w:rsid w:val="00480C86"/>
    <w:rsid w:val="00482109"/>
    <w:rsid w:val="00482412"/>
    <w:rsid w:val="00482586"/>
    <w:rsid w:val="00483BCB"/>
    <w:rsid w:val="00484B30"/>
    <w:rsid w:val="004857B8"/>
    <w:rsid w:val="00494940"/>
    <w:rsid w:val="00495170"/>
    <w:rsid w:val="00495D26"/>
    <w:rsid w:val="00496DDE"/>
    <w:rsid w:val="004A00BD"/>
    <w:rsid w:val="004A050D"/>
    <w:rsid w:val="004A4297"/>
    <w:rsid w:val="004A5AD7"/>
    <w:rsid w:val="004A6317"/>
    <w:rsid w:val="004A7BA1"/>
    <w:rsid w:val="004B0483"/>
    <w:rsid w:val="004B1BB2"/>
    <w:rsid w:val="004B2E7E"/>
    <w:rsid w:val="004B444C"/>
    <w:rsid w:val="004B56F7"/>
    <w:rsid w:val="004B5BB9"/>
    <w:rsid w:val="004B7FE3"/>
    <w:rsid w:val="004C141B"/>
    <w:rsid w:val="004C238B"/>
    <w:rsid w:val="004C3120"/>
    <w:rsid w:val="004C3EEB"/>
    <w:rsid w:val="004D0D0F"/>
    <w:rsid w:val="004D797F"/>
    <w:rsid w:val="004D79C0"/>
    <w:rsid w:val="004D7F8C"/>
    <w:rsid w:val="004E4449"/>
    <w:rsid w:val="004E4702"/>
    <w:rsid w:val="004E4EA7"/>
    <w:rsid w:val="004F0CA1"/>
    <w:rsid w:val="004F11A4"/>
    <w:rsid w:val="004F2096"/>
    <w:rsid w:val="004F2961"/>
    <w:rsid w:val="004F3367"/>
    <w:rsid w:val="004F3DB5"/>
    <w:rsid w:val="004F4FC5"/>
    <w:rsid w:val="004F5501"/>
    <w:rsid w:val="004F7DDF"/>
    <w:rsid w:val="00500D05"/>
    <w:rsid w:val="00500F34"/>
    <w:rsid w:val="0050156F"/>
    <w:rsid w:val="005019F1"/>
    <w:rsid w:val="00502447"/>
    <w:rsid w:val="0050289E"/>
    <w:rsid w:val="005028C1"/>
    <w:rsid w:val="00504D9E"/>
    <w:rsid w:val="005065EB"/>
    <w:rsid w:val="005065ED"/>
    <w:rsid w:val="005066F8"/>
    <w:rsid w:val="00511837"/>
    <w:rsid w:val="00514101"/>
    <w:rsid w:val="0051449A"/>
    <w:rsid w:val="00520026"/>
    <w:rsid w:val="00522048"/>
    <w:rsid w:val="005247C1"/>
    <w:rsid w:val="00530254"/>
    <w:rsid w:val="005308B8"/>
    <w:rsid w:val="00530BCA"/>
    <w:rsid w:val="00532B1C"/>
    <w:rsid w:val="00532C86"/>
    <w:rsid w:val="005351F1"/>
    <w:rsid w:val="00540244"/>
    <w:rsid w:val="005414F0"/>
    <w:rsid w:val="00541D6B"/>
    <w:rsid w:val="005431EC"/>
    <w:rsid w:val="005473B7"/>
    <w:rsid w:val="005505BE"/>
    <w:rsid w:val="00554AAD"/>
    <w:rsid w:val="00554F37"/>
    <w:rsid w:val="00555928"/>
    <w:rsid w:val="005568CA"/>
    <w:rsid w:val="00560197"/>
    <w:rsid w:val="0056421B"/>
    <w:rsid w:val="00571737"/>
    <w:rsid w:val="005723E2"/>
    <w:rsid w:val="00577ADD"/>
    <w:rsid w:val="005823FF"/>
    <w:rsid w:val="00584F49"/>
    <w:rsid w:val="005860F1"/>
    <w:rsid w:val="00586FDC"/>
    <w:rsid w:val="00587531"/>
    <w:rsid w:val="00587891"/>
    <w:rsid w:val="005967DD"/>
    <w:rsid w:val="005978AB"/>
    <w:rsid w:val="0059790B"/>
    <w:rsid w:val="005A155F"/>
    <w:rsid w:val="005A1E8C"/>
    <w:rsid w:val="005A3915"/>
    <w:rsid w:val="005A3EA0"/>
    <w:rsid w:val="005A57A2"/>
    <w:rsid w:val="005A7303"/>
    <w:rsid w:val="005B7163"/>
    <w:rsid w:val="005C00BF"/>
    <w:rsid w:val="005C063F"/>
    <w:rsid w:val="005C16E8"/>
    <w:rsid w:val="005C2ACE"/>
    <w:rsid w:val="005C316B"/>
    <w:rsid w:val="005C570D"/>
    <w:rsid w:val="005C6FBD"/>
    <w:rsid w:val="005C725A"/>
    <w:rsid w:val="005C7A9D"/>
    <w:rsid w:val="005D17D4"/>
    <w:rsid w:val="005D1A79"/>
    <w:rsid w:val="005D1C67"/>
    <w:rsid w:val="005D1F77"/>
    <w:rsid w:val="005D3A79"/>
    <w:rsid w:val="005D495B"/>
    <w:rsid w:val="005D5FE0"/>
    <w:rsid w:val="005D6124"/>
    <w:rsid w:val="005D6239"/>
    <w:rsid w:val="005D69F5"/>
    <w:rsid w:val="005E035A"/>
    <w:rsid w:val="005E039E"/>
    <w:rsid w:val="005E0AD6"/>
    <w:rsid w:val="005E1714"/>
    <w:rsid w:val="005E2AA1"/>
    <w:rsid w:val="005E2CC1"/>
    <w:rsid w:val="005E3E34"/>
    <w:rsid w:val="005E625B"/>
    <w:rsid w:val="005E6FCB"/>
    <w:rsid w:val="005F002D"/>
    <w:rsid w:val="005F07E2"/>
    <w:rsid w:val="005F32B2"/>
    <w:rsid w:val="005F54A6"/>
    <w:rsid w:val="00601F8C"/>
    <w:rsid w:val="0060222D"/>
    <w:rsid w:val="006040EB"/>
    <w:rsid w:val="00607715"/>
    <w:rsid w:val="00614E5E"/>
    <w:rsid w:val="006165E3"/>
    <w:rsid w:val="00622324"/>
    <w:rsid w:val="006226C7"/>
    <w:rsid w:val="00627B5C"/>
    <w:rsid w:val="00630531"/>
    <w:rsid w:val="00632137"/>
    <w:rsid w:val="00632D2F"/>
    <w:rsid w:val="00641725"/>
    <w:rsid w:val="006421F8"/>
    <w:rsid w:val="0064226C"/>
    <w:rsid w:val="00642647"/>
    <w:rsid w:val="00642D3D"/>
    <w:rsid w:val="0064421B"/>
    <w:rsid w:val="006444E2"/>
    <w:rsid w:val="00644A64"/>
    <w:rsid w:val="00644E2E"/>
    <w:rsid w:val="006468A4"/>
    <w:rsid w:val="0064741C"/>
    <w:rsid w:val="00650D21"/>
    <w:rsid w:val="00650F0F"/>
    <w:rsid w:val="006627C5"/>
    <w:rsid w:val="006642A7"/>
    <w:rsid w:val="006650C7"/>
    <w:rsid w:val="0066731B"/>
    <w:rsid w:val="006679DA"/>
    <w:rsid w:val="00672385"/>
    <w:rsid w:val="0067274A"/>
    <w:rsid w:val="0067425D"/>
    <w:rsid w:val="00675B1A"/>
    <w:rsid w:val="00676459"/>
    <w:rsid w:val="00683BA5"/>
    <w:rsid w:val="00687E69"/>
    <w:rsid w:val="00690B95"/>
    <w:rsid w:val="00691852"/>
    <w:rsid w:val="00691D9F"/>
    <w:rsid w:val="00693102"/>
    <w:rsid w:val="006953FF"/>
    <w:rsid w:val="00695DD1"/>
    <w:rsid w:val="006972EE"/>
    <w:rsid w:val="00697BBD"/>
    <w:rsid w:val="006A7F35"/>
    <w:rsid w:val="006B0D2D"/>
    <w:rsid w:val="006B1B4F"/>
    <w:rsid w:val="006B26B4"/>
    <w:rsid w:val="006B5ED0"/>
    <w:rsid w:val="006B6129"/>
    <w:rsid w:val="006C1561"/>
    <w:rsid w:val="006C1595"/>
    <w:rsid w:val="006C1BBA"/>
    <w:rsid w:val="006C5742"/>
    <w:rsid w:val="006C64A8"/>
    <w:rsid w:val="006D31A8"/>
    <w:rsid w:val="006D3423"/>
    <w:rsid w:val="006D425C"/>
    <w:rsid w:val="006E070E"/>
    <w:rsid w:val="006E1294"/>
    <w:rsid w:val="006E37D9"/>
    <w:rsid w:val="006F027A"/>
    <w:rsid w:val="006F71D1"/>
    <w:rsid w:val="007015A1"/>
    <w:rsid w:val="00701C3B"/>
    <w:rsid w:val="0070218C"/>
    <w:rsid w:val="0070261E"/>
    <w:rsid w:val="00707449"/>
    <w:rsid w:val="00707F9F"/>
    <w:rsid w:val="00715871"/>
    <w:rsid w:val="00715B90"/>
    <w:rsid w:val="00715F60"/>
    <w:rsid w:val="007171A6"/>
    <w:rsid w:val="007171BD"/>
    <w:rsid w:val="00720E69"/>
    <w:rsid w:val="0072181A"/>
    <w:rsid w:val="00725985"/>
    <w:rsid w:val="00725C52"/>
    <w:rsid w:val="00727523"/>
    <w:rsid w:val="00727A49"/>
    <w:rsid w:val="007303F1"/>
    <w:rsid w:val="00732598"/>
    <w:rsid w:val="007327FB"/>
    <w:rsid w:val="00737A7F"/>
    <w:rsid w:val="00737F37"/>
    <w:rsid w:val="007434BD"/>
    <w:rsid w:val="00744408"/>
    <w:rsid w:val="00744C24"/>
    <w:rsid w:val="0074537F"/>
    <w:rsid w:val="00746B36"/>
    <w:rsid w:val="00756FB1"/>
    <w:rsid w:val="00757294"/>
    <w:rsid w:val="007603D4"/>
    <w:rsid w:val="0076119E"/>
    <w:rsid w:val="0076544D"/>
    <w:rsid w:val="00767D3F"/>
    <w:rsid w:val="00771B23"/>
    <w:rsid w:val="00773670"/>
    <w:rsid w:val="00774F20"/>
    <w:rsid w:val="00777100"/>
    <w:rsid w:val="007775F7"/>
    <w:rsid w:val="00777E6B"/>
    <w:rsid w:val="00781F05"/>
    <w:rsid w:val="00782005"/>
    <w:rsid w:val="007852B8"/>
    <w:rsid w:val="00787C70"/>
    <w:rsid w:val="00787DEA"/>
    <w:rsid w:val="00794776"/>
    <w:rsid w:val="007A0001"/>
    <w:rsid w:val="007A18FA"/>
    <w:rsid w:val="007A2EB9"/>
    <w:rsid w:val="007A4E20"/>
    <w:rsid w:val="007A51C4"/>
    <w:rsid w:val="007B12EF"/>
    <w:rsid w:val="007B2754"/>
    <w:rsid w:val="007B4261"/>
    <w:rsid w:val="007B49BE"/>
    <w:rsid w:val="007B6039"/>
    <w:rsid w:val="007C01F7"/>
    <w:rsid w:val="007C07DD"/>
    <w:rsid w:val="007C1C20"/>
    <w:rsid w:val="007C5F02"/>
    <w:rsid w:val="007C62CE"/>
    <w:rsid w:val="007C70DB"/>
    <w:rsid w:val="007D04C1"/>
    <w:rsid w:val="007D409F"/>
    <w:rsid w:val="007E0B44"/>
    <w:rsid w:val="007E13E5"/>
    <w:rsid w:val="007E2376"/>
    <w:rsid w:val="007E2AF4"/>
    <w:rsid w:val="007E61CC"/>
    <w:rsid w:val="007E73C3"/>
    <w:rsid w:val="007F03B5"/>
    <w:rsid w:val="007F13B4"/>
    <w:rsid w:val="007F2745"/>
    <w:rsid w:val="007F401B"/>
    <w:rsid w:val="00800B45"/>
    <w:rsid w:val="00801422"/>
    <w:rsid w:val="00806634"/>
    <w:rsid w:val="00812797"/>
    <w:rsid w:val="00812FDE"/>
    <w:rsid w:val="0081784C"/>
    <w:rsid w:val="00817977"/>
    <w:rsid w:val="008201FB"/>
    <w:rsid w:val="00820A58"/>
    <w:rsid w:val="00822AC3"/>
    <w:rsid w:val="00822BBA"/>
    <w:rsid w:val="0082316E"/>
    <w:rsid w:val="00824AF0"/>
    <w:rsid w:val="0083040E"/>
    <w:rsid w:val="00833347"/>
    <w:rsid w:val="00834014"/>
    <w:rsid w:val="00834D97"/>
    <w:rsid w:val="008401CC"/>
    <w:rsid w:val="008412CD"/>
    <w:rsid w:val="00841EBC"/>
    <w:rsid w:val="008421EB"/>
    <w:rsid w:val="00845DED"/>
    <w:rsid w:val="008463A3"/>
    <w:rsid w:val="00846D01"/>
    <w:rsid w:val="0084759B"/>
    <w:rsid w:val="0085067F"/>
    <w:rsid w:val="00851885"/>
    <w:rsid w:val="00853FE1"/>
    <w:rsid w:val="00854C21"/>
    <w:rsid w:val="0085671E"/>
    <w:rsid w:val="00860500"/>
    <w:rsid w:val="00861FC0"/>
    <w:rsid w:val="00865663"/>
    <w:rsid w:val="00865F49"/>
    <w:rsid w:val="0086703A"/>
    <w:rsid w:val="00871A0A"/>
    <w:rsid w:val="00871E18"/>
    <w:rsid w:val="00874F95"/>
    <w:rsid w:val="00875187"/>
    <w:rsid w:val="008822A8"/>
    <w:rsid w:val="00882E21"/>
    <w:rsid w:val="00883688"/>
    <w:rsid w:val="00884A5D"/>
    <w:rsid w:val="00884D04"/>
    <w:rsid w:val="00885D59"/>
    <w:rsid w:val="00886325"/>
    <w:rsid w:val="00886A42"/>
    <w:rsid w:val="00890242"/>
    <w:rsid w:val="008918BF"/>
    <w:rsid w:val="00893362"/>
    <w:rsid w:val="00894377"/>
    <w:rsid w:val="008A3389"/>
    <w:rsid w:val="008A4C1B"/>
    <w:rsid w:val="008A5504"/>
    <w:rsid w:val="008A56BB"/>
    <w:rsid w:val="008A645E"/>
    <w:rsid w:val="008B23B6"/>
    <w:rsid w:val="008C0699"/>
    <w:rsid w:val="008C09DD"/>
    <w:rsid w:val="008C2EC4"/>
    <w:rsid w:val="008C3C68"/>
    <w:rsid w:val="008C4564"/>
    <w:rsid w:val="008D02BC"/>
    <w:rsid w:val="008D0A36"/>
    <w:rsid w:val="008D3832"/>
    <w:rsid w:val="008D3E6F"/>
    <w:rsid w:val="008E2C27"/>
    <w:rsid w:val="008E64B6"/>
    <w:rsid w:val="008E653E"/>
    <w:rsid w:val="008E69CD"/>
    <w:rsid w:val="008F063B"/>
    <w:rsid w:val="008F1786"/>
    <w:rsid w:val="008F2427"/>
    <w:rsid w:val="008F3D17"/>
    <w:rsid w:val="008F6954"/>
    <w:rsid w:val="009021AA"/>
    <w:rsid w:val="00902D2B"/>
    <w:rsid w:val="00904083"/>
    <w:rsid w:val="00904266"/>
    <w:rsid w:val="00904869"/>
    <w:rsid w:val="00905133"/>
    <w:rsid w:val="00905562"/>
    <w:rsid w:val="0090635E"/>
    <w:rsid w:val="00906D2C"/>
    <w:rsid w:val="00907956"/>
    <w:rsid w:val="00911957"/>
    <w:rsid w:val="00914CA5"/>
    <w:rsid w:val="00916996"/>
    <w:rsid w:val="00921C0C"/>
    <w:rsid w:val="00924D7A"/>
    <w:rsid w:val="009250E3"/>
    <w:rsid w:val="00927324"/>
    <w:rsid w:val="00927EC6"/>
    <w:rsid w:val="0093001A"/>
    <w:rsid w:val="009301B2"/>
    <w:rsid w:val="009305A8"/>
    <w:rsid w:val="009320F7"/>
    <w:rsid w:val="0093303B"/>
    <w:rsid w:val="00936742"/>
    <w:rsid w:val="0094462F"/>
    <w:rsid w:val="009454EB"/>
    <w:rsid w:val="00952594"/>
    <w:rsid w:val="00953B12"/>
    <w:rsid w:val="0095504B"/>
    <w:rsid w:val="00955D25"/>
    <w:rsid w:val="00960423"/>
    <w:rsid w:val="00961A94"/>
    <w:rsid w:val="009639F0"/>
    <w:rsid w:val="009647A3"/>
    <w:rsid w:val="009658FC"/>
    <w:rsid w:val="00966CBC"/>
    <w:rsid w:val="009673F1"/>
    <w:rsid w:val="00967609"/>
    <w:rsid w:val="0097066D"/>
    <w:rsid w:val="00970A3F"/>
    <w:rsid w:val="00972A3F"/>
    <w:rsid w:val="00972E65"/>
    <w:rsid w:val="00973F17"/>
    <w:rsid w:val="00975326"/>
    <w:rsid w:val="00975E51"/>
    <w:rsid w:val="009777B0"/>
    <w:rsid w:val="00981BFF"/>
    <w:rsid w:val="00984CC6"/>
    <w:rsid w:val="0098654B"/>
    <w:rsid w:val="00991417"/>
    <w:rsid w:val="009922B5"/>
    <w:rsid w:val="00996683"/>
    <w:rsid w:val="009979F7"/>
    <w:rsid w:val="009A049F"/>
    <w:rsid w:val="009A3D67"/>
    <w:rsid w:val="009A42C1"/>
    <w:rsid w:val="009A594C"/>
    <w:rsid w:val="009A5BDA"/>
    <w:rsid w:val="009A65A7"/>
    <w:rsid w:val="009A71E4"/>
    <w:rsid w:val="009A72F3"/>
    <w:rsid w:val="009B04D2"/>
    <w:rsid w:val="009B1B32"/>
    <w:rsid w:val="009B1E9D"/>
    <w:rsid w:val="009B636E"/>
    <w:rsid w:val="009B732E"/>
    <w:rsid w:val="009C14ED"/>
    <w:rsid w:val="009C3DB0"/>
    <w:rsid w:val="009D403C"/>
    <w:rsid w:val="009D6383"/>
    <w:rsid w:val="009D766A"/>
    <w:rsid w:val="009E1463"/>
    <w:rsid w:val="009E3921"/>
    <w:rsid w:val="009E43A3"/>
    <w:rsid w:val="009E48D6"/>
    <w:rsid w:val="009E57AF"/>
    <w:rsid w:val="009F2397"/>
    <w:rsid w:val="009F6C0F"/>
    <w:rsid w:val="00A00B95"/>
    <w:rsid w:val="00A02E06"/>
    <w:rsid w:val="00A0300D"/>
    <w:rsid w:val="00A13285"/>
    <w:rsid w:val="00A15FF6"/>
    <w:rsid w:val="00A1604F"/>
    <w:rsid w:val="00A17771"/>
    <w:rsid w:val="00A20130"/>
    <w:rsid w:val="00A2162F"/>
    <w:rsid w:val="00A2330B"/>
    <w:rsid w:val="00A2428A"/>
    <w:rsid w:val="00A25959"/>
    <w:rsid w:val="00A30C8F"/>
    <w:rsid w:val="00A335FC"/>
    <w:rsid w:val="00A34566"/>
    <w:rsid w:val="00A347B4"/>
    <w:rsid w:val="00A35DFC"/>
    <w:rsid w:val="00A363C0"/>
    <w:rsid w:val="00A36B13"/>
    <w:rsid w:val="00A378D1"/>
    <w:rsid w:val="00A41D3F"/>
    <w:rsid w:val="00A42B02"/>
    <w:rsid w:val="00A440D8"/>
    <w:rsid w:val="00A451D4"/>
    <w:rsid w:val="00A51B02"/>
    <w:rsid w:val="00A531BF"/>
    <w:rsid w:val="00A5340A"/>
    <w:rsid w:val="00A53671"/>
    <w:rsid w:val="00A554D5"/>
    <w:rsid w:val="00A557FB"/>
    <w:rsid w:val="00A55C23"/>
    <w:rsid w:val="00A55D94"/>
    <w:rsid w:val="00A570D7"/>
    <w:rsid w:val="00A61E8E"/>
    <w:rsid w:val="00A63D0D"/>
    <w:rsid w:val="00A65FDE"/>
    <w:rsid w:val="00A66E99"/>
    <w:rsid w:val="00A70AA9"/>
    <w:rsid w:val="00A71915"/>
    <w:rsid w:val="00A725E4"/>
    <w:rsid w:val="00A72743"/>
    <w:rsid w:val="00A73A94"/>
    <w:rsid w:val="00A73BA2"/>
    <w:rsid w:val="00A77085"/>
    <w:rsid w:val="00A80C4F"/>
    <w:rsid w:val="00A8204D"/>
    <w:rsid w:val="00A83DA3"/>
    <w:rsid w:val="00A844E8"/>
    <w:rsid w:val="00A85AEA"/>
    <w:rsid w:val="00A87105"/>
    <w:rsid w:val="00A87D9A"/>
    <w:rsid w:val="00A902CD"/>
    <w:rsid w:val="00A9173E"/>
    <w:rsid w:val="00A95D0B"/>
    <w:rsid w:val="00A96578"/>
    <w:rsid w:val="00A96843"/>
    <w:rsid w:val="00AA1308"/>
    <w:rsid w:val="00AA337B"/>
    <w:rsid w:val="00AA408D"/>
    <w:rsid w:val="00AA6981"/>
    <w:rsid w:val="00AB0C70"/>
    <w:rsid w:val="00AB1366"/>
    <w:rsid w:val="00AB3C8B"/>
    <w:rsid w:val="00AB4828"/>
    <w:rsid w:val="00AB76DF"/>
    <w:rsid w:val="00AB7BDD"/>
    <w:rsid w:val="00AC3B5E"/>
    <w:rsid w:val="00AC77A7"/>
    <w:rsid w:val="00AD100C"/>
    <w:rsid w:val="00AD1016"/>
    <w:rsid w:val="00AD1FCA"/>
    <w:rsid w:val="00AD4D52"/>
    <w:rsid w:val="00AE2139"/>
    <w:rsid w:val="00AE2F05"/>
    <w:rsid w:val="00AE5F0C"/>
    <w:rsid w:val="00AF30F4"/>
    <w:rsid w:val="00AF32CC"/>
    <w:rsid w:val="00AF3EDC"/>
    <w:rsid w:val="00AF410E"/>
    <w:rsid w:val="00AF49A5"/>
    <w:rsid w:val="00AF50CD"/>
    <w:rsid w:val="00AF598B"/>
    <w:rsid w:val="00AF5D0D"/>
    <w:rsid w:val="00AF6970"/>
    <w:rsid w:val="00B005A8"/>
    <w:rsid w:val="00B01CDC"/>
    <w:rsid w:val="00B02166"/>
    <w:rsid w:val="00B057EE"/>
    <w:rsid w:val="00B060D5"/>
    <w:rsid w:val="00B06C6E"/>
    <w:rsid w:val="00B072F9"/>
    <w:rsid w:val="00B11475"/>
    <w:rsid w:val="00B126F2"/>
    <w:rsid w:val="00B13211"/>
    <w:rsid w:val="00B13ADE"/>
    <w:rsid w:val="00B1448F"/>
    <w:rsid w:val="00B14C96"/>
    <w:rsid w:val="00B178B7"/>
    <w:rsid w:val="00B22ACD"/>
    <w:rsid w:val="00B340EE"/>
    <w:rsid w:val="00B4104E"/>
    <w:rsid w:val="00B4414D"/>
    <w:rsid w:val="00B4753B"/>
    <w:rsid w:val="00B47947"/>
    <w:rsid w:val="00B47F57"/>
    <w:rsid w:val="00B52EF1"/>
    <w:rsid w:val="00B568B2"/>
    <w:rsid w:val="00B571DC"/>
    <w:rsid w:val="00B60FD3"/>
    <w:rsid w:val="00B6437C"/>
    <w:rsid w:val="00B65B1D"/>
    <w:rsid w:val="00B66F45"/>
    <w:rsid w:val="00B677D5"/>
    <w:rsid w:val="00B71291"/>
    <w:rsid w:val="00B72907"/>
    <w:rsid w:val="00B72CF6"/>
    <w:rsid w:val="00B72E7F"/>
    <w:rsid w:val="00B75F20"/>
    <w:rsid w:val="00B777AC"/>
    <w:rsid w:val="00B82CBF"/>
    <w:rsid w:val="00B83431"/>
    <w:rsid w:val="00B84C2A"/>
    <w:rsid w:val="00B859B3"/>
    <w:rsid w:val="00B85FB3"/>
    <w:rsid w:val="00B86432"/>
    <w:rsid w:val="00B87903"/>
    <w:rsid w:val="00B87A78"/>
    <w:rsid w:val="00B90EF4"/>
    <w:rsid w:val="00B97459"/>
    <w:rsid w:val="00B97BAD"/>
    <w:rsid w:val="00BA0158"/>
    <w:rsid w:val="00BA10F2"/>
    <w:rsid w:val="00BA3636"/>
    <w:rsid w:val="00BA42B5"/>
    <w:rsid w:val="00BA6E7A"/>
    <w:rsid w:val="00BB005C"/>
    <w:rsid w:val="00BB08AE"/>
    <w:rsid w:val="00BB1F0C"/>
    <w:rsid w:val="00BB37C4"/>
    <w:rsid w:val="00BB444D"/>
    <w:rsid w:val="00BB48A9"/>
    <w:rsid w:val="00BB5A5C"/>
    <w:rsid w:val="00BC06F0"/>
    <w:rsid w:val="00BC1EBE"/>
    <w:rsid w:val="00BC378E"/>
    <w:rsid w:val="00BC3E08"/>
    <w:rsid w:val="00BC702B"/>
    <w:rsid w:val="00BD0B14"/>
    <w:rsid w:val="00BD1947"/>
    <w:rsid w:val="00BD24E7"/>
    <w:rsid w:val="00BD2BB8"/>
    <w:rsid w:val="00BD38AB"/>
    <w:rsid w:val="00BD3A21"/>
    <w:rsid w:val="00BE5578"/>
    <w:rsid w:val="00BF0486"/>
    <w:rsid w:val="00BF12FD"/>
    <w:rsid w:val="00BF1E84"/>
    <w:rsid w:val="00BF3205"/>
    <w:rsid w:val="00BF449A"/>
    <w:rsid w:val="00BF47B1"/>
    <w:rsid w:val="00BF7565"/>
    <w:rsid w:val="00C00A37"/>
    <w:rsid w:val="00C0104B"/>
    <w:rsid w:val="00C0250D"/>
    <w:rsid w:val="00C028BA"/>
    <w:rsid w:val="00C04D8F"/>
    <w:rsid w:val="00C069BA"/>
    <w:rsid w:val="00C06DE6"/>
    <w:rsid w:val="00C07CF1"/>
    <w:rsid w:val="00C12328"/>
    <w:rsid w:val="00C1419B"/>
    <w:rsid w:val="00C144AE"/>
    <w:rsid w:val="00C159C9"/>
    <w:rsid w:val="00C16304"/>
    <w:rsid w:val="00C20226"/>
    <w:rsid w:val="00C21486"/>
    <w:rsid w:val="00C26D74"/>
    <w:rsid w:val="00C30E26"/>
    <w:rsid w:val="00C3255C"/>
    <w:rsid w:val="00C35D62"/>
    <w:rsid w:val="00C35F11"/>
    <w:rsid w:val="00C4004B"/>
    <w:rsid w:val="00C40EFF"/>
    <w:rsid w:val="00C42578"/>
    <w:rsid w:val="00C4535C"/>
    <w:rsid w:val="00C50AD4"/>
    <w:rsid w:val="00C557D1"/>
    <w:rsid w:val="00C55DAB"/>
    <w:rsid w:val="00C57294"/>
    <w:rsid w:val="00C573FF"/>
    <w:rsid w:val="00C60A2B"/>
    <w:rsid w:val="00C61EF2"/>
    <w:rsid w:val="00C62B38"/>
    <w:rsid w:val="00C64FA4"/>
    <w:rsid w:val="00C66289"/>
    <w:rsid w:val="00C66F75"/>
    <w:rsid w:val="00C6781C"/>
    <w:rsid w:val="00C71EEE"/>
    <w:rsid w:val="00C74C25"/>
    <w:rsid w:val="00C751FC"/>
    <w:rsid w:val="00C7525B"/>
    <w:rsid w:val="00C77AE0"/>
    <w:rsid w:val="00C80411"/>
    <w:rsid w:val="00C81191"/>
    <w:rsid w:val="00C84255"/>
    <w:rsid w:val="00C84E13"/>
    <w:rsid w:val="00C864B8"/>
    <w:rsid w:val="00C86602"/>
    <w:rsid w:val="00C86D24"/>
    <w:rsid w:val="00C91EAE"/>
    <w:rsid w:val="00C92087"/>
    <w:rsid w:val="00C929E8"/>
    <w:rsid w:val="00C95750"/>
    <w:rsid w:val="00CA3691"/>
    <w:rsid w:val="00CA51C1"/>
    <w:rsid w:val="00CA5C5C"/>
    <w:rsid w:val="00CA5C82"/>
    <w:rsid w:val="00CA6DA5"/>
    <w:rsid w:val="00CB092E"/>
    <w:rsid w:val="00CB195B"/>
    <w:rsid w:val="00CB1FE0"/>
    <w:rsid w:val="00CB35FD"/>
    <w:rsid w:val="00CB4624"/>
    <w:rsid w:val="00CB5635"/>
    <w:rsid w:val="00CB690F"/>
    <w:rsid w:val="00CB7717"/>
    <w:rsid w:val="00CB7FD4"/>
    <w:rsid w:val="00CC1360"/>
    <w:rsid w:val="00CD0208"/>
    <w:rsid w:val="00CD0BA6"/>
    <w:rsid w:val="00CD1521"/>
    <w:rsid w:val="00CD1C9D"/>
    <w:rsid w:val="00CD34F6"/>
    <w:rsid w:val="00CD4580"/>
    <w:rsid w:val="00CE0B7E"/>
    <w:rsid w:val="00CE2836"/>
    <w:rsid w:val="00CE36BB"/>
    <w:rsid w:val="00CE4D32"/>
    <w:rsid w:val="00CE747F"/>
    <w:rsid w:val="00CE7963"/>
    <w:rsid w:val="00CF0809"/>
    <w:rsid w:val="00CF0CD5"/>
    <w:rsid w:val="00CF277D"/>
    <w:rsid w:val="00CF286A"/>
    <w:rsid w:val="00CF3A6B"/>
    <w:rsid w:val="00CF4136"/>
    <w:rsid w:val="00CF6AD2"/>
    <w:rsid w:val="00CF742C"/>
    <w:rsid w:val="00CF7923"/>
    <w:rsid w:val="00CF7F74"/>
    <w:rsid w:val="00D009A6"/>
    <w:rsid w:val="00D00FFE"/>
    <w:rsid w:val="00D0287D"/>
    <w:rsid w:val="00D03D82"/>
    <w:rsid w:val="00D042E4"/>
    <w:rsid w:val="00D046A6"/>
    <w:rsid w:val="00D05487"/>
    <w:rsid w:val="00D07FA9"/>
    <w:rsid w:val="00D103B4"/>
    <w:rsid w:val="00D13265"/>
    <w:rsid w:val="00D21353"/>
    <w:rsid w:val="00D2191D"/>
    <w:rsid w:val="00D21D78"/>
    <w:rsid w:val="00D21D85"/>
    <w:rsid w:val="00D223E1"/>
    <w:rsid w:val="00D24344"/>
    <w:rsid w:val="00D24C39"/>
    <w:rsid w:val="00D26ABA"/>
    <w:rsid w:val="00D31AA9"/>
    <w:rsid w:val="00D334EE"/>
    <w:rsid w:val="00D33B4D"/>
    <w:rsid w:val="00D357AE"/>
    <w:rsid w:val="00D3668B"/>
    <w:rsid w:val="00D41FDA"/>
    <w:rsid w:val="00D4319D"/>
    <w:rsid w:val="00D45E71"/>
    <w:rsid w:val="00D53694"/>
    <w:rsid w:val="00D549D8"/>
    <w:rsid w:val="00D55E01"/>
    <w:rsid w:val="00D5689B"/>
    <w:rsid w:val="00D56D9E"/>
    <w:rsid w:val="00D57F64"/>
    <w:rsid w:val="00D61C33"/>
    <w:rsid w:val="00D649E7"/>
    <w:rsid w:val="00D6630F"/>
    <w:rsid w:val="00D70F2C"/>
    <w:rsid w:val="00D71A46"/>
    <w:rsid w:val="00D735DE"/>
    <w:rsid w:val="00D73894"/>
    <w:rsid w:val="00D74C93"/>
    <w:rsid w:val="00D7726D"/>
    <w:rsid w:val="00D84EFB"/>
    <w:rsid w:val="00D853F8"/>
    <w:rsid w:val="00D85F26"/>
    <w:rsid w:val="00D90348"/>
    <w:rsid w:val="00D91EDE"/>
    <w:rsid w:val="00D95A1B"/>
    <w:rsid w:val="00D96E9B"/>
    <w:rsid w:val="00D96EC9"/>
    <w:rsid w:val="00DA046F"/>
    <w:rsid w:val="00DA368D"/>
    <w:rsid w:val="00DA7CE3"/>
    <w:rsid w:val="00DB0F7A"/>
    <w:rsid w:val="00DB1EEE"/>
    <w:rsid w:val="00DB30C8"/>
    <w:rsid w:val="00DB41FE"/>
    <w:rsid w:val="00DB4BD8"/>
    <w:rsid w:val="00DB5E10"/>
    <w:rsid w:val="00DB6B2F"/>
    <w:rsid w:val="00DB6D0E"/>
    <w:rsid w:val="00DB79B8"/>
    <w:rsid w:val="00DC4B35"/>
    <w:rsid w:val="00DC5E83"/>
    <w:rsid w:val="00DC711C"/>
    <w:rsid w:val="00DD1278"/>
    <w:rsid w:val="00DD4AC4"/>
    <w:rsid w:val="00DD640E"/>
    <w:rsid w:val="00DE1489"/>
    <w:rsid w:val="00DE1A4A"/>
    <w:rsid w:val="00DE341D"/>
    <w:rsid w:val="00DE37DA"/>
    <w:rsid w:val="00DE563A"/>
    <w:rsid w:val="00DE5EF3"/>
    <w:rsid w:val="00DE63F7"/>
    <w:rsid w:val="00DE7E5E"/>
    <w:rsid w:val="00DF544A"/>
    <w:rsid w:val="00DF698A"/>
    <w:rsid w:val="00E0067A"/>
    <w:rsid w:val="00E00EAA"/>
    <w:rsid w:val="00E04954"/>
    <w:rsid w:val="00E05FA3"/>
    <w:rsid w:val="00E074C0"/>
    <w:rsid w:val="00E11858"/>
    <w:rsid w:val="00E13EC1"/>
    <w:rsid w:val="00E141C0"/>
    <w:rsid w:val="00E1510B"/>
    <w:rsid w:val="00E15113"/>
    <w:rsid w:val="00E23728"/>
    <w:rsid w:val="00E256B8"/>
    <w:rsid w:val="00E25C5A"/>
    <w:rsid w:val="00E25D13"/>
    <w:rsid w:val="00E314C6"/>
    <w:rsid w:val="00E3324C"/>
    <w:rsid w:val="00E337B6"/>
    <w:rsid w:val="00E34AF2"/>
    <w:rsid w:val="00E3705F"/>
    <w:rsid w:val="00E41524"/>
    <w:rsid w:val="00E45475"/>
    <w:rsid w:val="00E45AE9"/>
    <w:rsid w:val="00E46B9F"/>
    <w:rsid w:val="00E4734B"/>
    <w:rsid w:val="00E57D26"/>
    <w:rsid w:val="00E600AF"/>
    <w:rsid w:val="00E63645"/>
    <w:rsid w:val="00E6393A"/>
    <w:rsid w:val="00E63E9E"/>
    <w:rsid w:val="00E650A2"/>
    <w:rsid w:val="00E65D1E"/>
    <w:rsid w:val="00E6795B"/>
    <w:rsid w:val="00E67FF1"/>
    <w:rsid w:val="00E71369"/>
    <w:rsid w:val="00E71949"/>
    <w:rsid w:val="00E728E6"/>
    <w:rsid w:val="00E76FA0"/>
    <w:rsid w:val="00E80781"/>
    <w:rsid w:val="00E8136F"/>
    <w:rsid w:val="00E820F7"/>
    <w:rsid w:val="00E82169"/>
    <w:rsid w:val="00E84118"/>
    <w:rsid w:val="00E8439D"/>
    <w:rsid w:val="00E848D1"/>
    <w:rsid w:val="00E85827"/>
    <w:rsid w:val="00E918DF"/>
    <w:rsid w:val="00E93FA8"/>
    <w:rsid w:val="00E94284"/>
    <w:rsid w:val="00E97FEB"/>
    <w:rsid w:val="00EA1ED3"/>
    <w:rsid w:val="00EA5C4F"/>
    <w:rsid w:val="00EA7AEF"/>
    <w:rsid w:val="00EB10DC"/>
    <w:rsid w:val="00EB330D"/>
    <w:rsid w:val="00EB333F"/>
    <w:rsid w:val="00EB612E"/>
    <w:rsid w:val="00EB68E4"/>
    <w:rsid w:val="00EC0039"/>
    <w:rsid w:val="00EC17A4"/>
    <w:rsid w:val="00EC20C6"/>
    <w:rsid w:val="00EC2370"/>
    <w:rsid w:val="00EC28A1"/>
    <w:rsid w:val="00EC5037"/>
    <w:rsid w:val="00EC7427"/>
    <w:rsid w:val="00EC7EB7"/>
    <w:rsid w:val="00ED2E2E"/>
    <w:rsid w:val="00ED59BA"/>
    <w:rsid w:val="00EE1BD7"/>
    <w:rsid w:val="00EE45F5"/>
    <w:rsid w:val="00EE4825"/>
    <w:rsid w:val="00EE7CFD"/>
    <w:rsid w:val="00EF1BD4"/>
    <w:rsid w:val="00EF1EE3"/>
    <w:rsid w:val="00EF6484"/>
    <w:rsid w:val="00EF6B48"/>
    <w:rsid w:val="00EF6D10"/>
    <w:rsid w:val="00EF7604"/>
    <w:rsid w:val="00F003B7"/>
    <w:rsid w:val="00F0175B"/>
    <w:rsid w:val="00F032D4"/>
    <w:rsid w:val="00F06797"/>
    <w:rsid w:val="00F07A77"/>
    <w:rsid w:val="00F10121"/>
    <w:rsid w:val="00F11DD3"/>
    <w:rsid w:val="00F13274"/>
    <w:rsid w:val="00F135CE"/>
    <w:rsid w:val="00F14C92"/>
    <w:rsid w:val="00F17E88"/>
    <w:rsid w:val="00F23080"/>
    <w:rsid w:val="00F239C2"/>
    <w:rsid w:val="00F2456D"/>
    <w:rsid w:val="00F245CA"/>
    <w:rsid w:val="00F25AAF"/>
    <w:rsid w:val="00F26734"/>
    <w:rsid w:val="00F30547"/>
    <w:rsid w:val="00F30C49"/>
    <w:rsid w:val="00F31647"/>
    <w:rsid w:val="00F34BD7"/>
    <w:rsid w:val="00F35ED4"/>
    <w:rsid w:val="00F36534"/>
    <w:rsid w:val="00F402D3"/>
    <w:rsid w:val="00F44649"/>
    <w:rsid w:val="00F468CB"/>
    <w:rsid w:val="00F47667"/>
    <w:rsid w:val="00F54F6B"/>
    <w:rsid w:val="00F56DEC"/>
    <w:rsid w:val="00F61502"/>
    <w:rsid w:val="00F61AEB"/>
    <w:rsid w:val="00F621EE"/>
    <w:rsid w:val="00F6405A"/>
    <w:rsid w:val="00F6526C"/>
    <w:rsid w:val="00F66FBA"/>
    <w:rsid w:val="00F66FCA"/>
    <w:rsid w:val="00F673DE"/>
    <w:rsid w:val="00F717A6"/>
    <w:rsid w:val="00F75479"/>
    <w:rsid w:val="00F8413B"/>
    <w:rsid w:val="00F855D6"/>
    <w:rsid w:val="00F86FCC"/>
    <w:rsid w:val="00F90D3D"/>
    <w:rsid w:val="00F91D05"/>
    <w:rsid w:val="00F92FEA"/>
    <w:rsid w:val="00F94575"/>
    <w:rsid w:val="00F94E33"/>
    <w:rsid w:val="00F961AC"/>
    <w:rsid w:val="00F97272"/>
    <w:rsid w:val="00F973FF"/>
    <w:rsid w:val="00F97A5D"/>
    <w:rsid w:val="00FA1858"/>
    <w:rsid w:val="00FA377E"/>
    <w:rsid w:val="00FA613F"/>
    <w:rsid w:val="00FA6707"/>
    <w:rsid w:val="00FB1F49"/>
    <w:rsid w:val="00FB2370"/>
    <w:rsid w:val="00FB3385"/>
    <w:rsid w:val="00FB4AA8"/>
    <w:rsid w:val="00FB661D"/>
    <w:rsid w:val="00FC0B6C"/>
    <w:rsid w:val="00FC15BE"/>
    <w:rsid w:val="00FC268D"/>
    <w:rsid w:val="00FC2AB2"/>
    <w:rsid w:val="00FC350F"/>
    <w:rsid w:val="00FC3909"/>
    <w:rsid w:val="00FC47C9"/>
    <w:rsid w:val="00FC79B6"/>
    <w:rsid w:val="00FC7D1E"/>
    <w:rsid w:val="00FC7F46"/>
    <w:rsid w:val="00FD197B"/>
    <w:rsid w:val="00FD32D9"/>
    <w:rsid w:val="00FD5C39"/>
    <w:rsid w:val="00FE0261"/>
    <w:rsid w:val="00FE053A"/>
    <w:rsid w:val="00FE05BB"/>
    <w:rsid w:val="00FE205B"/>
    <w:rsid w:val="00FE25EA"/>
    <w:rsid w:val="00FE3385"/>
    <w:rsid w:val="00FE3407"/>
    <w:rsid w:val="00FE46C2"/>
    <w:rsid w:val="00FE653D"/>
    <w:rsid w:val="00FE7554"/>
    <w:rsid w:val="00FF1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E85FB34-AEB1-4A67-AC6B-1B7990439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645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301B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9301B2"/>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9301B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83040E"/>
    <w:pPr>
      <w:tabs>
        <w:tab w:val="right" w:leader="dot" w:pos="8416"/>
      </w:tabs>
      <w:ind w:leftChars="0" w:left="486" w:right="352" w:hangingChars="200" w:hanging="486"/>
    </w:pPr>
    <w:rPr>
      <w:rFonts w:hAnsi="標楷體"/>
      <w:noProof/>
      <w:sz w:val="24"/>
      <w:szCs w:val="24"/>
    </w:rPr>
  </w:style>
  <w:style w:type="paragraph" w:styleId="24">
    <w:name w:val="toc 2"/>
    <w:basedOn w:val="a"/>
    <w:next w:val="a"/>
    <w:autoRedefine/>
    <w:uiPriority w:val="39"/>
    <w:semiHidden/>
    <w:qFormat/>
    <w:pPr>
      <w:tabs>
        <w:tab w:val="right" w:leader="hyphen" w:pos="8490"/>
      </w:tabs>
      <w:ind w:leftChars="0" w:left="566" w:hangingChars="200" w:hanging="566"/>
    </w:p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9301B2"/>
    <w:rPr>
      <w:rFonts w:ascii="Cambria" w:hAnsi="Cambria"/>
      <w:b/>
      <w:bCs/>
      <w:snapToGrid w:val="0"/>
      <w:kern w:val="52"/>
      <w:sz w:val="52"/>
      <w:szCs w:val="52"/>
    </w:rPr>
  </w:style>
  <w:style w:type="character" w:customStyle="1" w:styleId="20">
    <w:name w:val="標題 2 字元"/>
    <w:link w:val="2"/>
    <w:uiPriority w:val="9"/>
    <w:semiHidden/>
    <w:rsid w:val="009301B2"/>
    <w:rPr>
      <w:rFonts w:ascii="Cambria" w:hAnsi="Cambria"/>
      <w:b/>
      <w:bCs/>
      <w:snapToGrid w:val="0"/>
      <w:kern w:val="2"/>
      <w:sz w:val="48"/>
      <w:szCs w:val="48"/>
    </w:rPr>
  </w:style>
  <w:style w:type="character" w:customStyle="1" w:styleId="30">
    <w:name w:val="標題 3 字元"/>
    <w:link w:val="3"/>
    <w:uiPriority w:val="9"/>
    <w:semiHidden/>
    <w:rsid w:val="009301B2"/>
    <w:rPr>
      <w:rFonts w:ascii="Cambria" w:hAnsi="Cambria"/>
      <w:b/>
      <w:bCs/>
      <w:snapToGrid w:val="0"/>
      <w:kern w:val="2"/>
      <w:sz w:val="36"/>
      <w:szCs w:val="36"/>
    </w:rPr>
  </w:style>
  <w:style w:type="character" w:customStyle="1" w:styleId="a9">
    <w:name w:val="前言內文 字元"/>
    <w:link w:val="a8"/>
    <w:rsid w:val="009301B2"/>
    <w:rPr>
      <w:rFonts w:ascii="標楷體" w:eastAsia="標楷體"/>
      <w:snapToGrid w:val="0"/>
      <w:kern w:val="2"/>
      <w:sz w:val="28"/>
      <w:szCs w:val="28"/>
    </w:rPr>
  </w:style>
  <w:style w:type="character" w:customStyle="1" w:styleId="141">
    <w:name w:val="第二層(14號字) 字元1"/>
    <w:link w:val="14"/>
    <w:rsid w:val="009301B2"/>
    <w:rPr>
      <w:rFonts w:ascii="標楷體" w:eastAsia="標楷體"/>
      <w:b/>
      <w:snapToGrid w:val="0"/>
      <w:kern w:val="2"/>
      <w:sz w:val="28"/>
    </w:rPr>
  </w:style>
  <w:style w:type="character" w:customStyle="1" w:styleId="21">
    <w:name w:val="(一)(二)(三) 字元2"/>
    <w:link w:val="a4"/>
    <w:rsid w:val="009301B2"/>
    <w:rPr>
      <w:rFonts w:ascii="標楷體" w:eastAsia="標楷體"/>
      <w:snapToGrid w:val="0"/>
      <w:kern w:val="2"/>
      <w:sz w:val="28"/>
      <w:szCs w:val="28"/>
    </w:rPr>
  </w:style>
  <w:style w:type="character" w:customStyle="1" w:styleId="23">
    <w:name w:val="(一)下內文縮2 字元"/>
    <w:link w:val="22"/>
    <w:rsid w:val="009301B2"/>
    <w:rPr>
      <w:rFonts w:ascii="標楷體" w:eastAsia="標楷體"/>
      <w:snapToGrid w:val="0"/>
      <w:kern w:val="2"/>
      <w:sz w:val="28"/>
      <w:szCs w:val="28"/>
    </w:rPr>
  </w:style>
  <w:style w:type="character" w:customStyle="1" w:styleId="143">
    <w:name w:val="表格內文(14行高) 字元"/>
    <w:link w:val="142"/>
    <w:rsid w:val="009301B2"/>
    <w:rPr>
      <w:rFonts w:ascii="標楷體" w:eastAsia="標楷體"/>
      <w:snapToGrid w:val="0"/>
      <w:kern w:val="2"/>
      <w:sz w:val="24"/>
      <w:szCs w:val="28"/>
    </w:rPr>
  </w:style>
  <w:style w:type="character" w:customStyle="1" w:styleId="145">
    <w:name w:val="第二層(14號字) 字元"/>
    <w:rsid w:val="009301B2"/>
    <w:rPr>
      <w:rFonts w:ascii="標楷體" w:eastAsia="標楷體"/>
      <w:b/>
      <w:snapToGrid w:val="0"/>
      <w:kern w:val="2"/>
      <w:sz w:val="28"/>
    </w:rPr>
  </w:style>
  <w:style w:type="character" w:customStyle="1" w:styleId="af4">
    <w:name w:val="(一)(二)(三) 字元"/>
    <w:rsid w:val="009301B2"/>
    <w:rPr>
      <w:rFonts w:ascii="標楷體" w:eastAsia="標楷體"/>
      <w:snapToGrid w:val="0"/>
      <w:kern w:val="2"/>
      <w:sz w:val="28"/>
      <w:szCs w:val="28"/>
    </w:rPr>
  </w:style>
  <w:style w:type="paragraph" w:styleId="af5">
    <w:name w:val="footnote text"/>
    <w:basedOn w:val="a"/>
    <w:link w:val="af6"/>
    <w:rsid w:val="009301B2"/>
    <w:pPr>
      <w:snapToGrid w:val="0"/>
      <w:jc w:val="left"/>
    </w:pPr>
    <w:rPr>
      <w:sz w:val="20"/>
      <w:szCs w:val="20"/>
    </w:rPr>
  </w:style>
  <w:style w:type="character" w:customStyle="1" w:styleId="af6">
    <w:name w:val="註腳文字 字元"/>
    <w:link w:val="af5"/>
    <w:rsid w:val="009301B2"/>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9301B2"/>
    <w:rPr>
      <w:vertAlign w:val="superscript"/>
    </w:rPr>
  </w:style>
  <w:style w:type="paragraph" w:styleId="af8">
    <w:name w:val="Body Text"/>
    <w:basedOn w:val="a"/>
    <w:rsid w:val="00A844E8"/>
    <w:pPr>
      <w:spacing w:line="240" w:lineRule="auto"/>
      <w:ind w:leftChars="0" w:left="0" w:firstLineChars="0" w:firstLine="0"/>
    </w:pPr>
    <w:rPr>
      <w:rFonts w:ascii="Times New Roman"/>
      <w:snapToGrid/>
      <w:sz w:val="32"/>
      <w:szCs w:val="24"/>
    </w:rPr>
  </w:style>
  <w:style w:type="paragraph" w:styleId="HTML">
    <w:name w:val="HTML Preformatted"/>
    <w:basedOn w:val="a"/>
    <w:link w:val="HTML0"/>
    <w:uiPriority w:val="99"/>
    <w:unhideWhenUsed/>
    <w:rsid w:val="009301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301B2"/>
    <w:rPr>
      <w:rFonts w:ascii="細明體" w:eastAsia="細明體" w:hAnsi="細明體" w:cs="細明體"/>
      <w:sz w:val="24"/>
      <w:szCs w:val="24"/>
    </w:rPr>
  </w:style>
  <w:style w:type="table" w:styleId="af9">
    <w:name w:val="Table Grid"/>
    <w:basedOn w:val="a1"/>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uiPriority w:val="99"/>
    <w:unhideWhenUsed/>
    <w:rsid w:val="009301B2"/>
    <w:rPr>
      <w:strike w:val="0"/>
      <w:dstrike w:val="0"/>
      <w:color w:val="017CA5"/>
      <w:u w:val="none"/>
      <w:effect w:val="none"/>
    </w:rPr>
  </w:style>
  <w:style w:type="paragraph" w:styleId="afb">
    <w:name w:val="TOC Heading"/>
    <w:basedOn w:val="1"/>
    <w:next w:val="a"/>
    <w:uiPriority w:val="39"/>
    <w:qFormat/>
    <w:rsid w:val="009301B2"/>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2">
    <w:name w:val="toc 3"/>
    <w:basedOn w:val="a"/>
    <w:next w:val="a"/>
    <w:autoRedefine/>
    <w:uiPriority w:val="39"/>
    <w:semiHidden/>
    <w:unhideWhenUsed/>
    <w:qFormat/>
    <w:rsid w:val="009301B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c">
    <w:name w:val="Date"/>
    <w:basedOn w:val="a"/>
    <w:next w:val="a"/>
    <w:rsid w:val="00A844E8"/>
    <w:pPr>
      <w:spacing w:line="240" w:lineRule="auto"/>
      <w:ind w:leftChars="0" w:left="0" w:firstLineChars="0" w:firstLine="0"/>
      <w:jc w:val="right"/>
    </w:pPr>
    <w:rPr>
      <w:rFonts w:ascii="Times New Roman"/>
      <w:b/>
      <w:bCs/>
      <w:snapToGrid/>
      <w:sz w:val="36"/>
      <w:szCs w:val="24"/>
    </w:rPr>
  </w:style>
  <w:style w:type="paragraph" w:customStyle="1" w:styleId="afd">
    <w:name w:val="第二層"/>
    <w:basedOn w:val="a"/>
    <w:rsid w:val="00D24344"/>
    <w:pPr>
      <w:spacing w:line="240" w:lineRule="auto"/>
      <w:ind w:leftChars="0" w:left="0" w:firstLineChars="0" w:firstLine="0"/>
      <w:jc w:val="left"/>
    </w:pPr>
    <w:rPr>
      <w:rFonts w:ascii="Times New Roman" w:eastAsia="新細明體"/>
      <w:snapToGrid/>
      <w:szCs w:val="24"/>
    </w:rPr>
  </w:style>
  <w:style w:type="character" w:customStyle="1" w:styleId="a7">
    <w:name w:val="結論 字元"/>
    <w:link w:val="a6"/>
    <w:rsid w:val="00D334E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8414">
      <w:bodyDiv w:val="1"/>
      <w:marLeft w:val="0"/>
      <w:marRight w:val="0"/>
      <w:marTop w:val="0"/>
      <w:marBottom w:val="0"/>
      <w:divBdr>
        <w:top w:val="none" w:sz="0" w:space="0" w:color="auto"/>
        <w:left w:val="none" w:sz="0" w:space="0" w:color="auto"/>
        <w:bottom w:val="none" w:sz="0" w:space="0" w:color="auto"/>
        <w:right w:val="none" w:sz="0" w:space="0" w:color="auto"/>
      </w:divBdr>
    </w:div>
    <w:div w:id="28577094">
      <w:bodyDiv w:val="1"/>
      <w:marLeft w:val="0"/>
      <w:marRight w:val="0"/>
      <w:marTop w:val="0"/>
      <w:marBottom w:val="0"/>
      <w:divBdr>
        <w:top w:val="none" w:sz="0" w:space="0" w:color="auto"/>
        <w:left w:val="none" w:sz="0" w:space="0" w:color="auto"/>
        <w:bottom w:val="none" w:sz="0" w:space="0" w:color="auto"/>
        <w:right w:val="none" w:sz="0" w:space="0" w:color="auto"/>
      </w:divBdr>
    </w:div>
    <w:div w:id="62262919">
      <w:bodyDiv w:val="1"/>
      <w:marLeft w:val="0"/>
      <w:marRight w:val="0"/>
      <w:marTop w:val="0"/>
      <w:marBottom w:val="0"/>
      <w:divBdr>
        <w:top w:val="none" w:sz="0" w:space="0" w:color="auto"/>
        <w:left w:val="none" w:sz="0" w:space="0" w:color="auto"/>
        <w:bottom w:val="none" w:sz="0" w:space="0" w:color="auto"/>
        <w:right w:val="none" w:sz="0" w:space="0" w:color="auto"/>
      </w:divBdr>
    </w:div>
    <w:div w:id="79258469">
      <w:bodyDiv w:val="1"/>
      <w:marLeft w:val="0"/>
      <w:marRight w:val="0"/>
      <w:marTop w:val="0"/>
      <w:marBottom w:val="0"/>
      <w:divBdr>
        <w:top w:val="none" w:sz="0" w:space="0" w:color="auto"/>
        <w:left w:val="none" w:sz="0" w:space="0" w:color="auto"/>
        <w:bottom w:val="none" w:sz="0" w:space="0" w:color="auto"/>
        <w:right w:val="none" w:sz="0" w:space="0" w:color="auto"/>
      </w:divBdr>
    </w:div>
    <w:div w:id="87390902">
      <w:bodyDiv w:val="1"/>
      <w:marLeft w:val="0"/>
      <w:marRight w:val="0"/>
      <w:marTop w:val="0"/>
      <w:marBottom w:val="0"/>
      <w:divBdr>
        <w:top w:val="none" w:sz="0" w:space="0" w:color="auto"/>
        <w:left w:val="none" w:sz="0" w:space="0" w:color="auto"/>
        <w:bottom w:val="none" w:sz="0" w:space="0" w:color="auto"/>
        <w:right w:val="none" w:sz="0" w:space="0" w:color="auto"/>
      </w:divBdr>
    </w:div>
    <w:div w:id="95248041">
      <w:bodyDiv w:val="1"/>
      <w:marLeft w:val="0"/>
      <w:marRight w:val="0"/>
      <w:marTop w:val="0"/>
      <w:marBottom w:val="0"/>
      <w:divBdr>
        <w:top w:val="none" w:sz="0" w:space="0" w:color="auto"/>
        <w:left w:val="none" w:sz="0" w:space="0" w:color="auto"/>
        <w:bottom w:val="none" w:sz="0" w:space="0" w:color="auto"/>
        <w:right w:val="none" w:sz="0" w:space="0" w:color="auto"/>
      </w:divBdr>
    </w:div>
    <w:div w:id="122845867">
      <w:bodyDiv w:val="1"/>
      <w:marLeft w:val="0"/>
      <w:marRight w:val="0"/>
      <w:marTop w:val="0"/>
      <w:marBottom w:val="0"/>
      <w:divBdr>
        <w:top w:val="none" w:sz="0" w:space="0" w:color="auto"/>
        <w:left w:val="none" w:sz="0" w:space="0" w:color="auto"/>
        <w:bottom w:val="none" w:sz="0" w:space="0" w:color="auto"/>
        <w:right w:val="none" w:sz="0" w:space="0" w:color="auto"/>
      </w:divBdr>
    </w:div>
    <w:div w:id="123475962">
      <w:bodyDiv w:val="1"/>
      <w:marLeft w:val="0"/>
      <w:marRight w:val="0"/>
      <w:marTop w:val="0"/>
      <w:marBottom w:val="0"/>
      <w:divBdr>
        <w:top w:val="none" w:sz="0" w:space="0" w:color="auto"/>
        <w:left w:val="none" w:sz="0" w:space="0" w:color="auto"/>
        <w:bottom w:val="none" w:sz="0" w:space="0" w:color="auto"/>
        <w:right w:val="none" w:sz="0" w:space="0" w:color="auto"/>
      </w:divBdr>
    </w:div>
    <w:div w:id="134223270">
      <w:bodyDiv w:val="1"/>
      <w:marLeft w:val="0"/>
      <w:marRight w:val="0"/>
      <w:marTop w:val="0"/>
      <w:marBottom w:val="0"/>
      <w:divBdr>
        <w:top w:val="none" w:sz="0" w:space="0" w:color="auto"/>
        <w:left w:val="none" w:sz="0" w:space="0" w:color="auto"/>
        <w:bottom w:val="none" w:sz="0" w:space="0" w:color="auto"/>
        <w:right w:val="none" w:sz="0" w:space="0" w:color="auto"/>
      </w:divBdr>
    </w:div>
    <w:div w:id="139544345">
      <w:bodyDiv w:val="1"/>
      <w:marLeft w:val="0"/>
      <w:marRight w:val="0"/>
      <w:marTop w:val="0"/>
      <w:marBottom w:val="0"/>
      <w:divBdr>
        <w:top w:val="none" w:sz="0" w:space="0" w:color="auto"/>
        <w:left w:val="none" w:sz="0" w:space="0" w:color="auto"/>
        <w:bottom w:val="none" w:sz="0" w:space="0" w:color="auto"/>
        <w:right w:val="none" w:sz="0" w:space="0" w:color="auto"/>
      </w:divBdr>
    </w:div>
    <w:div w:id="145704135">
      <w:bodyDiv w:val="1"/>
      <w:marLeft w:val="0"/>
      <w:marRight w:val="0"/>
      <w:marTop w:val="0"/>
      <w:marBottom w:val="0"/>
      <w:divBdr>
        <w:top w:val="none" w:sz="0" w:space="0" w:color="auto"/>
        <w:left w:val="none" w:sz="0" w:space="0" w:color="auto"/>
        <w:bottom w:val="none" w:sz="0" w:space="0" w:color="auto"/>
        <w:right w:val="none" w:sz="0" w:space="0" w:color="auto"/>
      </w:divBdr>
    </w:div>
    <w:div w:id="159783644">
      <w:bodyDiv w:val="1"/>
      <w:marLeft w:val="0"/>
      <w:marRight w:val="0"/>
      <w:marTop w:val="0"/>
      <w:marBottom w:val="0"/>
      <w:divBdr>
        <w:top w:val="none" w:sz="0" w:space="0" w:color="auto"/>
        <w:left w:val="none" w:sz="0" w:space="0" w:color="auto"/>
        <w:bottom w:val="none" w:sz="0" w:space="0" w:color="auto"/>
        <w:right w:val="none" w:sz="0" w:space="0" w:color="auto"/>
      </w:divBdr>
    </w:div>
    <w:div w:id="191185147">
      <w:bodyDiv w:val="1"/>
      <w:marLeft w:val="0"/>
      <w:marRight w:val="0"/>
      <w:marTop w:val="0"/>
      <w:marBottom w:val="0"/>
      <w:divBdr>
        <w:top w:val="none" w:sz="0" w:space="0" w:color="auto"/>
        <w:left w:val="none" w:sz="0" w:space="0" w:color="auto"/>
        <w:bottom w:val="none" w:sz="0" w:space="0" w:color="auto"/>
        <w:right w:val="none" w:sz="0" w:space="0" w:color="auto"/>
      </w:divBdr>
    </w:div>
    <w:div w:id="223954032">
      <w:bodyDiv w:val="1"/>
      <w:marLeft w:val="0"/>
      <w:marRight w:val="0"/>
      <w:marTop w:val="0"/>
      <w:marBottom w:val="0"/>
      <w:divBdr>
        <w:top w:val="none" w:sz="0" w:space="0" w:color="auto"/>
        <w:left w:val="none" w:sz="0" w:space="0" w:color="auto"/>
        <w:bottom w:val="none" w:sz="0" w:space="0" w:color="auto"/>
        <w:right w:val="none" w:sz="0" w:space="0" w:color="auto"/>
      </w:divBdr>
    </w:div>
    <w:div w:id="228660805">
      <w:bodyDiv w:val="1"/>
      <w:marLeft w:val="0"/>
      <w:marRight w:val="0"/>
      <w:marTop w:val="0"/>
      <w:marBottom w:val="0"/>
      <w:divBdr>
        <w:top w:val="none" w:sz="0" w:space="0" w:color="auto"/>
        <w:left w:val="none" w:sz="0" w:space="0" w:color="auto"/>
        <w:bottom w:val="none" w:sz="0" w:space="0" w:color="auto"/>
        <w:right w:val="none" w:sz="0" w:space="0" w:color="auto"/>
      </w:divBdr>
    </w:div>
    <w:div w:id="230502170">
      <w:bodyDiv w:val="1"/>
      <w:marLeft w:val="0"/>
      <w:marRight w:val="0"/>
      <w:marTop w:val="0"/>
      <w:marBottom w:val="0"/>
      <w:divBdr>
        <w:top w:val="none" w:sz="0" w:space="0" w:color="auto"/>
        <w:left w:val="none" w:sz="0" w:space="0" w:color="auto"/>
        <w:bottom w:val="none" w:sz="0" w:space="0" w:color="auto"/>
        <w:right w:val="none" w:sz="0" w:space="0" w:color="auto"/>
      </w:divBdr>
    </w:div>
    <w:div w:id="252669341">
      <w:bodyDiv w:val="1"/>
      <w:marLeft w:val="0"/>
      <w:marRight w:val="0"/>
      <w:marTop w:val="0"/>
      <w:marBottom w:val="0"/>
      <w:divBdr>
        <w:top w:val="none" w:sz="0" w:space="0" w:color="auto"/>
        <w:left w:val="none" w:sz="0" w:space="0" w:color="auto"/>
        <w:bottom w:val="none" w:sz="0" w:space="0" w:color="auto"/>
        <w:right w:val="none" w:sz="0" w:space="0" w:color="auto"/>
      </w:divBdr>
    </w:div>
    <w:div w:id="254097314">
      <w:bodyDiv w:val="1"/>
      <w:marLeft w:val="0"/>
      <w:marRight w:val="0"/>
      <w:marTop w:val="0"/>
      <w:marBottom w:val="0"/>
      <w:divBdr>
        <w:top w:val="none" w:sz="0" w:space="0" w:color="auto"/>
        <w:left w:val="none" w:sz="0" w:space="0" w:color="auto"/>
        <w:bottom w:val="none" w:sz="0" w:space="0" w:color="auto"/>
        <w:right w:val="none" w:sz="0" w:space="0" w:color="auto"/>
      </w:divBdr>
    </w:div>
    <w:div w:id="299113208">
      <w:bodyDiv w:val="1"/>
      <w:marLeft w:val="0"/>
      <w:marRight w:val="0"/>
      <w:marTop w:val="0"/>
      <w:marBottom w:val="0"/>
      <w:divBdr>
        <w:top w:val="none" w:sz="0" w:space="0" w:color="auto"/>
        <w:left w:val="none" w:sz="0" w:space="0" w:color="auto"/>
        <w:bottom w:val="none" w:sz="0" w:space="0" w:color="auto"/>
        <w:right w:val="none" w:sz="0" w:space="0" w:color="auto"/>
      </w:divBdr>
    </w:div>
    <w:div w:id="316809046">
      <w:bodyDiv w:val="1"/>
      <w:marLeft w:val="0"/>
      <w:marRight w:val="0"/>
      <w:marTop w:val="0"/>
      <w:marBottom w:val="0"/>
      <w:divBdr>
        <w:top w:val="none" w:sz="0" w:space="0" w:color="auto"/>
        <w:left w:val="none" w:sz="0" w:space="0" w:color="auto"/>
        <w:bottom w:val="none" w:sz="0" w:space="0" w:color="auto"/>
        <w:right w:val="none" w:sz="0" w:space="0" w:color="auto"/>
      </w:divBdr>
    </w:div>
    <w:div w:id="316880147">
      <w:bodyDiv w:val="1"/>
      <w:marLeft w:val="0"/>
      <w:marRight w:val="0"/>
      <w:marTop w:val="0"/>
      <w:marBottom w:val="0"/>
      <w:divBdr>
        <w:top w:val="none" w:sz="0" w:space="0" w:color="auto"/>
        <w:left w:val="none" w:sz="0" w:space="0" w:color="auto"/>
        <w:bottom w:val="none" w:sz="0" w:space="0" w:color="auto"/>
        <w:right w:val="none" w:sz="0" w:space="0" w:color="auto"/>
      </w:divBdr>
    </w:div>
    <w:div w:id="335766284">
      <w:bodyDiv w:val="1"/>
      <w:marLeft w:val="0"/>
      <w:marRight w:val="0"/>
      <w:marTop w:val="0"/>
      <w:marBottom w:val="0"/>
      <w:divBdr>
        <w:top w:val="none" w:sz="0" w:space="0" w:color="auto"/>
        <w:left w:val="none" w:sz="0" w:space="0" w:color="auto"/>
        <w:bottom w:val="none" w:sz="0" w:space="0" w:color="auto"/>
        <w:right w:val="none" w:sz="0" w:space="0" w:color="auto"/>
      </w:divBdr>
    </w:div>
    <w:div w:id="370346215">
      <w:bodyDiv w:val="1"/>
      <w:marLeft w:val="0"/>
      <w:marRight w:val="0"/>
      <w:marTop w:val="0"/>
      <w:marBottom w:val="0"/>
      <w:divBdr>
        <w:top w:val="none" w:sz="0" w:space="0" w:color="auto"/>
        <w:left w:val="none" w:sz="0" w:space="0" w:color="auto"/>
        <w:bottom w:val="none" w:sz="0" w:space="0" w:color="auto"/>
        <w:right w:val="none" w:sz="0" w:space="0" w:color="auto"/>
      </w:divBdr>
    </w:div>
    <w:div w:id="373504438">
      <w:bodyDiv w:val="1"/>
      <w:marLeft w:val="0"/>
      <w:marRight w:val="0"/>
      <w:marTop w:val="0"/>
      <w:marBottom w:val="0"/>
      <w:divBdr>
        <w:top w:val="none" w:sz="0" w:space="0" w:color="auto"/>
        <w:left w:val="none" w:sz="0" w:space="0" w:color="auto"/>
        <w:bottom w:val="none" w:sz="0" w:space="0" w:color="auto"/>
        <w:right w:val="none" w:sz="0" w:space="0" w:color="auto"/>
      </w:divBdr>
    </w:div>
    <w:div w:id="384067949">
      <w:bodyDiv w:val="1"/>
      <w:marLeft w:val="0"/>
      <w:marRight w:val="0"/>
      <w:marTop w:val="0"/>
      <w:marBottom w:val="0"/>
      <w:divBdr>
        <w:top w:val="none" w:sz="0" w:space="0" w:color="auto"/>
        <w:left w:val="none" w:sz="0" w:space="0" w:color="auto"/>
        <w:bottom w:val="none" w:sz="0" w:space="0" w:color="auto"/>
        <w:right w:val="none" w:sz="0" w:space="0" w:color="auto"/>
      </w:divBdr>
    </w:div>
    <w:div w:id="501967819">
      <w:bodyDiv w:val="1"/>
      <w:marLeft w:val="0"/>
      <w:marRight w:val="0"/>
      <w:marTop w:val="0"/>
      <w:marBottom w:val="0"/>
      <w:divBdr>
        <w:top w:val="none" w:sz="0" w:space="0" w:color="auto"/>
        <w:left w:val="none" w:sz="0" w:space="0" w:color="auto"/>
        <w:bottom w:val="none" w:sz="0" w:space="0" w:color="auto"/>
        <w:right w:val="none" w:sz="0" w:space="0" w:color="auto"/>
      </w:divBdr>
    </w:div>
    <w:div w:id="513688964">
      <w:bodyDiv w:val="1"/>
      <w:marLeft w:val="0"/>
      <w:marRight w:val="0"/>
      <w:marTop w:val="0"/>
      <w:marBottom w:val="0"/>
      <w:divBdr>
        <w:top w:val="none" w:sz="0" w:space="0" w:color="auto"/>
        <w:left w:val="none" w:sz="0" w:space="0" w:color="auto"/>
        <w:bottom w:val="none" w:sz="0" w:space="0" w:color="auto"/>
        <w:right w:val="none" w:sz="0" w:space="0" w:color="auto"/>
      </w:divBdr>
    </w:div>
    <w:div w:id="530848079">
      <w:bodyDiv w:val="1"/>
      <w:marLeft w:val="0"/>
      <w:marRight w:val="0"/>
      <w:marTop w:val="0"/>
      <w:marBottom w:val="0"/>
      <w:divBdr>
        <w:top w:val="none" w:sz="0" w:space="0" w:color="auto"/>
        <w:left w:val="none" w:sz="0" w:space="0" w:color="auto"/>
        <w:bottom w:val="none" w:sz="0" w:space="0" w:color="auto"/>
        <w:right w:val="none" w:sz="0" w:space="0" w:color="auto"/>
      </w:divBdr>
    </w:div>
    <w:div w:id="579366077">
      <w:bodyDiv w:val="1"/>
      <w:marLeft w:val="0"/>
      <w:marRight w:val="0"/>
      <w:marTop w:val="0"/>
      <w:marBottom w:val="0"/>
      <w:divBdr>
        <w:top w:val="none" w:sz="0" w:space="0" w:color="auto"/>
        <w:left w:val="none" w:sz="0" w:space="0" w:color="auto"/>
        <w:bottom w:val="none" w:sz="0" w:space="0" w:color="auto"/>
        <w:right w:val="none" w:sz="0" w:space="0" w:color="auto"/>
      </w:divBdr>
    </w:div>
    <w:div w:id="586693278">
      <w:bodyDiv w:val="1"/>
      <w:marLeft w:val="0"/>
      <w:marRight w:val="0"/>
      <w:marTop w:val="0"/>
      <w:marBottom w:val="0"/>
      <w:divBdr>
        <w:top w:val="none" w:sz="0" w:space="0" w:color="auto"/>
        <w:left w:val="none" w:sz="0" w:space="0" w:color="auto"/>
        <w:bottom w:val="none" w:sz="0" w:space="0" w:color="auto"/>
        <w:right w:val="none" w:sz="0" w:space="0" w:color="auto"/>
      </w:divBdr>
    </w:div>
    <w:div w:id="590701318">
      <w:bodyDiv w:val="1"/>
      <w:marLeft w:val="0"/>
      <w:marRight w:val="0"/>
      <w:marTop w:val="0"/>
      <w:marBottom w:val="0"/>
      <w:divBdr>
        <w:top w:val="none" w:sz="0" w:space="0" w:color="auto"/>
        <w:left w:val="none" w:sz="0" w:space="0" w:color="auto"/>
        <w:bottom w:val="none" w:sz="0" w:space="0" w:color="auto"/>
        <w:right w:val="none" w:sz="0" w:space="0" w:color="auto"/>
      </w:divBdr>
    </w:div>
    <w:div w:id="632255503">
      <w:bodyDiv w:val="1"/>
      <w:marLeft w:val="0"/>
      <w:marRight w:val="0"/>
      <w:marTop w:val="0"/>
      <w:marBottom w:val="0"/>
      <w:divBdr>
        <w:top w:val="none" w:sz="0" w:space="0" w:color="auto"/>
        <w:left w:val="none" w:sz="0" w:space="0" w:color="auto"/>
        <w:bottom w:val="none" w:sz="0" w:space="0" w:color="auto"/>
        <w:right w:val="none" w:sz="0" w:space="0" w:color="auto"/>
      </w:divBdr>
    </w:div>
    <w:div w:id="691691682">
      <w:bodyDiv w:val="1"/>
      <w:marLeft w:val="0"/>
      <w:marRight w:val="0"/>
      <w:marTop w:val="0"/>
      <w:marBottom w:val="0"/>
      <w:divBdr>
        <w:top w:val="none" w:sz="0" w:space="0" w:color="auto"/>
        <w:left w:val="none" w:sz="0" w:space="0" w:color="auto"/>
        <w:bottom w:val="none" w:sz="0" w:space="0" w:color="auto"/>
        <w:right w:val="none" w:sz="0" w:space="0" w:color="auto"/>
      </w:divBdr>
    </w:div>
    <w:div w:id="712660005">
      <w:bodyDiv w:val="1"/>
      <w:marLeft w:val="0"/>
      <w:marRight w:val="0"/>
      <w:marTop w:val="0"/>
      <w:marBottom w:val="0"/>
      <w:divBdr>
        <w:top w:val="none" w:sz="0" w:space="0" w:color="auto"/>
        <w:left w:val="none" w:sz="0" w:space="0" w:color="auto"/>
        <w:bottom w:val="none" w:sz="0" w:space="0" w:color="auto"/>
        <w:right w:val="none" w:sz="0" w:space="0" w:color="auto"/>
      </w:divBdr>
    </w:div>
    <w:div w:id="725184741">
      <w:bodyDiv w:val="1"/>
      <w:marLeft w:val="0"/>
      <w:marRight w:val="0"/>
      <w:marTop w:val="0"/>
      <w:marBottom w:val="0"/>
      <w:divBdr>
        <w:top w:val="none" w:sz="0" w:space="0" w:color="auto"/>
        <w:left w:val="none" w:sz="0" w:space="0" w:color="auto"/>
        <w:bottom w:val="none" w:sz="0" w:space="0" w:color="auto"/>
        <w:right w:val="none" w:sz="0" w:space="0" w:color="auto"/>
      </w:divBdr>
    </w:div>
    <w:div w:id="728268017">
      <w:bodyDiv w:val="1"/>
      <w:marLeft w:val="0"/>
      <w:marRight w:val="0"/>
      <w:marTop w:val="0"/>
      <w:marBottom w:val="0"/>
      <w:divBdr>
        <w:top w:val="none" w:sz="0" w:space="0" w:color="auto"/>
        <w:left w:val="none" w:sz="0" w:space="0" w:color="auto"/>
        <w:bottom w:val="none" w:sz="0" w:space="0" w:color="auto"/>
        <w:right w:val="none" w:sz="0" w:space="0" w:color="auto"/>
      </w:divBdr>
    </w:div>
    <w:div w:id="821242317">
      <w:bodyDiv w:val="1"/>
      <w:marLeft w:val="0"/>
      <w:marRight w:val="0"/>
      <w:marTop w:val="0"/>
      <w:marBottom w:val="0"/>
      <w:divBdr>
        <w:top w:val="none" w:sz="0" w:space="0" w:color="auto"/>
        <w:left w:val="none" w:sz="0" w:space="0" w:color="auto"/>
        <w:bottom w:val="none" w:sz="0" w:space="0" w:color="auto"/>
        <w:right w:val="none" w:sz="0" w:space="0" w:color="auto"/>
      </w:divBdr>
    </w:div>
    <w:div w:id="838425628">
      <w:bodyDiv w:val="1"/>
      <w:marLeft w:val="0"/>
      <w:marRight w:val="0"/>
      <w:marTop w:val="0"/>
      <w:marBottom w:val="0"/>
      <w:divBdr>
        <w:top w:val="none" w:sz="0" w:space="0" w:color="auto"/>
        <w:left w:val="none" w:sz="0" w:space="0" w:color="auto"/>
        <w:bottom w:val="none" w:sz="0" w:space="0" w:color="auto"/>
        <w:right w:val="none" w:sz="0" w:space="0" w:color="auto"/>
      </w:divBdr>
    </w:div>
    <w:div w:id="842479613">
      <w:bodyDiv w:val="1"/>
      <w:marLeft w:val="0"/>
      <w:marRight w:val="0"/>
      <w:marTop w:val="0"/>
      <w:marBottom w:val="0"/>
      <w:divBdr>
        <w:top w:val="none" w:sz="0" w:space="0" w:color="auto"/>
        <w:left w:val="none" w:sz="0" w:space="0" w:color="auto"/>
        <w:bottom w:val="none" w:sz="0" w:space="0" w:color="auto"/>
        <w:right w:val="none" w:sz="0" w:space="0" w:color="auto"/>
      </w:divBdr>
    </w:div>
    <w:div w:id="906382722">
      <w:bodyDiv w:val="1"/>
      <w:marLeft w:val="0"/>
      <w:marRight w:val="0"/>
      <w:marTop w:val="0"/>
      <w:marBottom w:val="0"/>
      <w:divBdr>
        <w:top w:val="none" w:sz="0" w:space="0" w:color="auto"/>
        <w:left w:val="none" w:sz="0" w:space="0" w:color="auto"/>
        <w:bottom w:val="none" w:sz="0" w:space="0" w:color="auto"/>
        <w:right w:val="none" w:sz="0" w:space="0" w:color="auto"/>
      </w:divBdr>
    </w:div>
    <w:div w:id="926302759">
      <w:bodyDiv w:val="1"/>
      <w:marLeft w:val="0"/>
      <w:marRight w:val="0"/>
      <w:marTop w:val="0"/>
      <w:marBottom w:val="0"/>
      <w:divBdr>
        <w:top w:val="none" w:sz="0" w:space="0" w:color="auto"/>
        <w:left w:val="none" w:sz="0" w:space="0" w:color="auto"/>
        <w:bottom w:val="none" w:sz="0" w:space="0" w:color="auto"/>
        <w:right w:val="none" w:sz="0" w:space="0" w:color="auto"/>
      </w:divBdr>
    </w:div>
    <w:div w:id="941768721">
      <w:bodyDiv w:val="1"/>
      <w:marLeft w:val="0"/>
      <w:marRight w:val="0"/>
      <w:marTop w:val="0"/>
      <w:marBottom w:val="0"/>
      <w:divBdr>
        <w:top w:val="none" w:sz="0" w:space="0" w:color="auto"/>
        <w:left w:val="none" w:sz="0" w:space="0" w:color="auto"/>
        <w:bottom w:val="none" w:sz="0" w:space="0" w:color="auto"/>
        <w:right w:val="none" w:sz="0" w:space="0" w:color="auto"/>
      </w:divBdr>
    </w:div>
    <w:div w:id="952783689">
      <w:bodyDiv w:val="1"/>
      <w:marLeft w:val="0"/>
      <w:marRight w:val="0"/>
      <w:marTop w:val="0"/>
      <w:marBottom w:val="0"/>
      <w:divBdr>
        <w:top w:val="none" w:sz="0" w:space="0" w:color="auto"/>
        <w:left w:val="none" w:sz="0" w:space="0" w:color="auto"/>
        <w:bottom w:val="none" w:sz="0" w:space="0" w:color="auto"/>
        <w:right w:val="none" w:sz="0" w:space="0" w:color="auto"/>
      </w:divBdr>
    </w:div>
    <w:div w:id="975378146">
      <w:bodyDiv w:val="1"/>
      <w:marLeft w:val="0"/>
      <w:marRight w:val="0"/>
      <w:marTop w:val="0"/>
      <w:marBottom w:val="0"/>
      <w:divBdr>
        <w:top w:val="none" w:sz="0" w:space="0" w:color="auto"/>
        <w:left w:val="none" w:sz="0" w:space="0" w:color="auto"/>
        <w:bottom w:val="none" w:sz="0" w:space="0" w:color="auto"/>
        <w:right w:val="none" w:sz="0" w:space="0" w:color="auto"/>
      </w:divBdr>
    </w:div>
    <w:div w:id="1009717212">
      <w:bodyDiv w:val="1"/>
      <w:marLeft w:val="0"/>
      <w:marRight w:val="0"/>
      <w:marTop w:val="0"/>
      <w:marBottom w:val="0"/>
      <w:divBdr>
        <w:top w:val="none" w:sz="0" w:space="0" w:color="auto"/>
        <w:left w:val="none" w:sz="0" w:space="0" w:color="auto"/>
        <w:bottom w:val="none" w:sz="0" w:space="0" w:color="auto"/>
        <w:right w:val="none" w:sz="0" w:space="0" w:color="auto"/>
      </w:divBdr>
    </w:div>
    <w:div w:id="1088572845">
      <w:bodyDiv w:val="1"/>
      <w:marLeft w:val="0"/>
      <w:marRight w:val="0"/>
      <w:marTop w:val="0"/>
      <w:marBottom w:val="0"/>
      <w:divBdr>
        <w:top w:val="none" w:sz="0" w:space="0" w:color="auto"/>
        <w:left w:val="none" w:sz="0" w:space="0" w:color="auto"/>
        <w:bottom w:val="none" w:sz="0" w:space="0" w:color="auto"/>
        <w:right w:val="none" w:sz="0" w:space="0" w:color="auto"/>
      </w:divBdr>
    </w:div>
    <w:div w:id="1103263142">
      <w:bodyDiv w:val="1"/>
      <w:marLeft w:val="0"/>
      <w:marRight w:val="0"/>
      <w:marTop w:val="0"/>
      <w:marBottom w:val="0"/>
      <w:divBdr>
        <w:top w:val="none" w:sz="0" w:space="0" w:color="auto"/>
        <w:left w:val="none" w:sz="0" w:space="0" w:color="auto"/>
        <w:bottom w:val="none" w:sz="0" w:space="0" w:color="auto"/>
        <w:right w:val="none" w:sz="0" w:space="0" w:color="auto"/>
      </w:divBdr>
    </w:div>
    <w:div w:id="1138381007">
      <w:bodyDiv w:val="1"/>
      <w:marLeft w:val="0"/>
      <w:marRight w:val="0"/>
      <w:marTop w:val="0"/>
      <w:marBottom w:val="0"/>
      <w:divBdr>
        <w:top w:val="none" w:sz="0" w:space="0" w:color="auto"/>
        <w:left w:val="none" w:sz="0" w:space="0" w:color="auto"/>
        <w:bottom w:val="none" w:sz="0" w:space="0" w:color="auto"/>
        <w:right w:val="none" w:sz="0" w:space="0" w:color="auto"/>
      </w:divBdr>
    </w:div>
    <w:div w:id="1139305582">
      <w:bodyDiv w:val="1"/>
      <w:marLeft w:val="0"/>
      <w:marRight w:val="0"/>
      <w:marTop w:val="0"/>
      <w:marBottom w:val="0"/>
      <w:divBdr>
        <w:top w:val="none" w:sz="0" w:space="0" w:color="auto"/>
        <w:left w:val="none" w:sz="0" w:space="0" w:color="auto"/>
        <w:bottom w:val="none" w:sz="0" w:space="0" w:color="auto"/>
        <w:right w:val="none" w:sz="0" w:space="0" w:color="auto"/>
      </w:divBdr>
    </w:div>
    <w:div w:id="1238708873">
      <w:bodyDiv w:val="1"/>
      <w:marLeft w:val="0"/>
      <w:marRight w:val="0"/>
      <w:marTop w:val="0"/>
      <w:marBottom w:val="0"/>
      <w:divBdr>
        <w:top w:val="none" w:sz="0" w:space="0" w:color="auto"/>
        <w:left w:val="none" w:sz="0" w:space="0" w:color="auto"/>
        <w:bottom w:val="none" w:sz="0" w:space="0" w:color="auto"/>
        <w:right w:val="none" w:sz="0" w:space="0" w:color="auto"/>
      </w:divBdr>
    </w:div>
    <w:div w:id="1241672575">
      <w:bodyDiv w:val="1"/>
      <w:marLeft w:val="0"/>
      <w:marRight w:val="0"/>
      <w:marTop w:val="0"/>
      <w:marBottom w:val="0"/>
      <w:divBdr>
        <w:top w:val="none" w:sz="0" w:space="0" w:color="auto"/>
        <w:left w:val="none" w:sz="0" w:space="0" w:color="auto"/>
        <w:bottom w:val="none" w:sz="0" w:space="0" w:color="auto"/>
        <w:right w:val="none" w:sz="0" w:space="0" w:color="auto"/>
      </w:divBdr>
    </w:div>
    <w:div w:id="1282569166">
      <w:bodyDiv w:val="1"/>
      <w:marLeft w:val="0"/>
      <w:marRight w:val="0"/>
      <w:marTop w:val="0"/>
      <w:marBottom w:val="0"/>
      <w:divBdr>
        <w:top w:val="none" w:sz="0" w:space="0" w:color="auto"/>
        <w:left w:val="none" w:sz="0" w:space="0" w:color="auto"/>
        <w:bottom w:val="none" w:sz="0" w:space="0" w:color="auto"/>
        <w:right w:val="none" w:sz="0" w:space="0" w:color="auto"/>
      </w:divBdr>
    </w:div>
    <w:div w:id="1297102220">
      <w:bodyDiv w:val="1"/>
      <w:marLeft w:val="0"/>
      <w:marRight w:val="0"/>
      <w:marTop w:val="0"/>
      <w:marBottom w:val="0"/>
      <w:divBdr>
        <w:top w:val="none" w:sz="0" w:space="0" w:color="auto"/>
        <w:left w:val="none" w:sz="0" w:space="0" w:color="auto"/>
        <w:bottom w:val="none" w:sz="0" w:space="0" w:color="auto"/>
        <w:right w:val="none" w:sz="0" w:space="0" w:color="auto"/>
      </w:divBdr>
    </w:div>
    <w:div w:id="1302230116">
      <w:bodyDiv w:val="1"/>
      <w:marLeft w:val="0"/>
      <w:marRight w:val="0"/>
      <w:marTop w:val="0"/>
      <w:marBottom w:val="0"/>
      <w:divBdr>
        <w:top w:val="none" w:sz="0" w:space="0" w:color="auto"/>
        <w:left w:val="none" w:sz="0" w:space="0" w:color="auto"/>
        <w:bottom w:val="none" w:sz="0" w:space="0" w:color="auto"/>
        <w:right w:val="none" w:sz="0" w:space="0" w:color="auto"/>
      </w:divBdr>
    </w:div>
    <w:div w:id="1316568169">
      <w:bodyDiv w:val="1"/>
      <w:marLeft w:val="0"/>
      <w:marRight w:val="0"/>
      <w:marTop w:val="0"/>
      <w:marBottom w:val="0"/>
      <w:divBdr>
        <w:top w:val="none" w:sz="0" w:space="0" w:color="auto"/>
        <w:left w:val="none" w:sz="0" w:space="0" w:color="auto"/>
        <w:bottom w:val="none" w:sz="0" w:space="0" w:color="auto"/>
        <w:right w:val="none" w:sz="0" w:space="0" w:color="auto"/>
      </w:divBdr>
    </w:div>
    <w:div w:id="1324314921">
      <w:bodyDiv w:val="1"/>
      <w:marLeft w:val="0"/>
      <w:marRight w:val="0"/>
      <w:marTop w:val="0"/>
      <w:marBottom w:val="0"/>
      <w:divBdr>
        <w:top w:val="none" w:sz="0" w:space="0" w:color="auto"/>
        <w:left w:val="none" w:sz="0" w:space="0" w:color="auto"/>
        <w:bottom w:val="none" w:sz="0" w:space="0" w:color="auto"/>
        <w:right w:val="none" w:sz="0" w:space="0" w:color="auto"/>
      </w:divBdr>
    </w:div>
    <w:div w:id="1420953685">
      <w:bodyDiv w:val="1"/>
      <w:marLeft w:val="0"/>
      <w:marRight w:val="0"/>
      <w:marTop w:val="0"/>
      <w:marBottom w:val="0"/>
      <w:divBdr>
        <w:top w:val="none" w:sz="0" w:space="0" w:color="auto"/>
        <w:left w:val="none" w:sz="0" w:space="0" w:color="auto"/>
        <w:bottom w:val="none" w:sz="0" w:space="0" w:color="auto"/>
        <w:right w:val="none" w:sz="0" w:space="0" w:color="auto"/>
      </w:divBdr>
    </w:div>
    <w:div w:id="1432701666">
      <w:bodyDiv w:val="1"/>
      <w:marLeft w:val="0"/>
      <w:marRight w:val="0"/>
      <w:marTop w:val="0"/>
      <w:marBottom w:val="0"/>
      <w:divBdr>
        <w:top w:val="none" w:sz="0" w:space="0" w:color="auto"/>
        <w:left w:val="none" w:sz="0" w:space="0" w:color="auto"/>
        <w:bottom w:val="none" w:sz="0" w:space="0" w:color="auto"/>
        <w:right w:val="none" w:sz="0" w:space="0" w:color="auto"/>
      </w:divBdr>
    </w:div>
    <w:div w:id="1434863917">
      <w:bodyDiv w:val="1"/>
      <w:marLeft w:val="0"/>
      <w:marRight w:val="0"/>
      <w:marTop w:val="0"/>
      <w:marBottom w:val="0"/>
      <w:divBdr>
        <w:top w:val="none" w:sz="0" w:space="0" w:color="auto"/>
        <w:left w:val="none" w:sz="0" w:space="0" w:color="auto"/>
        <w:bottom w:val="none" w:sz="0" w:space="0" w:color="auto"/>
        <w:right w:val="none" w:sz="0" w:space="0" w:color="auto"/>
      </w:divBdr>
    </w:div>
    <w:div w:id="1485506495">
      <w:bodyDiv w:val="1"/>
      <w:marLeft w:val="0"/>
      <w:marRight w:val="0"/>
      <w:marTop w:val="0"/>
      <w:marBottom w:val="0"/>
      <w:divBdr>
        <w:top w:val="none" w:sz="0" w:space="0" w:color="auto"/>
        <w:left w:val="none" w:sz="0" w:space="0" w:color="auto"/>
        <w:bottom w:val="none" w:sz="0" w:space="0" w:color="auto"/>
        <w:right w:val="none" w:sz="0" w:space="0" w:color="auto"/>
      </w:divBdr>
    </w:div>
    <w:div w:id="1503813660">
      <w:bodyDiv w:val="1"/>
      <w:marLeft w:val="0"/>
      <w:marRight w:val="0"/>
      <w:marTop w:val="0"/>
      <w:marBottom w:val="0"/>
      <w:divBdr>
        <w:top w:val="none" w:sz="0" w:space="0" w:color="auto"/>
        <w:left w:val="none" w:sz="0" w:space="0" w:color="auto"/>
        <w:bottom w:val="none" w:sz="0" w:space="0" w:color="auto"/>
        <w:right w:val="none" w:sz="0" w:space="0" w:color="auto"/>
      </w:divBdr>
    </w:div>
    <w:div w:id="1515535375">
      <w:bodyDiv w:val="1"/>
      <w:marLeft w:val="0"/>
      <w:marRight w:val="0"/>
      <w:marTop w:val="0"/>
      <w:marBottom w:val="0"/>
      <w:divBdr>
        <w:top w:val="none" w:sz="0" w:space="0" w:color="auto"/>
        <w:left w:val="none" w:sz="0" w:space="0" w:color="auto"/>
        <w:bottom w:val="none" w:sz="0" w:space="0" w:color="auto"/>
        <w:right w:val="none" w:sz="0" w:space="0" w:color="auto"/>
      </w:divBdr>
    </w:div>
    <w:div w:id="1548487042">
      <w:bodyDiv w:val="1"/>
      <w:marLeft w:val="0"/>
      <w:marRight w:val="0"/>
      <w:marTop w:val="0"/>
      <w:marBottom w:val="0"/>
      <w:divBdr>
        <w:top w:val="none" w:sz="0" w:space="0" w:color="auto"/>
        <w:left w:val="none" w:sz="0" w:space="0" w:color="auto"/>
        <w:bottom w:val="none" w:sz="0" w:space="0" w:color="auto"/>
        <w:right w:val="none" w:sz="0" w:space="0" w:color="auto"/>
      </w:divBdr>
    </w:div>
    <w:div w:id="1554273522">
      <w:bodyDiv w:val="1"/>
      <w:marLeft w:val="0"/>
      <w:marRight w:val="0"/>
      <w:marTop w:val="0"/>
      <w:marBottom w:val="0"/>
      <w:divBdr>
        <w:top w:val="none" w:sz="0" w:space="0" w:color="auto"/>
        <w:left w:val="none" w:sz="0" w:space="0" w:color="auto"/>
        <w:bottom w:val="none" w:sz="0" w:space="0" w:color="auto"/>
        <w:right w:val="none" w:sz="0" w:space="0" w:color="auto"/>
      </w:divBdr>
    </w:div>
    <w:div w:id="1565289878">
      <w:bodyDiv w:val="1"/>
      <w:marLeft w:val="0"/>
      <w:marRight w:val="0"/>
      <w:marTop w:val="0"/>
      <w:marBottom w:val="0"/>
      <w:divBdr>
        <w:top w:val="none" w:sz="0" w:space="0" w:color="auto"/>
        <w:left w:val="none" w:sz="0" w:space="0" w:color="auto"/>
        <w:bottom w:val="none" w:sz="0" w:space="0" w:color="auto"/>
        <w:right w:val="none" w:sz="0" w:space="0" w:color="auto"/>
      </w:divBdr>
    </w:div>
    <w:div w:id="1577937450">
      <w:bodyDiv w:val="1"/>
      <w:marLeft w:val="0"/>
      <w:marRight w:val="0"/>
      <w:marTop w:val="0"/>
      <w:marBottom w:val="0"/>
      <w:divBdr>
        <w:top w:val="none" w:sz="0" w:space="0" w:color="auto"/>
        <w:left w:val="none" w:sz="0" w:space="0" w:color="auto"/>
        <w:bottom w:val="none" w:sz="0" w:space="0" w:color="auto"/>
        <w:right w:val="none" w:sz="0" w:space="0" w:color="auto"/>
      </w:divBdr>
    </w:div>
    <w:div w:id="1618367134">
      <w:bodyDiv w:val="1"/>
      <w:marLeft w:val="0"/>
      <w:marRight w:val="0"/>
      <w:marTop w:val="0"/>
      <w:marBottom w:val="0"/>
      <w:divBdr>
        <w:top w:val="none" w:sz="0" w:space="0" w:color="auto"/>
        <w:left w:val="none" w:sz="0" w:space="0" w:color="auto"/>
        <w:bottom w:val="none" w:sz="0" w:space="0" w:color="auto"/>
        <w:right w:val="none" w:sz="0" w:space="0" w:color="auto"/>
      </w:divBdr>
    </w:div>
    <w:div w:id="1635717771">
      <w:bodyDiv w:val="1"/>
      <w:marLeft w:val="0"/>
      <w:marRight w:val="0"/>
      <w:marTop w:val="0"/>
      <w:marBottom w:val="0"/>
      <w:divBdr>
        <w:top w:val="none" w:sz="0" w:space="0" w:color="auto"/>
        <w:left w:val="none" w:sz="0" w:space="0" w:color="auto"/>
        <w:bottom w:val="none" w:sz="0" w:space="0" w:color="auto"/>
        <w:right w:val="none" w:sz="0" w:space="0" w:color="auto"/>
      </w:divBdr>
    </w:div>
    <w:div w:id="1723210378">
      <w:bodyDiv w:val="1"/>
      <w:marLeft w:val="0"/>
      <w:marRight w:val="0"/>
      <w:marTop w:val="0"/>
      <w:marBottom w:val="0"/>
      <w:divBdr>
        <w:top w:val="none" w:sz="0" w:space="0" w:color="auto"/>
        <w:left w:val="none" w:sz="0" w:space="0" w:color="auto"/>
        <w:bottom w:val="none" w:sz="0" w:space="0" w:color="auto"/>
        <w:right w:val="none" w:sz="0" w:space="0" w:color="auto"/>
      </w:divBdr>
    </w:div>
    <w:div w:id="1737360442">
      <w:bodyDiv w:val="1"/>
      <w:marLeft w:val="0"/>
      <w:marRight w:val="0"/>
      <w:marTop w:val="0"/>
      <w:marBottom w:val="0"/>
      <w:divBdr>
        <w:top w:val="none" w:sz="0" w:space="0" w:color="auto"/>
        <w:left w:val="none" w:sz="0" w:space="0" w:color="auto"/>
        <w:bottom w:val="none" w:sz="0" w:space="0" w:color="auto"/>
        <w:right w:val="none" w:sz="0" w:space="0" w:color="auto"/>
      </w:divBdr>
    </w:div>
    <w:div w:id="1769698150">
      <w:bodyDiv w:val="1"/>
      <w:marLeft w:val="0"/>
      <w:marRight w:val="0"/>
      <w:marTop w:val="0"/>
      <w:marBottom w:val="0"/>
      <w:divBdr>
        <w:top w:val="none" w:sz="0" w:space="0" w:color="auto"/>
        <w:left w:val="none" w:sz="0" w:space="0" w:color="auto"/>
        <w:bottom w:val="none" w:sz="0" w:space="0" w:color="auto"/>
        <w:right w:val="none" w:sz="0" w:space="0" w:color="auto"/>
      </w:divBdr>
    </w:div>
    <w:div w:id="1773472592">
      <w:bodyDiv w:val="1"/>
      <w:marLeft w:val="0"/>
      <w:marRight w:val="0"/>
      <w:marTop w:val="0"/>
      <w:marBottom w:val="0"/>
      <w:divBdr>
        <w:top w:val="none" w:sz="0" w:space="0" w:color="auto"/>
        <w:left w:val="none" w:sz="0" w:space="0" w:color="auto"/>
        <w:bottom w:val="none" w:sz="0" w:space="0" w:color="auto"/>
        <w:right w:val="none" w:sz="0" w:space="0" w:color="auto"/>
      </w:divBdr>
    </w:div>
    <w:div w:id="1778719536">
      <w:bodyDiv w:val="1"/>
      <w:marLeft w:val="0"/>
      <w:marRight w:val="0"/>
      <w:marTop w:val="0"/>
      <w:marBottom w:val="0"/>
      <w:divBdr>
        <w:top w:val="none" w:sz="0" w:space="0" w:color="auto"/>
        <w:left w:val="none" w:sz="0" w:space="0" w:color="auto"/>
        <w:bottom w:val="none" w:sz="0" w:space="0" w:color="auto"/>
        <w:right w:val="none" w:sz="0" w:space="0" w:color="auto"/>
      </w:divBdr>
    </w:div>
    <w:div w:id="1802503235">
      <w:bodyDiv w:val="1"/>
      <w:marLeft w:val="0"/>
      <w:marRight w:val="0"/>
      <w:marTop w:val="0"/>
      <w:marBottom w:val="0"/>
      <w:divBdr>
        <w:top w:val="none" w:sz="0" w:space="0" w:color="auto"/>
        <w:left w:val="none" w:sz="0" w:space="0" w:color="auto"/>
        <w:bottom w:val="none" w:sz="0" w:space="0" w:color="auto"/>
        <w:right w:val="none" w:sz="0" w:space="0" w:color="auto"/>
      </w:divBdr>
    </w:div>
    <w:div w:id="1805929653">
      <w:bodyDiv w:val="1"/>
      <w:marLeft w:val="0"/>
      <w:marRight w:val="0"/>
      <w:marTop w:val="0"/>
      <w:marBottom w:val="0"/>
      <w:divBdr>
        <w:top w:val="none" w:sz="0" w:space="0" w:color="auto"/>
        <w:left w:val="none" w:sz="0" w:space="0" w:color="auto"/>
        <w:bottom w:val="none" w:sz="0" w:space="0" w:color="auto"/>
        <w:right w:val="none" w:sz="0" w:space="0" w:color="auto"/>
      </w:divBdr>
    </w:div>
    <w:div w:id="1830442766">
      <w:bodyDiv w:val="1"/>
      <w:marLeft w:val="0"/>
      <w:marRight w:val="0"/>
      <w:marTop w:val="0"/>
      <w:marBottom w:val="0"/>
      <w:divBdr>
        <w:top w:val="none" w:sz="0" w:space="0" w:color="auto"/>
        <w:left w:val="none" w:sz="0" w:space="0" w:color="auto"/>
        <w:bottom w:val="none" w:sz="0" w:space="0" w:color="auto"/>
        <w:right w:val="none" w:sz="0" w:space="0" w:color="auto"/>
      </w:divBdr>
    </w:div>
    <w:div w:id="1876499115">
      <w:bodyDiv w:val="1"/>
      <w:marLeft w:val="0"/>
      <w:marRight w:val="0"/>
      <w:marTop w:val="0"/>
      <w:marBottom w:val="0"/>
      <w:divBdr>
        <w:top w:val="none" w:sz="0" w:space="0" w:color="auto"/>
        <w:left w:val="none" w:sz="0" w:space="0" w:color="auto"/>
        <w:bottom w:val="none" w:sz="0" w:space="0" w:color="auto"/>
        <w:right w:val="none" w:sz="0" w:space="0" w:color="auto"/>
      </w:divBdr>
    </w:div>
    <w:div w:id="1895390191">
      <w:bodyDiv w:val="1"/>
      <w:marLeft w:val="0"/>
      <w:marRight w:val="0"/>
      <w:marTop w:val="0"/>
      <w:marBottom w:val="0"/>
      <w:divBdr>
        <w:top w:val="none" w:sz="0" w:space="0" w:color="auto"/>
        <w:left w:val="none" w:sz="0" w:space="0" w:color="auto"/>
        <w:bottom w:val="none" w:sz="0" w:space="0" w:color="auto"/>
        <w:right w:val="none" w:sz="0" w:space="0" w:color="auto"/>
      </w:divBdr>
    </w:div>
    <w:div w:id="1909922207">
      <w:bodyDiv w:val="1"/>
      <w:marLeft w:val="0"/>
      <w:marRight w:val="0"/>
      <w:marTop w:val="0"/>
      <w:marBottom w:val="0"/>
      <w:divBdr>
        <w:top w:val="none" w:sz="0" w:space="0" w:color="auto"/>
        <w:left w:val="none" w:sz="0" w:space="0" w:color="auto"/>
        <w:bottom w:val="none" w:sz="0" w:space="0" w:color="auto"/>
        <w:right w:val="none" w:sz="0" w:space="0" w:color="auto"/>
      </w:divBdr>
    </w:div>
    <w:div w:id="1957562546">
      <w:bodyDiv w:val="1"/>
      <w:marLeft w:val="0"/>
      <w:marRight w:val="0"/>
      <w:marTop w:val="0"/>
      <w:marBottom w:val="0"/>
      <w:divBdr>
        <w:top w:val="none" w:sz="0" w:space="0" w:color="auto"/>
        <w:left w:val="none" w:sz="0" w:space="0" w:color="auto"/>
        <w:bottom w:val="none" w:sz="0" w:space="0" w:color="auto"/>
        <w:right w:val="none" w:sz="0" w:space="0" w:color="auto"/>
      </w:divBdr>
    </w:div>
    <w:div w:id="1973486262">
      <w:bodyDiv w:val="1"/>
      <w:marLeft w:val="0"/>
      <w:marRight w:val="0"/>
      <w:marTop w:val="0"/>
      <w:marBottom w:val="0"/>
      <w:divBdr>
        <w:top w:val="none" w:sz="0" w:space="0" w:color="auto"/>
        <w:left w:val="none" w:sz="0" w:space="0" w:color="auto"/>
        <w:bottom w:val="none" w:sz="0" w:space="0" w:color="auto"/>
        <w:right w:val="none" w:sz="0" w:space="0" w:color="auto"/>
      </w:divBdr>
    </w:div>
    <w:div w:id="1997294499">
      <w:bodyDiv w:val="1"/>
      <w:marLeft w:val="0"/>
      <w:marRight w:val="0"/>
      <w:marTop w:val="0"/>
      <w:marBottom w:val="0"/>
      <w:divBdr>
        <w:top w:val="none" w:sz="0" w:space="0" w:color="auto"/>
        <w:left w:val="none" w:sz="0" w:space="0" w:color="auto"/>
        <w:bottom w:val="none" w:sz="0" w:space="0" w:color="auto"/>
        <w:right w:val="none" w:sz="0" w:space="0" w:color="auto"/>
      </w:divBdr>
    </w:div>
    <w:div w:id="2051103023">
      <w:bodyDiv w:val="1"/>
      <w:marLeft w:val="0"/>
      <w:marRight w:val="0"/>
      <w:marTop w:val="0"/>
      <w:marBottom w:val="0"/>
      <w:divBdr>
        <w:top w:val="none" w:sz="0" w:space="0" w:color="auto"/>
        <w:left w:val="none" w:sz="0" w:space="0" w:color="auto"/>
        <w:bottom w:val="none" w:sz="0" w:space="0" w:color="auto"/>
        <w:right w:val="none" w:sz="0" w:space="0" w:color="auto"/>
      </w:divBdr>
    </w:div>
    <w:div w:id="2140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6A7D6-D217-45B5-9C0E-6B6C43AA4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286</Words>
  <Characters>1633</Characters>
  <Application>Microsoft Office Word</Application>
  <DocSecurity>0</DocSecurity>
  <Lines>13</Lines>
  <Paragraphs>3</Paragraphs>
  <ScaleCrop>false</ScaleCrop>
  <Company/>
  <LinksUpToDate>false</LinksUpToDate>
  <CharactersWithSpaces>1916</CharactersWithSpaces>
  <SharedDoc>false</SharedDoc>
  <HLinks>
    <vt:vector size="36" baseType="variant">
      <vt:variant>
        <vt:i4>1376305</vt:i4>
      </vt:variant>
      <vt:variant>
        <vt:i4>32</vt:i4>
      </vt:variant>
      <vt:variant>
        <vt:i4>0</vt:i4>
      </vt:variant>
      <vt:variant>
        <vt:i4>5</vt:i4>
      </vt:variant>
      <vt:variant>
        <vt:lpwstr/>
      </vt:variant>
      <vt:variant>
        <vt:lpwstr>_Toc180589864</vt:lpwstr>
      </vt:variant>
      <vt:variant>
        <vt:i4>1376305</vt:i4>
      </vt:variant>
      <vt:variant>
        <vt:i4>26</vt:i4>
      </vt:variant>
      <vt:variant>
        <vt:i4>0</vt:i4>
      </vt:variant>
      <vt:variant>
        <vt:i4>5</vt:i4>
      </vt:variant>
      <vt:variant>
        <vt:lpwstr/>
      </vt:variant>
      <vt:variant>
        <vt:lpwstr>_Toc180589863</vt:lpwstr>
      </vt:variant>
      <vt:variant>
        <vt:i4>1376305</vt:i4>
      </vt:variant>
      <vt:variant>
        <vt:i4>20</vt:i4>
      </vt:variant>
      <vt:variant>
        <vt:i4>0</vt:i4>
      </vt:variant>
      <vt:variant>
        <vt:i4>5</vt:i4>
      </vt:variant>
      <vt:variant>
        <vt:lpwstr/>
      </vt:variant>
      <vt:variant>
        <vt:lpwstr>_Toc180589862</vt:lpwstr>
      </vt:variant>
      <vt:variant>
        <vt:i4>1376305</vt:i4>
      </vt:variant>
      <vt:variant>
        <vt:i4>14</vt:i4>
      </vt:variant>
      <vt:variant>
        <vt:i4>0</vt:i4>
      </vt:variant>
      <vt:variant>
        <vt:i4>5</vt:i4>
      </vt:variant>
      <vt:variant>
        <vt:lpwstr/>
      </vt:variant>
      <vt:variant>
        <vt:lpwstr>_Toc180589861</vt:lpwstr>
      </vt:variant>
      <vt:variant>
        <vt:i4>1376305</vt:i4>
      </vt:variant>
      <vt:variant>
        <vt:i4>8</vt:i4>
      </vt:variant>
      <vt:variant>
        <vt:i4>0</vt:i4>
      </vt:variant>
      <vt:variant>
        <vt:i4>5</vt:i4>
      </vt:variant>
      <vt:variant>
        <vt:lpwstr/>
      </vt:variant>
      <vt:variant>
        <vt:lpwstr>_Toc180589860</vt:lpwstr>
      </vt:variant>
      <vt:variant>
        <vt:i4>1441841</vt:i4>
      </vt:variant>
      <vt:variant>
        <vt:i4>2</vt:i4>
      </vt:variant>
      <vt:variant>
        <vt:i4>0</vt:i4>
      </vt:variant>
      <vt:variant>
        <vt:i4>5</vt:i4>
      </vt:variant>
      <vt:variant>
        <vt:lpwstr/>
      </vt:variant>
      <vt:variant>
        <vt:lpwstr>_Toc180589859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2024-10-23T07:31:00Z</cp:lastPrinted>
  <dcterms:created xsi:type="dcterms:W3CDTF">2024-10-28T07:02:00Z</dcterms:created>
  <dcterms:modified xsi:type="dcterms:W3CDTF">2024-10-28T07:02:00Z</dcterms:modified>
</cp:coreProperties>
</file>