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01B2" w:rsidRDefault="004F3367" w:rsidP="009301B2">
      <w:pPr>
        <w:pStyle w:val="ab"/>
        <w:jc w:val="left"/>
        <w:rPr>
          <w:rFonts w:hAnsi="標楷體" w:hint="eastAsia"/>
        </w:rPr>
      </w:pPr>
      <w:bookmarkStart w:id="0" w:name="_GoBack"/>
      <w:bookmarkEnd w:id="0"/>
      <w:r w:rsidRPr="004F3367">
        <w:rPr>
          <w:rFonts w:hAnsi="標楷體" w:hint="eastAsia"/>
        </w:rPr>
        <w:t>教育部所屬機構作業基金</w:t>
      </w:r>
      <w:r w:rsidR="009301B2" w:rsidRPr="0064421B">
        <w:rPr>
          <w:rFonts w:hAnsi="標楷體" w:hint="eastAsia"/>
        </w:rPr>
        <w:t>1</w:t>
      </w:r>
      <w:r w:rsidR="00D735DE">
        <w:rPr>
          <w:rFonts w:hAnsi="標楷體" w:hint="eastAsia"/>
        </w:rPr>
        <w:t>1</w:t>
      </w:r>
      <w:r w:rsidR="009A71E4">
        <w:rPr>
          <w:rFonts w:hAnsi="標楷體"/>
        </w:rPr>
        <w:t>4</w:t>
      </w:r>
      <w:r w:rsidR="009301B2" w:rsidRPr="0064421B">
        <w:rPr>
          <w:rFonts w:hAnsi="標楷體" w:hint="eastAsia"/>
        </w:rPr>
        <w:t>年度預算評估報告</w:t>
      </w:r>
    </w:p>
    <w:p w:rsidR="006C64A8" w:rsidRDefault="004F3367" w:rsidP="006C64A8">
      <w:pPr>
        <w:pStyle w:val="a8"/>
        <w:ind w:firstLine="566"/>
        <w:rPr>
          <w:snapToGrid/>
        </w:rPr>
      </w:pPr>
      <w:r w:rsidRPr="004F3367">
        <w:rPr>
          <w:rFonts w:hint="eastAsia"/>
          <w:snapToGrid/>
          <w:color w:val="000000"/>
        </w:rPr>
        <w:t>教育部所屬機構作業基金</w:t>
      </w:r>
      <w:r>
        <w:rPr>
          <w:rStyle w:val="af7"/>
          <w:snapToGrid/>
          <w:color w:val="000000"/>
        </w:rPr>
        <w:footnoteReference w:id="1"/>
      </w:r>
      <w:r w:rsidR="006C64A8" w:rsidRPr="006C64A8">
        <w:rPr>
          <w:rFonts w:hint="eastAsia"/>
          <w:snapToGrid/>
          <w:color w:val="000000"/>
        </w:rPr>
        <w:t>(以下簡稱</w:t>
      </w:r>
      <w:r>
        <w:rPr>
          <w:rFonts w:hint="eastAsia"/>
          <w:snapToGrid/>
        </w:rPr>
        <w:t>教育部所屬基金</w:t>
      </w:r>
      <w:r w:rsidR="006C64A8" w:rsidRPr="006C64A8">
        <w:rPr>
          <w:rFonts w:hint="eastAsia"/>
          <w:snapToGrid/>
        </w:rPr>
        <w:t>)</w:t>
      </w:r>
      <w:r w:rsidR="00A61E8E">
        <w:rPr>
          <w:rFonts w:hint="eastAsia"/>
          <w:snapToGrid/>
        </w:rPr>
        <w:t>包含</w:t>
      </w:r>
      <w:r w:rsidR="00A61E8E" w:rsidRPr="00886325">
        <w:rPr>
          <w:rFonts w:hAnsi="標楷體" w:hint="eastAsia"/>
        </w:rPr>
        <w:t>國立自然科學博物館</w:t>
      </w:r>
      <w:r w:rsidR="00A61E8E">
        <w:rPr>
          <w:rFonts w:hAnsi="標楷體" w:hint="eastAsia"/>
        </w:rPr>
        <w:t>(</w:t>
      </w:r>
      <w:r w:rsidR="00A61E8E" w:rsidRPr="00A61E8E">
        <w:rPr>
          <w:rFonts w:hAnsi="標楷體" w:hint="eastAsia"/>
        </w:rPr>
        <w:t>以下簡稱</w:t>
      </w:r>
      <w:r w:rsidR="00A61E8E" w:rsidRPr="00E80781">
        <w:rPr>
          <w:rFonts w:hAnsi="標楷體" w:hint="eastAsia"/>
        </w:rPr>
        <w:t>科博館</w:t>
      </w:r>
      <w:r w:rsidR="00A61E8E">
        <w:rPr>
          <w:rFonts w:hAnsi="標楷體" w:hint="eastAsia"/>
        </w:rPr>
        <w:t>)、</w:t>
      </w:r>
      <w:r w:rsidR="00A61E8E" w:rsidRPr="00A61E8E">
        <w:rPr>
          <w:rFonts w:hAnsi="標楷體" w:hint="eastAsia"/>
        </w:rPr>
        <w:t>國立科學工藝博物館(以下簡稱科工館)</w:t>
      </w:r>
      <w:r w:rsidR="00A61E8E">
        <w:rPr>
          <w:rFonts w:hAnsi="標楷體" w:hint="eastAsia"/>
        </w:rPr>
        <w:t>、</w:t>
      </w:r>
      <w:r w:rsidR="00A61E8E" w:rsidRPr="00A61E8E">
        <w:rPr>
          <w:rFonts w:hAnsi="標楷體" w:hint="eastAsia"/>
        </w:rPr>
        <w:t>國立海洋生物博物館(以下簡稱海生館)</w:t>
      </w:r>
      <w:r w:rsidR="00A61E8E">
        <w:rPr>
          <w:rFonts w:hAnsi="標楷體" w:hint="eastAsia"/>
        </w:rPr>
        <w:t>、</w:t>
      </w:r>
      <w:r w:rsidR="00A61E8E" w:rsidRPr="00A61E8E">
        <w:rPr>
          <w:rFonts w:hAnsi="標楷體" w:hint="eastAsia"/>
        </w:rPr>
        <w:t>國立臺灣科學教育館(以下簡稱科教館)</w:t>
      </w:r>
      <w:r w:rsidR="00A61E8E">
        <w:rPr>
          <w:rFonts w:hAnsi="標楷體" w:hint="eastAsia"/>
        </w:rPr>
        <w:t>、</w:t>
      </w:r>
      <w:r w:rsidR="00A61E8E" w:rsidRPr="008F3D17">
        <w:rPr>
          <w:rFonts w:hAnsi="標楷體" w:hint="eastAsia"/>
        </w:rPr>
        <w:t>國立臺灣圖書館</w:t>
      </w:r>
      <w:r w:rsidR="00A61E8E">
        <w:rPr>
          <w:rFonts w:hAnsi="標楷體" w:hint="eastAsia"/>
        </w:rPr>
        <w:t>(</w:t>
      </w:r>
      <w:r w:rsidR="00A61E8E" w:rsidRPr="00A61E8E">
        <w:rPr>
          <w:rFonts w:hAnsi="標楷體" w:hint="eastAsia"/>
        </w:rPr>
        <w:t>以下簡稱</w:t>
      </w:r>
      <w:r w:rsidR="00A61E8E" w:rsidRPr="006D31A8">
        <w:rPr>
          <w:rFonts w:hAnsi="標楷體" w:hint="eastAsia"/>
        </w:rPr>
        <w:t>臺灣圖書館</w:t>
      </w:r>
      <w:r w:rsidR="00A61E8E">
        <w:rPr>
          <w:rFonts w:hAnsi="標楷體" w:hint="eastAsia"/>
        </w:rPr>
        <w:t>)</w:t>
      </w:r>
      <w:r w:rsidR="00A61E8E" w:rsidRPr="006D31A8">
        <w:rPr>
          <w:rFonts w:hAnsi="標楷體" w:hint="eastAsia"/>
        </w:rPr>
        <w:t>及</w:t>
      </w:r>
      <w:r w:rsidR="00A61E8E" w:rsidRPr="008F3D17">
        <w:rPr>
          <w:rFonts w:hAnsi="標楷體" w:hint="eastAsia"/>
        </w:rPr>
        <w:t>國立海洋科技博物館</w:t>
      </w:r>
      <w:r w:rsidR="00A61E8E">
        <w:rPr>
          <w:rFonts w:hAnsi="標楷體" w:hint="eastAsia"/>
        </w:rPr>
        <w:t>(</w:t>
      </w:r>
      <w:r w:rsidR="00A61E8E" w:rsidRPr="00A61E8E">
        <w:rPr>
          <w:rFonts w:hAnsi="標楷體" w:hint="eastAsia"/>
        </w:rPr>
        <w:t>以下簡稱</w:t>
      </w:r>
      <w:r w:rsidR="00A61E8E" w:rsidRPr="006D31A8">
        <w:rPr>
          <w:rFonts w:hAnsi="標楷體" w:hint="eastAsia"/>
        </w:rPr>
        <w:t>海科館</w:t>
      </w:r>
      <w:r w:rsidR="00A61E8E">
        <w:rPr>
          <w:rFonts w:hAnsi="標楷體" w:hint="eastAsia"/>
        </w:rPr>
        <w:t>)等6個機構之分基金，</w:t>
      </w:r>
      <w:r w:rsidR="006C64A8" w:rsidRPr="006C64A8">
        <w:rPr>
          <w:rFonts w:hint="eastAsia"/>
          <w:snapToGrid/>
        </w:rPr>
        <w:t>1</w:t>
      </w:r>
      <w:r w:rsidR="00D735DE">
        <w:rPr>
          <w:rFonts w:hint="eastAsia"/>
          <w:snapToGrid/>
        </w:rPr>
        <w:t>1</w:t>
      </w:r>
      <w:r w:rsidR="009A71E4">
        <w:rPr>
          <w:snapToGrid/>
        </w:rPr>
        <w:t>4</w:t>
      </w:r>
      <w:r w:rsidR="006C64A8" w:rsidRPr="006C64A8">
        <w:rPr>
          <w:rFonts w:hint="eastAsia"/>
          <w:snapToGrid/>
        </w:rPr>
        <w:t>年度預算案編列業務收入</w:t>
      </w:r>
      <w:r w:rsidR="005723E2">
        <w:rPr>
          <w:snapToGrid/>
        </w:rPr>
        <w:t>2</w:t>
      </w:r>
      <w:r w:rsidR="00A02E06">
        <w:rPr>
          <w:snapToGrid/>
        </w:rPr>
        <w:t>1</w:t>
      </w:r>
      <w:r w:rsidR="006C64A8" w:rsidRPr="006C64A8">
        <w:rPr>
          <w:rFonts w:hint="eastAsia"/>
          <w:snapToGrid/>
        </w:rPr>
        <w:t>億</w:t>
      </w:r>
      <w:r w:rsidR="00A02E06">
        <w:rPr>
          <w:snapToGrid/>
        </w:rPr>
        <w:t>2,781</w:t>
      </w:r>
      <w:r w:rsidR="006C64A8" w:rsidRPr="006C64A8">
        <w:rPr>
          <w:rFonts w:hint="eastAsia"/>
          <w:snapToGrid/>
        </w:rPr>
        <w:t>萬</w:t>
      </w:r>
      <w:r w:rsidR="00A02E06">
        <w:rPr>
          <w:snapToGrid/>
        </w:rPr>
        <w:t>4</w:t>
      </w:r>
      <w:r w:rsidR="006C64A8" w:rsidRPr="006C64A8">
        <w:rPr>
          <w:rFonts w:hint="eastAsia"/>
          <w:snapToGrid/>
        </w:rPr>
        <w:t>千元，業務成本與費用2</w:t>
      </w:r>
      <w:r w:rsidR="00A02E06">
        <w:rPr>
          <w:snapToGrid/>
        </w:rPr>
        <w:t>8</w:t>
      </w:r>
      <w:r w:rsidR="006C64A8" w:rsidRPr="006C64A8">
        <w:rPr>
          <w:rFonts w:hint="eastAsia"/>
          <w:snapToGrid/>
        </w:rPr>
        <w:t>億</w:t>
      </w:r>
      <w:r w:rsidR="00A02E06">
        <w:rPr>
          <w:snapToGrid/>
        </w:rPr>
        <w:t>2,028</w:t>
      </w:r>
      <w:r w:rsidR="006C64A8" w:rsidRPr="006C64A8">
        <w:rPr>
          <w:rFonts w:hint="eastAsia"/>
          <w:snapToGrid/>
        </w:rPr>
        <w:t>萬</w:t>
      </w:r>
      <w:r w:rsidR="00A02E06">
        <w:rPr>
          <w:snapToGrid/>
        </w:rPr>
        <w:t>8</w:t>
      </w:r>
      <w:r w:rsidR="006C64A8" w:rsidRPr="006C64A8">
        <w:rPr>
          <w:rFonts w:hint="eastAsia"/>
          <w:snapToGrid/>
        </w:rPr>
        <w:t>千元，業務外收入</w:t>
      </w:r>
      <w:r w:rsidR="00A02E06">
        <w:rPr>
          <w:snapToGrid/>
        </w:rPr>
        <w:t>2</w:t>
      </w:r>
      <w:r w:rsidR="006C64A8" w:rsidRPr="006C64A8">
        <w:rPr>
          <w:rFonts w:hint="eastAsia"/>
          <w:snapToGrid/>
        </w:rPr>
        <w:t>億</w:t>
      </w:r>
      <w:r w:rsidR="00A02E06">
        <w:rPr>
          <w:snapToGrid/>
        </w:rPr>
        <w:t>395</w:t>
      </w:r>
      <w:r w:rsidR="006C64A8" w:rsidRPr="006C64A8">
        <w:rPr>
          <w:rFonts w:hint="eastAsia"/>
          <w:snapToGrid/>
        </w:rPr>
        <w:t>萬</w:t>
      </w:r>
      <w:r w:rsidR="005723E2">
        <w:rPr>
          <w:snapToGrid/>
        </w:rPr>
        <w:t>4</w:t>
      </w:r>
      <w:r w:rsidR="006C64A8" w:rsidRPr="006C64A8">
        <w:rPr>
          <w:rFonts w:hint="eastAsia"/>
          <w:snapToGrid/>
        </w:rPr>
        <w:t>千元，業務外費用</w:t>
      </w:r>
      <w:r w:rsidR="00691852">
        <w:rPr>
          <w:snapToGrid/>
        </w:rPr>
        <w:t>1,</w:t>
      </w:r>
      <w:r w:rsidR="00A02E06">
        <w:rPr>
          <w:snapToGrid/>
        </w:rPr>
        <w:t>587</w:t>
      </w:r>
      <w:r w:rsidR="006C64A8" w:rsidRPr="006C64A8">
        <w:rPr>
          <w:rFonts w:hint="eastAsia"/>
          <w:snapToGrid/>
        </w:rPr>
        <w:t>萬</w:t>
      </w:r>
      <w:r w:rsidR="00A02E06">
        <w:rPr>
          <w:rFonts w:hint="eastAsia"/>
          <w:snapToGrid/>
        </w:rPr>
        <w:t>5千</w:t>
      </w:r>
      <w:r w:rsidR="006C64A8" w:rsidRPr="006C64A8">
        <w:rPr>
          <w:rFonts w:hint="eastAsia"/>
          <w:snapToGrid/>
        </w:rPr>
        <w:t>元，收支相抵後短絀</w:t>
      </w:r>
      <w:r w:rsidR="00CF7F74">
        <w:rPr>
          <w:rFonts w:hint="eastAsia"/>
          <w:snapToGrid/>
        </w:rPr>
        <w:t>5</w:t>
      </w:r>
      <w:r w:rsidR="006C64A8" w:rsidRPr="006C64A8">
        <w:rPr>
          <w:rFonts w:hint="eastAsia"/>
          <w:snapToGrid/>
        </w:rPr>
        <w:t>億</w:t>
      </w:r>
      <w:r w:rsidR="00A02E06">
        <w:rPr>
          <w:snapToGrid/>
        </w:rPr>
        <w:t>439</w:t>
      </w:r>
      <w:r w:rsidR="006C64A8" w:rsidRPr="006C64A8">
        <w:rPr>
          <w:rFonts w:hint="eastAsia"/>
          <w:snapToGrid/>
        </w:rPr>
        <w:t>萬</w:t>
      </w:r>
      <w:r w:rsidR="00A02E06">
        <w:rPr>
          <w:snapToGrid/>
        </w:rPr>
        <w:t>5</w:t>
      </w:r>
      <w:r w:rsidR="00691852">
        <w:rPr>
          <w:rFonts w:hint="eastAsia"/>
          <w:snapToGrid/>
        </w:rPr>
        <w:t>千</w:t>
      </w:r>
      <w:r w:rsidR="006C64A8" w:rsidRPr="006C64A8">
        <w:rPr>
          <w:rFonts w:hint="eastAsia"/>
          <w:snapToGrid/>
        </w:rPr>
        <w:t>元，較1</w:t>
      </w:r>
      <w:r w:rsidR="00691852">
        <w:rPr>
          <w:rFonts w:hint="eastAsia"/>
          <w:snapToGrid/>
        </w:rPr>
        <w:t>1</w:t>
      </w:r>
      <w:r w:rsidR="00A02E06">
        <w:rPr>
          <w:snapToGrid/>
        </w:rPr>
        <w:t>3</w:t>
      </w:r>
      <w:r w:rsidR="006C64A8" w:rsidRPr="006C64A8">
        <w:rPr>
          <w:rFonts w:hint="eastAsia"/>
          <w:snapToGrid/>
        </w:rPr>
        <w:t>年度</w:t>
      </w:r>
      <w:r w:rsidR="006C64A8" w:rsidRPr="00EC0039">
        <w:rPr>
          <w:rFonts w:hint="eastAsia"/>
          <w:snapToGrid/>
        </w:rPr>
        <w:t>預算</w:t>
      </w:r>
      <w:r w:rsidR="00BA10F2">
        <w:rPr>
          <w:rFonts w:hint="eastAsia"/>
          <w:snapToGrid/>
        </w:rPr>
        <w:t>案</w:t>
      </w:r>
      <w:r w:rsidR="00691852">
        <w:rPr>
          <w:rFonts w:hint="eastAsia"/>
          <w:snapToGrid/>
        </w:rPr>
        <w:t>減少</w:t>
      </w:r>
      <w:r w:rsidR="006C64A8" w:rsidRPr="006C64A8">
        <w:rPr>
          <w:rFonts w:hint="eastAsia"/>
          <w:snapToGrid/>
        </w:rPr>
        <w:t>短絀</w:t>
      </w:r>
      <w:r w:rsidR="00A02E06">
        <w:rPr>
          <w:snapToGrid/>
        </w:rPr>
        <w:t>798</w:t>
      </w:r>
      <w:r w:rsidR="00691852">
        <w:rPr>
          <w:rFonts w:hint="eastAsia"/>
          <w:snapToGrid/>
        </w:rPr>
        <w:t>萬</w:t>
      </w:r>
      <w:r w:rsidR="00A02E06">
        <w:rPr>
          <w:snapToGrid/>
        </w:rPr>
        <w:t>1</w:t>
      </w:r>
      <w:r w:rsidR="00CF7F74">
        <w:rPr>
          <w:rFonts w:hint="eastAsia"/>
          <w:snapToGrid/>
          <w:lang w:eastAsia="zh-HK"/>
        </w:rPr>
        <w:t>千元</w:t>
      </w:r>
      <w:r w:rsidR="006C64A8" w:rsidRPr="006C64A8">
        <w:rPr>
          <w:rFonts w:hint="eastAsia"/>
          <w:snapToGrid/>
        </w:rPr>
        <w:t>（</w:t>
      </w:r>
      <w:r w:rsidR="00206C1A" w:rsidRPr="00206C1A">
        <w:rPr>
          <w:rFonts w:hint="eastAsia"/>
          <w:snapToGrid/>
        </w:rPr>
        <w:t>短絀</w:t>
      </w:r>
      <w:r w:rsidR="00691852">
        <w:rPr>
          <w:rFonts w:hint="eastAsia"/>
          <w:snapToGrid/>
        </w:rPr>
        <w:t>減</w:t>
      </w:r>
      <w:r w:rsidR="006C64A8" w:rsidRPr="006C64A8">
        <w:rPr>
          <w:rFonts w:hint="eastAsia"/>
          <w:snapToGrid/>
        </w:rPr>
        <w:t>幅</w:t>
      </w:r>
      <w:r w:rsidR="00A02E06">
        <w:rPr>
          <w:snapToGrid/>
        </w:rPr>
        <w:t>1.56</w:t>
      </w:r>
      <w:r w:rsidR="006C64A8" w:rsidRPr="006C64A8">
        <w:rPr>
          <w:rFonts w:hint="eastAsia"/>
          <w:snapToGrid/>
        </w:rPr>
        <w:t>%）。謹就</w:t>
      </w:r>
      <w:r w:rsidRPr="004F3367">
        <w:rPr>
          <w:rFonts w:hint="eastAsia"/>
          <w:snapToGrid/>
        </w:rPr>
        <w:t>教育部所屬基金</w:t>
      </w:r>
      <w:r w:rsidR="006C64A8" w:rsidRPr="006C64A8">
        <w:rPr>
          <w:rFonts w:hint="eastAsia"/>
          <w:snapToGrid/>
        </w:rPr>
        <w:t>1</w:t>
      </w:r>
      <w:r w:rsidR="00D735DE">
        <w:rPr>
          <w:rFonts w:hint="eastAsia"/>
          <w:snapToGrid/>
        </w:rPr>
        <w:t>1</w:t>
      </w:r>
      <w:r w:rsidR="00A02E06">
        <w:rPr>
          <w:snapToGrid/>
        </w:rPr>
        <w:t>4</w:t>
      </w:r>
      <w:r w:rsidR="006C64A8" w:rsidRPr="006C64A8">
        <w:rPr>
          <w:rFonts w:hint="eastAsia"/>
          <w:snapToGrid/>
        </w:rPr>
        <w:t>年度預算案評估如下：</w:t>
      </w:r>
    </w:p>
    <w:p w:rsidR="000B674A" w:rsidRPr="000C6D9E" w:rsidRDefault="00C71EEE" w:rsidP="000B674A">
      <w:pPr>
        <w:pStyle w:val="144"/>
        <w:ind w:left="567" w:hanging="567"/>
        <w:rPr>
          <w:rFonts w:hAnsi="標楷體"/>
          <w:lang w:eastAsia="zh-HK"/>
        </w:rPr>
      </w:pPr>
      <w:bookmarkStart w:id="1" w:name="_Toc466963663"/>
      <w:bookmarkStart w:id="2" w:name="_Toc466963194"/>
      <w:bookmarkStart w:id="3" w:name="_Toc466620843"/>
      <w:bookmarkStart w:id="4" w:name="_Toc466619976"/>
      <w:bookmarkStart w:id="5" w:name="_Toc496282869"/>
      <w:bookmarkStart w:id="6" w:name="_Toc496282776"/>
      <w:bookmarkStart w:id="7" w:name="_Toc496260254"/>
      <w:bookmarkStart w:id="8" w:name="_Toc180589861"/>
      <w:r>
        <w:rPr>
          <w:rFonts w:hAnsi="標楷體" w:hint="eastAsia"/>
        </w:rPr>
        <w:t>三</w:t>
      </w:r>
      <w:r w:rsidR="000B674A">
        <w:rPr>
          <w:rFonts w:hAnsi="標楷體" w:hint="eastAsia"/>
          <w:lang w:eastAsia="zh-HK"/>
        </w:rPr>
        <w:t>、</w:t>
      </w:r>
      <w:r w:rsidR="00CB092E">
        <w:rPr>
          <w:rFonts w:hAnsi="標楷體" w:hint="eastAsia"/>
        </w:rPr>
        <w:t>部分館所1</w:t>
      </w:r>
      <w:r w:rsidR="00CB092E">
        <w:rPr>
          <w:rFonts w:hAnsi="標楷體"/>
        </w:rPr>
        <w:t>12</w:t>
      </w:r>
      <w:r w:rsidR="00CB092E">
        <w:rPr>
          <w:rFonts w:hAnsi="標楷體" w:hint="eastAsia"/>
        </w:rPr>
        <w:t>年度展覽</w:t>
      </w:r>
      <w:r w:rsidR="007C01F7">
        <w:rPr>
          <w:rFonts w:hAnsi="標楷體" w:hint="eastAsia"/>
        </w:rPr>
        <w:t>經</w:t>
      </w:r>
      <w:r w:rsidR="00CB092E">
        <w:rPr>
          <w:rFonts w:hAnsi="標楷體" w:hint="eastAsia"/>
        </w:rPr>
        <w:t>費超支</w:t>
      </w:r>
      <w:r w:rsidR="001B31D4">
        <w:rPr>
          <w:rFonts w:hAnsi="標楷體" w:hint="eastAsia"/>
        </w:rPr>
        <w:t>，</w:t>
      </w:r>
      <w:r w:rsidR="005A7303">
        <w:rPr>
          <w:rFonts w:hAnsi="標楷體" w:hint="eastAsia"/>
        </w:rPr>
        <w:t>且</w:t>
      </w:r>
      <w:r w:rsidR="008C09DD">
        <w:rPr>
          <w:rFonts w:hAnsi="標楷體" w:hint="eastAsia"/>
        </w:rPr>
        <w:t>多數館所1</w:t>
      </w:r>
      <w:r w:rsidR="00B060D5">
        <w:rPr>
          <w:rFonts w:hAnsi="標楷體"/>
        </w:rPr>
        <w:t>1</w:t>
      </w:r>
      <w:r w:rsidR="00904869">
        <w:rPr>
          <w:rFonts w:hAnsi="標楷體"/>
        </w:rPr>
        <w:t>2</w:t>
      </w:r>
      <w:r w:rsidR="00B060D5">
        <w:rPr>
          <w:rFonts w:hAnsi="標楷體" w:hint="eastAsia"/>
        </w:rPr>
        <w:t>年度參觀人次</w:t>
      </w:r>
      <w:r w:rsidR="00904869">
        <w:rPr>
          <w:rFonts w:hAnsi="標楷體" w:hint="eastAsia"/>
        </w:rPr>
        <w:t>仍</w:t>
      </w:r>
      <w:r w:rsidR="00B060D5">
        <w:rPr>
          <w:rFonts w:hAnsi="標楷體" w:hint="eastAsia"/>
        </w:rPr>
        <w:t>未回復至</w:t>
      </w:r>
      <w:r w:rsidR="001B31D4" w:rsidRPr="001B31D4">
        <w:rPr>
          <w:rFonts w:hAnsi="標楷體" w:hint="eastAsia"/>
        </w:rPr>
        <w:t>疫情</w:t>
      </w:r>
      <w:r w:rsidR="00B060D5">
        <w:rPr>
          <w:rFonts w:hAnsi="標楷體" w:hint="eastAsia"/>
        </w:rPr>
        <w:t>前</w:t>
      </w:r>
      <w:r w:rsidR="00904869" w:rsidRPr="00904869">
        <w:rPr>
          <w:rFonts w:hAnsi="標楷體" w:hint="eastAsia"/>
        </w:rPr>
        <w:t>，</w:t>
      </w:r>
      <w:r w:rsidR="00904869">
        <w:rPr>
          <w:rFonts w:hAnsi="標楷體" w:hint="eastAsia"/>
        </w:rPr>
        <w:t>為</w:t>
      </w:r>
      <w:r w:rsidR="00904869" w:rsidRPr="00904869">
        <w:rPr>
          <w:rFonts w:hAnsi="標楷體" w:hint="eastAsia"/>
        </w:rPr>
        <w:t>提升館藏特色資源效用</w:t>
      </w:r>
      <w:r w:rsidR="000B674A" w:rsidRPr="000C6D9E">
        <w:rPr>
          <w:rFonts w:hAnsi="標楷體" w:hint="eastAsia"/>
        </w:rPr>
        <w:t>，允宜</w:t>
      </w:r>
      <w:r w:rsidR="00D4319D" w:rsidRPr="000C6D9E">
        <w:rPr>
          <w:rFonts w:hAnsi="標楷體" w:hint="eastAsia"/>
        </w:rPr>
        <w:t>加</w:t>
      </w:r>
      <w:r w:rsidR="000B674A" w:rsidRPr="000C6D9E">
        <w:rPr>
          <w:rFonts w:hAnsi="標楷體" w:hint="eastAsia"/>
        </w:rPr>
        <w:t>強各類展覽策劃</w:t>
      </w:r>
      <w:r w:rsidR="0003665E" w:rsidRPr="000C6D9E">
        <w:rPr>
          <w:rFonts w:hAnsi="標楷體" w:hint="eastAsia"/>
        </w:rPr>
        <w:t>與執行</w:t>
      </w:r>
      <w:bookmarkEnd w:id="8"/>
    </w:p>
    <w:p w:rsidR="000B674A" w:rsidRPr="00975326" w:rsidRDefault="0006031E" w:rsidP="000B674A">
      <w:pPr>
        <w:ind w:left="566" w:firstLine="566"/>
        <w:rPr>
          <w:rFonts w:hAnsi="標楷體"/>
        </w:rPr>
      </w:pPr>
      <w:r w:rsidRPr="0006031E">
        <w:rPr>
          <w:rFonts w:hAnsi="標楷體" w:hint="eastAsia"/>
          <w:lang w:eastAsia="zh-HK"/>
        </w:rPr>
        <w:t>教育部所屬基金主要營運項目為辦理社會科學教育之展覽與劇場演出活動等館務服務，各館所除常設展外，亦辦理特展(含移展)，</w:t>
      </w:r>
      <w:r w:rsidR="009C14ED" w:rsidRPr="00975326">
        <w:rPr>
          <w:rFonts w:hAnsi="標楷體" w:hint="eastAsia"/>
        </w:rPr>
        <w:t xml:space="preserve"> </w:t>
      </w:r>
      <w:r w:rsidR="000B674A" w:rsidRPr="00975326">
        <w:rPr>
          <w:rFonts w:hAnsi="標楷體" w:hint="eastAsia"/>
        </w:rPr>
        <w:t>11</w:t>
      </w:r>
      <w:r w:rsidR="008C4564">
        <w:rPr>
          <w:rFonts w:hAnsi="標楷體"/>
        </w:rPr>
        <w:t>4</w:t>
      </w:r>
      <w:r w:rsidR="000B674A" w:rsidRPr="00975326">
        <w:rPr>
          <w:rFonts w:hAnsi="標楷體" w:hint="eastAsia"/>
        </w:rPr>
        <w:t>年度</w:t>
      </w:r>
      <w:r w:rsidR="00EB10DC">
        <w:rPr>
          <w:rFonts w:hAnsi="標楷體" w:hint="eastAsia"/>
        </w:rPr>
        <w:t>預算案</w:t>
      </w:r>
      <w:r w:rsidR="000B674A" w:rsidRPr="00975326">
        <w:rPr>
          <w:rFonts w:hAnsi="標楷體" w:hint="eastAsia"/>
        </w:rPr>
        <w:t>編列</w:t>
      </w:r>
      <w:r w:rsidRPr="0006031E">
        <w:rPr>
          <w:rFonts w:hAnsi="標楷體" w:hint="eastAsia"/>
        </w:rPr>
        <w:t>舉辦展覽</w:t>
      </w:r>
      <w:r>
        <w:rPr>
          <w:rFonts w:hAnsi="標楷體" w:hint="eastAsia"/>
        </w:rPr>
        <w:t>相關經費計</w:t>
      </w:r>
      <w:r w:rsidR="000B674A" w:rsidRPr="00975326">
        <w:rPr>
          <w:rFonts w:hAnsi="標楷體" w:hint="eastAsia"/>
        </w:rPr>
        <w:t>2億</w:t>
      </w:r>
      <w:r w:rsidR="008C4564">
        <w:rPr>
          <w:rFonts w:hAnsi="標楷體"/>
        </w:rPr>
        <w:t>3,408</w:t>
      </w:r>
      <w:r w:rsidR="000B674A" w:rsidRPr="00975326">
        <w:rPr>
          <w:rFonts w:hAnsi="標楷體" w:hint="eastAsia"/>
        </w:rPr>
        <w:t>萬</w:t>
      </w:r>
      <w:r w:rsidR="00DB5E10">
        <w:rPr>
          <w:rFonts w:hAnsi="標楷體"/>
        </w:rPr>
        <w:t>9</w:t>
      </w:r>
      <w:r w:rsidR="0003665E">
        <w:rPr>
          <w:rFonts w:hAnsi="標楷體" w:hint="eastAsia"/>
        </w:rPr>
        <w:t>千元</w:t>
      </w:r>
      <w:r w:rsidR="000B674A" w:rsidRPr="00975326">
        <w:rPr>
          <w:rFonts w:hAnsi="標楷體" w:hint="eastAsia"/>
        </w:rPr>
        <w:t>，</w:t>
      </w:r>
      <w:r>
        <w:rPr>
          <w:rFonts w:hAnsi="標楷體" w:hint="eastAsia"/>
        </w:rPr>
        <w:t>較1</w:t>
      </w:r>
      <w:r>
        <w:rPr>
          <w:rFonts w:hAnsi="標楷體"/>
        </w:rPr>
        <w:t>1</w:t>
      </w:r>
      <w:r w:rsidR="008C4564">
        <w:rPr>
          <w:rFonts w:hAnsi="標楷體"/>
        </w:rPr>
        <w:t>3</w:t>
      </w:r>
      <w:r>
        <w:rPr>
          <w:rFonts w:hAnsi="標楷體" w:hint="eastAsia"/>
        </w:rPr>
        <w:t>年度預算2億</w:t>
      </w:r>
      <w:r w:rsidR="008C4564">
        <w:rPr>
          <w:rFonts w:hAnsi="標楷體"/>
        </w:rPr>
        <w:t>3,020</w:t>
      </w:r>
      <w:r>
        <w:rPr>
          <w:rFonts w:hAnsi="標楷體" w:hint="eastAsia"/>
        </w:rPr>
        <w:t>萬</w:t>
      </w:r>
      <w:r w:rsidR="008C4564">
        <w:rPr>
          <w:rFonts w:hAnsi="標楷體"/>
        </w:rPr>
        <w:t>8</w:t>
      </w:r>
      <w:r>
        <w:rPr>
          <w:rFonts w:hAnsi="標楷體" w:hint="eastAsia"/>
        </w:rPr>
        <w:t>千元</w:t>
      </w:r>
      <w:r w:rsidR="008C4564">
        <w:rPr>
          <w:rFonts w:hAnsi="標楷體" w:hint="eastAsia"/>
        </w:rPr>
        <w:t>增加</w:t>
      </w:r>
      <w:r w:rsidR="008C4564">
        <w:rPr>
          <w:rFonts w:hAnsi="標楷體"/>
        </w:rPr>
        <w:t>388</w:t>
      </w:r>
      <w:r>
        <w:rPr>
          <w:rFonts w:hAnsi="標楷體" w:hint="eastAsia"/>
        </w:rPr>
        <w:t>萬</w:t>
      </w:r>
      <w:r w:rsidR="008C4564">
        <w:rPr>
          <w:rFonts w:hAnsi="標楷體"/>
        </w:rPr>
        <w:t>1</w:t>
      </w:r>
      <w:r w:rsidR="000B674A" w:rsidRPr="00975326">
        <w:rPr>
          <w:rFonts w:hAnsi="標楷體" w:hint="eastAsia"/>
        </w:rPr>
        <w:t>千元，</w:t>
      </w:r>
      <w:r w:rsidR="008C4564">
        <w:rPr>
          <w:rFonts w:hAnsi="標楷體" w:hint="eastAsia"/>
        </w:rPr>
        <w:t>增</w:t>
      </w:r>
      <w:r w:rsidR="000B674A" w:rsidRPr="00975326">
        <w:rPr>
          <w:rFonts w:hAnsi="標楷體" w:hint="eastAsia"/>
        </w:rPr>
        <w:t>幅</w:t>
      </w:r>
      <w:r w:rsidR="008C4564">
        <w:rPr>
          <w:rFonts w:hAnsi="標楷體"/>
        </w:rPr>
        <w:t>1.69</w:t>
      </w:r>
      <w:r>
        <w:rPr>
          <w:rFonts w:hAnsi="標楷體"/>
        </w:rPr>
        <w:t>%</w:t>
      </w:r>
      <w:r w:rsidR="000E02E1">
        <w:rPr>
          <w:rFonts w:hAnsi="標楷體"/>
        </w:rPr>
        <w:t>(</w:t>
      </w:r>
      <w:r w:rsidR="000E02E1">
        <w:rPr>
          <w:rFonts w:hAnsi="標楷體" w:hint="eastAsia"/>
        </w:rPr>
        <w:t>詳表1</w:t>
      </w:r>
      <w:r w:rsidR="000E02E1">
        <w:rPr>
          <w:rFonts w:hAnsi="標楷體"/>
        </w:rPr>
        <w:t>)</w:t>
      </w:r>
      <w:r w:rsidR="000B674A" w:rsidRPr="00975326">
        <w:rPr>
          <w:rFonts w:hAnsi="標楷體" w:hint="eastAsia"/>
        </w:rPr>
        <w:t>。經查：</w:t>
      </w:r>
    </w:p>
    <w:p w:rsidR="000B674A" w:rsidRPr="00FE25EA" w:rsidRDefault="000B674A" w:rsidP="000B674A">
      <w:pPr>
        <w:pStyle w:val="a4"/>
        <w:ind w:left="849" w:hanging="283"/>
        <w:rPr>
          <w:rFonts w:hAnsi="標楷體"/>
          <w:b/>
        </w:rPr>
      </w:pPr>
      <w:r w:rsidRPr="00FE25EA">
        <w:rPr>
          <w:rFonts w:hAnsi="標楷體" w:hint="eastAsia"/>
          <w:b/>
        </w:rPr>
        <w:t>(一)</w:t>
      </w:r>
      <w:r w:rsidR="00A80C4F" w:rsidRPr="00A80C4F">
        <w:rPr>
          <w:rFonts w:hAnsi="標楷體" w:hint="eastAsia"/>
          <w:b/>
        </w:rPr>
        <w:t>舉辦展覽經費</w:t>
      </w:r>
      <w:r w:rsidR="00A80C4F">
        <w:rPr>
          <w:rFonts w:hAnsi="標楷體" w:hint="eastAsia"/>
          <w:b/>
        </w:rPr>
        <w:t>1</w:t>
      </w:r>
      <w:r w:rsidR="00A80C4F">
        <w:rPr>
          <w:rFonts w:hAnsi="標楷體"/>
          <w:b/>
        </w:rPr>
        <w:t>1</w:t>
      </w:r>
      <w:r w:rsidR="008C4564">
        <w:rPr>
          <w:rFonts w:hAnsi="標楷體"/>
          <w:b/>
        </w:rPr>
        <w:t>2</w:t>
      </w:r>
      <w:r w:rsidR="00A80C4F">
        <w:rPr>
          <w:rFonts w:hAnsi="標楷體" w:hint="eastAsia"/>
          <w:b/>
        </w:rPr>
        <w:t>年度超支</w:t>
      </w:r>
      <w:r w:rsidR="00CB092E">
        <w:rPr>
          <w:rFonts w:hAnsi="標楷體" w:hint="eastAsia"/>
          <w:b/>
        </w:rPr>
        <w:t>併決算</w:t>
      </w:r>
      <w:r w:rsidR="000E02E1">
        <w:rPr>
          <w:rFonts w:hAnsi="標楷體" w:hint="eastAsia"/>
          <w:b/>
        </w:rPr>
        <w:t>且高於1</w:t>
      </w:r>
      <w:r w:rsidR="000E02E1">
        <w:rPr>
          <w:rFonts w:hAnsi="標楷體"/>
          <w:b/>
        </w:rPr>
        <w:t>11</w:t>
      </w:r>
      <w:r w:rsidR="000E02E1">
        <w:rPr>
          <w:rFonts w:hAnsi="標楷體" w:hint="eastAsia"/>
          <w:b/>
        </w:rPr>
        <w:t>年度決算</w:t>
      </w:r>
      <w:r w:rsidR="00A80C4F">
        <w:rPr>
          <w:rFonts w:hAnsi="標楷體" w:hint="eastAsia"/>
          <w:b/>
        </w:rPr>
        <w:t>，1</w:t>
      </w:r>
      <w:r w:rsidR="00A80C4F">
        <w:rPr>
          <w:rFonts w:hAnsi="標楷體"/>
          <w:b/>
        </w:rPr>
        <w:t>1</w:t>
      </w:r>
      <w:r w:rsidR="008C4564">
        <w:rPr>
          <w:rFonts w:hAnsi="標楷體"/>
          <w:b/>
        </w:rPr>
        <w:t>3</w:t>
      </w:r>
      <w:r w:rsidR="00A80C4F">
        <w:rPr>
          <w:rFonts w:hAnsi="標楷體" w:hint="eastAsia"/>
          <w:b/>
        </w:rPr>
        <w:t>年截至7月底執行數</w:t>
      </w:r>
      <w:r w:rsidR="00CB092E">
        <w:rPr>
          <w:rFonts w:hAnsi="標楷體" w:hint="eastAsia"/>
          <w:b/>
        </w:rPr>
        <w:t>占預算數比率</w:t>
      </w:r>
      <w:r w:rsidR="00A80C4F">
        <w:rPr>
          <w:rFonts w:hAnsi="標楷體" w:hint="eastAsia"/>
          <w:b/>
        </w:rPr>
        <w:t>亦逾5成</w:t>
      </w:r>
    </w:p>
    <w:p w:rsidR="000B674A" w:rsidRDefault="00DE1A4A" w:rsidP="000B674A">
      <w:pPr>
        <w:pStyle w:val="22"/>
        <w:ind w:left="850" w:firstLine="566"/>
        <w:rPr>
          <w:rFonts w:hAnsi="標楷體"/>
        </w:rPr>
      </w:pPr>
      <w:r w:rsidRPr="00E80781">
        <w:rPr>
          <w:rFonts w:hAnsi="標楷體" w:hint="eastAsia"/>
        </w:rPr>
        <w:t>由1</w:t>
      </w:r>
      <w:r w:rsidR="006D31A8">
        <w:rPr>
          <w:rFonts w:hAnsi="標楷體"/>
        </w:rPr>
        <w:t>1</w:t>
      </w:r>
      <w:r w:rsidR="008C4564">
        <w:rPr>
          <w:rFonts w:hAnsi="標楷體"/>
        </w:rPr>
        <w:t>1</w:t>
      </w:r>
      <w:r w:rsidRPr="00E80781">
        <w:rPr>
          <w:rFonts w:hAnsi="標楷體" w:hint="eastAsia"/>
        </w:rPr>
        <w:t>至11</w:t>
      </w:r>
      <w:r w:rsidR="008C4564">
        <w:rPr>
          <w:rFonts w:hAnsi="標楷體"/>
        </w:rPr>
        <w:t>4</w:t>
      </w:r>
      <w:r w:rsidRPr="00E80781">
        <w:rPr>
          <w:rFonts w:hAnsi="標楷體" w:hint="eastAsia"/>
        </w:rPr>
        <w:t>年度教育部所屬基金舉辦展覽經費</w:t>
      </w:r>
      <w:r w:rsidR="00BA10F2" w:rsidRPr="00BA10F2">
        <w:rPr>
          <w:rFonts w:hAnsi="標楷體" w:hint="eastAsia"/>
        </w:rPr>
        <w:t>編列及執行</w:t>
      </w:r>
      <w:r w:rsidRPr="00E80781">
        <w:rPr>
          <w:rFonts w:hAnsi="標楷體" w:hint="eastAsia"/>
        </w:rPr>
        <w:t>情形</w:t>
      </w:r>
      <w:r w:rsidR="00BA10F2" w:rsidRPr="00BA10F2">
        <w:rPr>
          <w:rFonts w:hAnsi="標楷體" w:hint="eastAsia"/>
        </w:rPr>
        <w:t>(詳表1)</w:t>
      </w:r>
      <w:r w:rsidRPr="00E80781">
        <w:rPr>
          <w:rFonts w:hAnsi="標楷體" w:hint="eastAsia"/>
        </w:rPr>
        <w:t>觀之，</w:t>
      </w:r>
      <w:r w:rsidR="00E65D1E" w:rsidRPr="00E80781">
        <w:rPr>
          <w:rFonts w:hAnsi="標楷體" w:hint="eastAsia"/>
        </w:rPr>
        <w:t>11</w:t>
      </w:r>
      <w:r w:rsidR="008C4564">
        <w:rPr>
          <w:rFonts w:hAnsi="標楷體"/>
        </w:rPr>
        <w:t>2</w:t>
      </w:r>
      <w:r w:rsidR="00E65D1E" w:rsidRPr="00E80781">
        <w:rPr>
          <w:rFonts w:hAnsi="標楷體" w:hint="eastAsia"/>
        </w:rPr>
        <w:t>年度決算合計數</w:t>
      </w:r>
      <w:r w:rsidR="00E65D1E" w:rsidRPr="00E80781">
        <w:rPr>
          <w:rFonts w:hAnsi="標楷體"/>
        </w:rPr>
        <w:t>2</w:t>
      </w:r>
      <w:r w:rsidR="00E65D1E" w:rsidRPr="00E80781">
        <w:rPr>
          <w:rFonts w:hAnsi="標楷體" w:hint="eastAsia"/>
        </w:rPr>
        <w:t>億</w:t>
      </w:r>
      <w:r w:rsidR="008C4564">
        <w:rPr>
          <w:rFonts w:hAnsi="標楷體"/>
        </w:rPr>
        <w:t>9,437</w:t>
      </w:r>
      <w:r w:rsidR="00E65D1E" w:rsidRPr="00E80781">
        <w:rPr>
          <w:rFonts w:hAnsi="標楷體" w:hint="eastAsia"/>
        </w:rPr>
        <w:t>萬</w:t>
      </w:r>
      <w:r w:rsidR="008C4564">
        <w:rPr>
          <w:rFonts w:hAnsi="標楷體"/>
        </w:rPr>
        <w:t>3</w:t>
      </w:r>
      <w:r w:rsidR="00E65D1E" w:rsidRPr="00E80781">
        <w:rPr>
          <w:rFonts w:hAnsi="標楷體" w:hint="eastAsia"/>
        </w:rPr>
        <w:t>千元</w:t>
      </w:r>
      <w:r w:rsidR="006D31A8">
        <w:rPr>
          <w:rFonts w:hAnsi="標楷體" w:hint="eastAsia"/>
        </w:rPr>
        <w:t>高</w:t>
      </w:r>
      <w:r w:rsidR="00E65D1E" w:rsidRPr="00E80781">
        <w:rPr>
          <w:rFonts w:hAnsi="標楷體" w:hint="eastAsia"/>
        </w:rPr>
        <w:t>於</w:t>
      </w:r>
      <w:r w:rsidR="006D31A8">
        <w:rPr>
          <w:rFonts w:hAnsi="標楷體"/>
        </w:rPr>
        <w:t>11</w:t>
      </w:r>
      <w:r w:rsidR="008C4564">
        <w:rPr>
          <w:rFonts w:hAnsi="標楷體"/>
        </w:rPr>
        <w:t>1</w:t>
      </w:r>
      <w:r w:rsidR="00E65D1E" w:rsidRPr="00E80781">
        <w:rPr>
          <w:rFonts w:hAnsi="標楷體" w:hint="eastAsia"/>
        </w:rPr>
        <w:t>年度</w:t>
      </w:r>
      <w:r w:rsidR="006D31A8" w:rsidRPr="006D31A8">
        <w:rPr>
          <w:rFonts w:hAnsi="標楷體" w:hint="eastAsia"/>
        </w:rPr>
        <w:t>2億</w:t>
      </w:r>
      <w:r w:rsidR="008C4564">
        <w:rPr>
          <w:rFonts w:hAnsi="標楷體"/>
        </w:rPr>
        <w:t>6,930</w:t>
      </w:r>
      <w:r w:rsidR="006D31A8" w:rsidRPr="006D31A8">
        <w:rPr>
          <w:rFonts w:hAnsi="標楷體" w:hint="eastAsia"/>
        </w:rPr>
        <w:t>萬5千元</w:t>
      </w:r>
      <w:r w:rsidR="00207340">
        <w:rPr>
          <w:rFonts w:hAnsi="標楷體" w:hint="eastAsia"/>
        </w:rPr>
        <w:t>。</w:t>
      </w:r>
      <w:r w:rsidR="00E65D1E" w:rsidRPr="00E80781">
        <w:rPr>
          <w:rFonts w:hAnsi="標楷體" w:hint="eastAsia"/>
        </w:rPr>
        <w:t>1</w:t>
      </w:r>
      <w:r w:rsidR="00E65D1E" w:rsidRPr="00E80781">
        <w:rPr>
          <w:rFonts w:hAnsi="標楷體"/>
        </w:rPr>
        <w:t>1</w:t>
      </w:r>
      <w:r w:rsidR="008C4564">
        <w:rPr>
          <w:rFonts w:hAnsi="標楷體"/>
        </w:rPr>
        <w:t>2</w:t>
      </w:r>
      <w:r w:rsidR="00E65D1E" w:rsidRPr="00E80781">
        <w:rPr>
          <w:rFonts w:hAnsi="標楷體" w:hint="eastAsia"/>
        </w:rPr>
        <w:t>年度</w:t>
      </w:r>
      <w:r w:rsidR="00207340" w:rsidRPr="00207340">
        <w:rPr>
          <w:rFonts w:hAnsi="標楷體" w:hint="eastAsia"/>
        </w:rPr>
        <w:t>整體</w:t>
      </w:r>
      <w:r w:rsidR="00E65D1E" w:rsidRPr="00E80781">
        <w:rPr>
          <w:rFonts w:hAnsi="標楷體" w:hint="eastAsia"/>
        </w:rPr>
        <w:t>預算執行率</w:t>
      </w:r>
      <w:r w:rsidR="000B674A" w:rsidRPr="00E80781">
        <w:rPr>
          <w:rFonts w:hAnsi="標楷體" w:hint="eastAsia"/>
        </w:rPr>
        <w:t>達</w:t>
      </w:r>
      <w:r w:rsidR="006D31A8">
        <w:rPr>
          <w:rFonts w:hAnsi="標楷體"/>
        </w:rPr>
        <w:lastRenderedPageBreak/>
        <w:t>1</w:t>
      </w:r>
      <w:r w:rsidR="008C4564">
        <w:rPr>
          <w:rFonts w:hAnsi="標楷體"/>
        </w:rPr>
        <w:t>16.14</w:t>
      </w:r>
      <w:r w:rsidR="00E65D1E" w:rsidRPr="00E80781">
        <w:rPr>
          <w:rFonts w:hAnsi="標楷體"/>
        </w:rPr>
        <w:t>%</w:t>
      </w:r>
      <w:r w:rsidR="006D31A8">
        <w:rPr>
          <w:rFonts w:hAnsi="標楷體" w:hint="eastAsia"/>
        </w:rPr>
        <w:t>，其中</w:t>
      </w:r>
      <w:r w:rsidR="00E65D1E" w:rsidRPr="00E80781">
        <w:rPr>
          <w:rFonts w:hAnsi="標楷體" w:hint="eastAsia"/>
        </w:rPr>
        <w:t>科博館</w:t>
      </w:r>
      <w:r w:rsidR="006D31A8" w:rsidRPr="006D31A8">
        <w:rPr>
          <w:rFonts w:hAnsi="標楷體" w:hint="eastAsia"/>
        </w:rPr>
        <w:t>及海科館</w:t>
      </w:r>
      <w:r w:rsidR="00A61E8E">
        <w:rPr>
          <w:rFonts w:hAnsi="標楷體" w:hint="eastAsia"/>
        </w:rPr>
        <w:t>分基金</w:t>
      </w:r>
      <w:r w:rsidR="006D31A8">
        <w:rPr>
          <w:rFonts w:hAnsi="標楷體" w:hint="eastAsia"/>
        </w:rPr>
        <w:t>皆</w:t>
      </w:r>
      <w:r w:rsidR="00E65D1E" w:rsidRPr="00E80781">
        <w:rPr>
          <w:rFonts w:hAnsi="標楷體" w:hint="eastAsia"/>
        </w:rPr>
        <w:t>超支。</w:t>
      </w:r>
      <w:r w:rsidR="000E02E1">
        <w:rPr>
          <w:rFonts w:hAnsi="標楷體" w:hint="eastAsia"/>
        </w:rPr>
        <w:t>該期間</w:t>
      </w:r>
      <w:r w:rsidR="00D2191D">
        <w:rPr>
          <w:rFonts w:hAnsi="標楷體" w:hint="eastAsia"/>
        </w:rPr>
        <w:t>除</w:t>
      </w:r>
      <w:r w:rsidR="00E80781" w:rsidRPr="00E80781">
        <w:rPr>
          <w:rFonts w:hAnsi="標楷體" w:hint="eastAsia"/>
        </w:rPr>
        <w:t>科</w:t>
      </w:r>
      <w:r w:rsidR="00A80C4F">
        <w:rPr>
          <w:rFonts w:hAnsi="標楷體" w:hint="eastAsia"/>
        </w:rPr>
        <w:t>工</w:t>
      </w:r>
      <w:r w:rsidR="00E80781" w:rsidRPr="00E80781">
        <w:rPr>
          <w:rFonts w:hAnsi="標楷體" w:hint="eastAsia"/>
        </w:rPr>
        <w:t>館</w:t>
      </w:r>
      <w:r w:rsidR="008C4564">
        <w:rPr>
          <w:rFonts w:hAnsi="標楷體" w:hint="eastAsia"/>
        </w:rPr>
        <w:t>、臺灣圖書館及海科館</w:t>
      </w:r>
      <w:r w:rsidR="00E80781" w:rsidRPr="00E80781">
        <w:rPr>
          <w:rFonts w:hAnsi="標楷體" w:hint="eastAsia"/>
        </w:rPr>
        <w:t>舉辦展覽</w:t>
      </w:r>
      <w:r w:rsidR="0025145A">
        <w:rPr>
          <w:rFonts w:hAnsi="標楷體" w:hint="eastAsia"/>
        </w:rPr>
        <w:t>預算</w:t>
      </w:r>
      <w:r w:rsidR="00A80C4F">
        <w:rPr>
          <w:rFonts w:hAnsi="標楷體" w:hint="eastAsia"/>
        </w:rPr>
        <w:t>呈減少趨勢</w:t>
      </w:r>
      <w:r w:rsidR="00D2191D">
        <w:rPr>
          <w:rFonts w:hAnsi="標楷體" w:hint="eastAsia"/>
        </w:rPr>
        <w:t>外</w:t>
      </w:r>
      <w:r w:rsidR="00D2191D">
        <w:rPr>
          <w:rFonts w:ascii="新細明體" w:eastAsia="新細明體" w:hAnsi="新細明體" w:hint="eastAsia"/>
        </w:rPr>
        <w:t>，</w:t>
      </w:r>
      <w:r w:rsidR="00834D97" w:rsidRPr="00834D97">
        <w:rPr>
          <w:rFonts w:hAnsi="標楷體" w:hint="eastAsia"/>
        </w:rPr>
        <w:t>其</w:t>
      </w:r>
      <w:r w:rsidR="00D2191D" w:rsidRPr="00834D97">
        <w:rPr>
          <w:rFonts w:hAnsi="標楷體" w:hint="eastAsia"/>
        </w:rPr>
        <w:t>餘館</w:t>
      </w:r>
      <w:r w:rsidR="00D2191D">
        <w:rPr>
          <w:rFonts w:hAnsi="標楷體" w:hint="eastAsia"/>
        </w:rPr>
        <w:t>所各年經費則增減不一</w:t>
      </w:r>
      <w:r w:rsidR="00E80781" w:rsidRPr="00E80781">
        <w:rPr>
          <w:rFonts w:hAnsi="標楷體" w:hint="eastAsia"/>
        </w:rPr>
        <w:t>。</w:t>
      </w:r>
      <w:r w:rsidR="00A80C4F">
        <w:rPr>
          <w:rFonts w:hAnsi="標楷體" w:hint="eastAsia"/>
        </w:rPr>
        <w:t>1</w:t>
      </w:r>
      <w:r w:rsidR="00A80C4F">
        <w:rPr>
          <w:rFonts w:hAnsi="標楷體"/>
        </w:rPr>
        <w:t>1</w:t>
      </w:r>
      <w:r w:rsidR="008C4564">
        <w:rPr>
          <w:rFonts w:hAnsi="標楷體"/>
        </w:rPr>
        <w:t>3</w:t>
      </w:r>
      <w:r w:rsidR="00A80C4F">
        <w:rPr>
          <w:rFonts w:hAnsi="標楷體" w:hint="eastAsia"/>
        </w:rPr>
        <w:t>年度截至7月底整體基金</w:t>
      </w:r>
      <w:r w:rsidR="00CB092E" w:rsidRPr="00CB092E">
        <w:rPr>
          <w:rFonts w:hAnsi="標楷體" w:hint="eastAsia"/>
        </w:rPr>
        <w:t>執行數占預算數比率</w:t>
      </w:r>
      <w:r w:rsidR="00A80C4F">
        <w:rPr>
          <w:rFonts w:hAnsi="標楷體" w:hint="eastAsia"/>
        </w:rPr>
        <w:t>5</w:t>
      </w:r>
      <w:r w:rsidR="008C4564">
        <w:rPr>
          <w:rFonts w:hAnsi="標楷體"/>
        </w:rPr>
        <w:t>8.69</w:t>
      </w:r>
      <w:r w:rsidR="00A80C4F">
        <w:rPr>
          <w:rFonts w:hAnsi="標楷體"/>
        </w:rPr>
        <w:t>%</w:t>
      </w:r>
      <w:r w:rsidR="00A80C4F">
        <w:rPr>
          <w:rFonts w:hAnsi="標楷體" w:hint="eastAsia"/>
        </w:rPr>
        <w:t>。</w:t>
      </w:r>
    </w:p>
    <w:p w:rsidR="00C71EEE" w:rsidRDefault="00C71EEE" w:rsidP="000B674A">
      <w:pPr>
        <w:pStyle w:val="22"/>
        <w:ind w:left="850" w:firstLine="566"/>
        <w:rPr>
          <w:rFonts w:hAnsi="標楷體"/>
        </w:rPr>
      </w:pPr>
    </w:p>
    <w:p w:rsidR="000B674A" w:rsidRDefault="000B674A" w:rsidP="008C4564">
      <w:pPr>
        <w:pStyle w:val="142"/>
        <w:spacing w:beforeLines="50" w:before="250" w:line="0" w:lineRule="atLeast"/>
        <w:ind w:left="709" w:hangingChars="250" w:hanging="709"/>
        <w:jc w:val="right"/>
        <w:rPr>
          <w:rFonts w:hAnsi="標楷體"/>
        </w:rPr>
      </w:pPr>
      <w:r>
        <w:rPr>
          <w:rFonts w:hAnsi="標楷體" w:hint="eastAsia"/>
          <w:b/>
          <w:sz w:val="28"/>
          <w:lang w:eastAsia="zh-HK"/>
        </w:rPr>
        <w:t>表</w:t>
      </w:r>
      <w:r>
        <w:rPr>
          <w:rFonts w:hAnsi="標楷體" w:hint="eastAsia"/>
          <w:b/>
          <w:sz w:val="28"/>
        </w:rPr>
        <w:t>1  教育部所屬基金1</w:t>
      </w:r>
      <w:r w:rsidR="009A65A7">
        <w:rPr>
          <w:rFonts w:hAnsi="標楷體"/>
          <w:b/>
          <w:sz w:val="28"/>
        </w:rPr>
        <w:t>1</w:t>
      </w:r>
      <w:r w:rsidR="008C4564">
        <w:rPr>
          <w:rFonts w:hAnsi="標楷體"/>
          <w:b/>
          <w:sz w:val="28"/>
        </w:rPr>
        <w:t>1</w:t>
      </w:r>
      <w:r>
        <w:rPr>
          <w:rFonts w:hAnsi="標楷體" w:hint="eastAsia"/>
          <w:b/>
          <w:sz w:val="28"/>
        </w:rPr>
        <w:t>至11</w:t>
      </w:r>
      <w:r w:rsidR="008C4564">
        <w:rPr>
          <w:rFonts w:hAnsi="標楷體"/>
          <w:b/>
          <w:sz w:val="28"/>
        </w:rPr>
        <w:t>4</w:t>
      </w:r>
      <w:r>
        <w:rPr>
          <w:rFonts w:hAnsi="標楷體" w:hint="eastAsia"/>
          <w:b/>
          <w:sz w:val="28"/>
        </w:rPr>
        <w:t>年度</w:t>
      </w:r>
      <w:r w:rsidR="00D21D78" w:rsidRPr="00D21D78">
        <w:rPr>
          <w:rFonts w:hAnsi="標楷體" w:hint="eastAsia"/>
          <w:b/>
          <w:sz w:val="28"/>
        </w:rPr>
        <w:t>舉辦展覽經費</w:t>
      </w:r>
      <w:r w:rsidR="00D21D78">
        <w:rPr>
          <w:rFonts w:hAnsi="標楷體" w:hint="eastAsia"/>
          <w:b/>
          <w:sz w:val="28"/>
        </w:rPr>
        <w:t>編列及執行</w:t>
      </w:r>
      <w:r>
        <w:rPr>
          <w:rFonts w:hAnsi="標楷體" w:hint="eastAsia"/>
          <w:b/>
          <w:sz w:val="28"/>
        </w:rPr>
        <w:t xml:space="preserve">統計表                   </w:t>
      </w:r>
      <w:r w:rsidR="001A292A">
        <w:rPr>
          <w:rFonts w:hAnsi="標楷體" w:hint="eastAsia"/>
          <w:b/>
          <w:sz w:val="28"/>
        </w:rPr>
        <w:t xml:space="preserve">   </w:t>
      </w:r>
      <w:r w:rsidR="0025145A">
        <w:rPr>
          <w:rFonts w:hAnsi="標楷體"/>
          <w:b/>
          <w:sz w:val="28"/>
        </w:rPr>
        <w:t xml:space="preserve">         </w:t>
      </w:r>
      <w:r>
        <w:rPr>
          <w:rFonts w:hAnsi="標楷體" w:hint="eastAsia"/>
          <w:b/>
          <w:sz w:val="28"/>
        </w:rPr>
        <w:t xml:space="preserve"> </w:t>
      </w:r>
      <w:r>
        <w:rPr>
          <w:rFonts w:hAnsi="標楷體" w:hint="eastAsia"/>
        </w:rPr>
        <w:t>單位:新臺幣千元</w:t>
      </w:r>
      <w:r w:rsidR="00A1604F">
        <w:rPr>
          <w:rFonts w:hAnsi="標楷體" w:hint="eastAsia"/>
        </w:rPr>
        <w:t>；</w:t>
      </w:r>
      <w:r>
        <w:rPr>
          <w:rFonts w:hAnsi="標楷體" w:hint="eastAsia"/>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885"/>
        <w:gridCol w:w="756"/>
        <w:gridCol w:w="803"/>
        <w:gridCol w:w="896"/>
        <w:gridCol w:w="776"/>
        <w:gridCol w:w="896"/>
        <w:gridCol w:w="896"/>
        <w:gridCol w:w="756"/>
        <w:gridCol w:w="896"/>
      </w:tblGrid>
      <w:tr w:rsidR="00CB092E" w:rsidRPr="0007493A" w:rsidTr="000E02E1">
        <w:trPr>
          <w:trHeight w:val="322"/>
        </w:trPr>
        <w:tc>
          <w:tcPr>
            <w:tcW w:w="1101" w:type="pct"/>
            <w:vMerge w:val="restart"/>
            <w:shd w:val="clear" w:color="auto" w:fill="auto"/>
            <w:noWrap/>
            <w:vAlign w:val="center"/>
            <w:hideMark/>
          </w:tcPr>
          <w:p w:rsidR="00D21D78" w:rsidRPr="00DB5E10" w:rsidRDefault="00D21D78" w:rsidP="00D21D78">
            <w:pPr>
              <w:pStyle w:val="142"/>
              <w:jc w:val="center"/>
              <w:rPr>
                <w:snapToGrid/>
                <w:spacing w:val="-20"/>
              </w:rPr>
            </w:pPr>
            <w:r w:rsidRPr="00DB5E10">
              <w:rPr>
                <w:rFonts w:hint="eastAsia"/>
                <w:snapToGrid/>
                <w:spacing w:val="-20"/>
              </w:rPr>
              <w:t>機構別/年度</w:t>
            </w:r>
          </w:p>
        </w:tc>
        <w:tc>
          <w:tcPr>
            <w:tcW w:w="467" w:type="pct"/>
            <w:shd w:val="clear" w:color="auto" w:fill="auto"/>
            <w:noWrap/>
            <w:vAlign w:val="center"/>
            <w:hideMark/>
          </w:tcPr>
          <w:p w:rsidR="00D21D78" w:rsidRPr="00DB5E10" w:rsidRDefault="009A65A7" w:rsidP="00FC3909">
            <w:pPr>
              <w:pStyle w:val="142"/>
              <w:jc w:val="center"/>
              <w:rPr>
                <w:rFonts w:hint="eastAsia"/>
                <w:snapToGrid/>
                <w:spacing w:val="-20"/>
              </w:rPr>
            </w:pPr>
            <w:r w:rsidRPr="00DB5E10">
              <w:rPr>
                <w:snapToGrid/>
                <w:spacing w:val="-20"/>
              </w:rPr>
              <w:t>11</w:t>
            </w:r>
            <w:r w:rsidR="00FC3909">
              <w:rPr>
                <w:snapToGrid/>
                <w:spacing w:val="-20"/>
              </w:rPr>
              <w:t>1</w:t>
            </w:r>
          </w:p>
        </w:tc>
        <w:tc>
          <w:tcPr>
            <w:tcW w:w="1471" w:type="pct"/>
            <w:gridSpan w:val="3"/>
            <w:shd w:val="clear" w:color="auto" w:fill="auto"/>
            <w:noWrap/>
            <w:vAlign w:val="center"/>
            <w:hideMark/>
          </w:tcPr>
          <w:p w:rsidR="00D21D78" w:rsidRPr="00DB5E10" w:rsidRDefault="00D21D78" w:rsidP="00FC3909">
            <w:pPr>
              <w:pStyle w:val="142"/>
              <w:jc w:val="center"/>
              <w:rPr>
                <w:rFonts w:hint="eastAsia"/>
                <w:snapToGrid/>
                <w:spacing w:val="-20"/>
              </w:rPr>
            </w:pPr>
            <w:r w:rsidRPr="00DB5E10">
              <w:rPr>
                <w:rFonts w:hint="eastAsia"/>
                <w:snapToGrid/>
                <w:spacing w:val="-20"/>
              </w:rPr>
              <w:t>11</w:t>
            </w:r>
            <w:r w:rsidR="00FC3909">
              <w:rPr>
                <w:snapToGrid/>
                <w:spacing w:val="-20"/>
              </w:rPr>
              <w:t>2</w:t>
            </w:r>
          </w:p>
        </w:tc>
        <w:tc>
          <w:tcPr>
            <w:tcW w:w="1438" w:type="pct"/>
            <w:gridSpan w:val="3"/>
            <w:shd w:val="clear" w:color="auto" w:fill="auto"/>
            <w:noWrap/>
            <w:vAlign w:val="center"/>
            <w:hideMark/>
          </w:tcPr>
          <w:p w:rsidR="00D21D78" w:rsidRPr="00DB5E10" w:rsidRDefault="00D21D78" w:rsidP="00FC3909">
            <w:pPr>
              <w:pStyle w:val="142"/>
              <w:jc w:val="center"/>
              <w:rPr>
                <w:rFonts w:hint="eastAsia"/>
                <w:snapToGrid/>
                <w:spacing w:val="-20"/>
              </w:rPr>
            </w:pPr>
            <w:r w:rsidRPr="00DB5E10">
              <w:rPr>
                <w:rFonts w:hint="eastAsia"/>
                <w:snapToGrid/>
                <w:spacing w:val="-20"/>
              </w:rPr>
              <w:t>11</w:t>
            </w:r>
            <w:r w:rsidR="00FC3909">
              <w:rPr>
                <w:snapToGrid/>
                <w:spacing w:val="-20"/>
              </w:rPr>
              <w:t>3</w:t>
            </w:r>
          </w:p>
        </w:tc>
        <w:tc>
          <w:tcPr>
            <w:tcW w:w="523" w:type="pct"/>
            <w:shd w:val="clear" w:color="auto" w:fill="auto"/>
            <w:noWrap/>
            <w:vAlign w:val="center"/>
            <w:hideMark/>
          </w:tcPr>
          <w:p w:rsidR="00D21D78" w:rsidRPr="00DB5E10" w:rsidRDefault="00D21D78" w:rsidP="00FC3909">
            <w:pPr>
              <w:pStyle w:val="142"/>
              <w:jc w:val="center"/>
              <w:rPr>
                <w:rFonts w:hint="eastAsia"/>
                <w:snapToGrid/>
                <w:spacing w:val="-20"/>
              </w:rPr>
            </w:pPr>
            <w:r w:rsidRPr="00DB5E10">
              <w:rPr>
                <w:rFonts w:hint="eastAsia"/>
                <w:snapToGrid/>
                <w:spacing w:val="-20"/>
              </w:rPr>
              <w:t>11</w:t>
            </w:r>
            <w:r w:rsidR="00FC3909">
              <w:rPr>
                <w:snapToGrid/>
                <w:spacing w:val="-20"/>
              </w:rPr>
              <w:t>4</w:t>
            </w:r>
          </w:p>
        </w:tc>
      </w:tr>
      <w:tr w:rsidR="00CB092E" w:rsidRPr="0007493A" w:rsidTr="000E02E1">
        <w:trPr>
          <w:trHeight w:val="322"/>
        </w:trPr>
        <w:tc>
          <w:tcPr>
            <w:tcW w:w="1101" w:type="pct"/>
            <w:vMerge/>
            <w:shd w:val="clear" w:color="auto" w:fill="auto"/>
            <w:noWrap/>
            <w:vAlign w:val="center"/>
          </w:tcPr>
          <w:p w:rsidR="00D21D78" w:rsidRPr="00DB5E10" w:rsidRDefault="00D21D78" w:rsidP="00D21D78">
            <w:pPr>
              <w:pStyle w:val="142"/>
              <w:jc w:val="center"/>
              <w:rPr>
                <w:rFonts w:hint="eastAsia"/>
                <w:snapToGrid/>
                <w:spacing w:val="-20"/>
              </w:rPr>
            </w:pPr>
          </w:p>
        </w:tc>
        <w:tc>
          <w:tcPr>
            <w:tcW w:w="467" w:type="pct"/>
            <w:shd w:val="clear" w:color="auto" w:fill="auto"/>
            <w:noWrap/>
            <w:vAlign w:val="center"/>
          </w:tcPr>
          <w:p w:rsidR="00D21D78" w:rsidRPr="00DB5E10" w:rsidRDefault="00D21D78" w:rsidP="00D21D78">
            <w:pPr>
              <w:pStyle w:val="142"/>
              <w:jc w:val="center"/>
              <w:rPr>
                <w:rFonts w:hint="eastAsia"/>
                <w:snapToGrid/>
                <w:spacing w:val="-20"/>
              </w:rPr>
            </w:pPr>
            <w:r w:rsidRPr="00DB5E10">
              <w:rPr>
                <w:rFonts w:hint="eastAsia"/>
                <w:snapToGrid/>
                <w:spacing w:val="-20"/>
              </w:rPr>
              <w:t>決算數</w:t>
            </w:r>
          </w:p>
        </w:tc>
        <w:tc>
          <w:tcPr>
            <w:tcW w:w="494" w:type="pct"/>
            <w:shd w:val="clear" w:color="auto" w:fill="auto"/>
            <w:noWrap/>
            <w:vAlign w:val="center"/>
          </w:tcPr>
          <w:p w:rsidR="00D21D78" w:rsidRPr="00DB5E10" w:rsidRDefault="00D21D78" w:rsidP="00D21D78">
            <w:pPr>
              <w:pStyle w:val="142"/>
              <w:jc w:val="center"/>
              <w:rPr>
                <w:rFonts w:hint="eastAsia"/>
                <w:snapToGrid/>
                <w:spacing w:val="-20"/>
              </w:rPr>
            </w:pPr>
            <w:r w:rsidRPr="00DB5E10">
              <w:rPr>
                <w:rFonts w:hint="eastAsia"/>
                <w:snapToGrid/>
                <w:spacing w:val="-20"/>
              </w:rPr>
              <w:t>預算數</w:t>
            </w:r>
          </w:p>
        </w:tc>
        <w:tc>
          <w:tcPr>
            <w:tcW w:w="523" w:type="pct"/>
            <w:shd w:val="clear" w:color="auto" w:fill="auto"/>
            <w:noWrap/>
            <w:vAlign w:val="center"/>
          </w:tcPr>
          <w:p w:rsidR="00D21D78" w:rsidRPr="00DB5E10" w:rsidRDefault="00D21D78" w:rsidP="00D21D78">
            <w:pPr>
              <w:pStyle w:val="142"/>
              <w:jc w:val="center"/>
              <w:rPr>
                <w:rFonts w:hint="eastAsia"/>
                <w:snapToGrid/>
                <w:spacing w:val="-20"/>
              </w:rPr>
            </w:pPr>
            <w:r w:rsidRPr="00DB5E10">
              <w:rPr>
                <w:rFonts w:hint="eastAsia"/>
                <w:snapToGrid/>
                <w:spacing w:val="-20"/>
              </w:rPr>
              <w:t>決算數</w:t>
            </w:r>
          </w:p>
        </w:tc>
        <w:tc>
          <w:tcPr>
            <w:tcW w:w="453" w:type="pct"/>
            <w:shd w:val="clear" w:color="auto" w:fill="auto"/>
            <w:noWrap/>
            <w:vAlign w:val="center"/>
          </w:tcPr>
          <w:p w:rsidR="00D21D78" w:rsidRPr="00DB5E10" w:rsidRDefault="00D21D78" w:rsidP="00D21D78">
            <w:pPr>
              <w:pStyle w:val="142"/>
              <w:jc w:val="center"/>
              <w:rPr>
                <w:rFonts w:hint="eastAsia"/>
                <w:snapToGrid/>
                <w:spacing w:val="-20"/>
              </w:rPr>
            </w:pPr>
            <w:r w:rsidRPr="00DB5E10">
              <w:rPr>
                <w:rFonts w:hint="eastAsia"/>
                <w:snapToGrid/>
                <w:spacing w:val="-20"/>
              </w:rPr>
              <w:t>執行率</w:t>
            </w:r>
          </w:p>
        </w:tc>
        <w:tc>
          <w:tcPr>
            <w:tcW w:w="523" w:type="pct"/>
            <w:shd w:val="clear" w:color="auto" w:fill="auto"/>
            <w:noWrap/>
            <w:vAlign w:val="center"/>
          </w:tcPr>
          <w:p w:rsidR="00D21D78" w:rsidRPr="00CB092E" w:rsidRDefault="00D21D78" w:rsidP="00676459">
            <w:pPr>
              <w:pStyle w:val="142"/>
              <w:jc w:val="center"/>
              <w:rPr>
                <w:rFonts w:hint="eastAsia"/>
                <w:snapToGrid/>
                <w:spacing w:val="-24"/>
              </w:rPr>
            </w:pPr>
            <w:r w:rsidRPr="00CB092E">
              <w:rPr>
                <w:rFonts w:hint="eastAsia"/>
                <w:snapToGrid/>
                <w:spacing w:val="-24"/>
              </w:rPr>
              <w:t>預算</w:t>
            </w:r>
            <w:r w:rsidR="00CB092E" w:rsidRPr="00CB092E">
              <w:rPr>
                <w:rFonts w:hint="eastAsia"/>
                <w:snapToGrid/>
                <w:spacing w:val="-24"/>
              </w:rPr>
              <w:t>案</w:t>
            </w:r>
          </w:p>
        </w:tc>
        <w:tc>
          <w:tcPr>
            <w:tcW w:w="523" w:type="pct"/>
            <w:shd w:val="clear" w:color="auto" w:fill="auto"/>
            <w:noWrap/>
            <w:vAlign w:val="center"/>
          </w:tcPr>
          <w:p w:rsidR="00D21D78" w:rsidRPr="00CB092E" w:rsidRDefault="00D21D78" w:rsidP="00D21D78">
            <w:pPr>
              <w:pStyle w:val="142"/>
              <w:jc w:val="center"/>
              <w:rPr>
                <w:rFonts w:hint="eastAsia"/>
                <w:snapToGrid/>
                <w:spacing w:val="-24"/>
              </w:rPr>
            </w:pPr>
            <w:r w:rsidRPr="00CB092E">
              <w:rPr>
                <w:rFonts w:hint="eastAsia"/>
                <w:snapToGrid/>
                <w:spacing w:val="-24"/>
              </w:rPr>
              <w:t>執行數</w:t>
            </w:r>
          </w:p>
        </w:tc>
        <w:tc>
          <w:tcPr>
            <w:tcW w:w="391" w:type="pct"/>
            <w:shd w:val="clear" w:color="auto" w:fill="auto"/>
            <w:noWrap/>
            <w:vAlign w:val="center"/>
          </w:tcPr>
          <w:p w:rsidR="00CB092E" w:rsidRPr="00CB092E" w:rsidRDefault="00D21D78" w:rsidP="00CB092E">
            <w:pPr>
              <w:pStyle w:val="142"/>
              <w:spacing w:line="0" w:lineRule="atLeast"/>
              <w:ind w:leftChars="-6" w:left="-17" w:right="-49"/>
              <w:rPr>
                <w:snapToGrid/>
                <w:spacing w:val="-20"/>
                <w:sz w:val="18"/>
                <w:szCs w:val="18"/>
              </w:rPr>
            </w:pPr>
            <w:r w:rsidRPr="00CB092E">
              <w:rPr>
                <w:rFonts w:hint="eastAsia"/>
                <w:snapToGrid/>
                <w:spacing w:val="-20"/>
                <w:sz w:val="18"/>
                <w:szCs w:val="18"/>
              </w:rPr>
              <w:t>執行</w:t>
            </w:r>
            <w:r w:rsidR="00CB092E" w:rsidRPr="00CB092E">
              <w:rPr>
                <w:rFonts w:hint="eastAsia"/>
                <w:snapToGrid/>
                <w:spacing w:val="-20"/>
                <w:sz w:val="18"/>
                <w:szCs w:val="18"/>
              </w:rPr>
              <w:t>數占</w:t>
            </w:r>
          </w:p>
          <w:p w:rsidR="00D21D78" w:rsidRPr="00CB092E" w:rsidRDefault="005A7303" w:rsidP="00CB092E">
            <w:pPr>
              <w:pStyle w:val="142"/>
              <w:spacing w:line="0" w:lineRule="atLeast"/>
              <w:ind w:leftChars="-6" w:left="-17"/>
              <w:rPr>
                <w:rFonts w:hint="eastAsia"/>
                <w:snapToGrid/>
                <w:spacing w:val="-24"/>
              </w:rPr>
            </w:pPr>
            <w:r>
              <w:rPr>
                <w:rFonts w:hint="eastAsia"/>
                <w:snapToGrid/>
                <w:spacing w:val="-20"/>
                <w:sz w:val="18"/>
                <w:szCs w:val="18"/>
              </w:rPr>
              <w:t>預</w:t>
            </w:r>
            <w:r w:rsidR="00CB092E" w:rsidRPr="00CB092E">
              <w:rPr>
                <w:rFonts w:hint="eastAsia"/>
                <w:snapToGrid/>
                <w:spacing w:val="-20"/>
                <w:sz w:val="18"/>
                <w:szCs w:val="18"/>
              </w:rPr>
              <w:t>算</w:t>
            </w:r>
            <w:r w:rsidR="00676459">
              <w:rPr>
                <w:rFonts w:hint="eastAsia"/>
                <w:snapToGrid/>
                <w:spacing w:val="-20"/>
                <w:sz w:val="18"/>
                <w:szCs w:val="18"/>
              </w:rPr>
              <w:t>案</w:t>
            </w:r>
            <w:r w:rsidR="00CB092E" w:rsidRPr="00CB092E">
              <w:rPr>
                <w:rFonts w:hint="eastAsia"/>
                <w:snapToGrid/>
                <w:spacing w:val="-20"/>
                <w:sz w:val="18"/>
                <w:szCs w:val="18"/>
              </w:rPr>
              <w:t>比率</w:t>
            </w:r>
          </w:p>
        </w:tc>
        <w:tc>
          <w:tcPr>
            <w:tcW w:w="523" w:type="pct"/>
            <w:shd w:val="clear" w:color="auto" w:fill="auto"/>
            <w:noWrap/>
            <w:vAlign w:val="center"/>
          </w:tcPr>
          <w:p w:rsidR="00D21D78" w:rsidRPr="00DB5E10" w:rsidRDefault="00D21D78" w:rsidP="00D21D78">
            <w:pPr>
              <w:pStyle w:val="142"/>
              <w:jc w:val="center"/>
              <w:rPr>
                <w:rFonts w:hint="eastAsia"/>
                <w:snapToGrid/>
                <w:spacing w:val="-20"/>
              </w:rPr>
            </w:pPr>
            <w:r w:rsidRPr="00DB5E10">
              <w:rPr>
                <w:rFonts w:hint="eastAsia"/>
                <w:snapToGrid/>
                <w:spacing w:val="-20"/>
              </w:rPr>
              <w:t>預算案</w:t>
            </w:r>
          </w:p>
        </w:tc>
      </w:tr>
      <w:tr w:rsidR="00CB092E" w:rsidRPr="0007493A" w:rsidTr="000E02E1">
        <w:trPr>
          <w:trHeight w:val="322"/>
        </w:trPr>
        <w:tc>
          <w:tcPr>
            <w:tcW w:w="1101" w:type="pct"/>
            <w:shd w:val="clear" w:color="auto" w:fill="auto"/>
            <w:noWrap/>
            <w:vAlign w:val="center"/>
            <w:hideMark/>
          </w:tcPr>
          <w:p w:rsidR="000E02E1" w:rsidRPr="00DB5E10" w:rsidRDefault="000E02E1" w:rsidP="000E02E1">
            <w:pPr>
              <w:pStyle w:val="142"/>
              <w:jc w:val="center"/>
              <w:rPr>
                <w:rFonts w:hint="eastAsia"/>
                <w:snapToGrid/>
                <w:spacing w:val="-20"/>
              </w:rPr>
            </w:pPr>
            <w:r w:rsidRPr="00DB5E10">
              <w:rPr>
                <w:rFonts w:hint="eastAsia"/>
                <w:snapToGrid/>
                <w:spacing w:val="-20"/>
              </w:rPr>
              <w:t>國立自然科學博物館</w:t>
            </w:r>
          </w:p>
        </w:tc>
        <w:tc>
          <w:tcPr>
            <w:tcW w:w="467" w:type="pct"/>
            <w:noWrap/>
            <w:hideMark/>
          </w:tcPr>
          <w:p w:rsidR="000E02E1" w:rsidRPr="00DB5E10" w:rsidRDefault="000E02E1" w:rsidP="000E02E1">
            <w:pPr>
              <w:pStyle w:val="142"/>
              <w:jc w:val="right"/>
              <w:rPr>
                <w:rFonts w:hint="eastAsia"/>
                <w:spacing w:val="-20"/>
              </w:rPr>
            </w:pPr>
            <w:r w:rsidRPr="00DB5E10">
              <w:rPr>
                <w:rFonts w:hint="eastAsia"/>
                <w:spacing w:val="-20"/>
              </w:rPr>
              <w:t xml:space="preserve">218,794 </w:t>
            </w:r>
          </w:p>
        </w:tc>
        <w:tc>
          <w:tcPr>
            <w:tcW w:w="494" w:type="pct"/>
            <w:shd w:val="clear" w:color="auto" w:fill="auto"/>
            <w:noWrap/>
            <w:vAlign w:val="center"/>
            <w:hideMark/>
          </w:tcPr>
          <w:p w:rsidR="000E02E1" w:rsidRPr="00D83DFC" w:rsidRDefault="000E02E1" w:rsidP="000E02E1">
            <w:pPr>
              <w:pStyle w:val="142"/>
              <w:jc w:val="right"/>
              <w:rPr>
                <w:rFonts w:hint="eastAsia"/>
                <w:snapToGrid/>
                <w:spacing w:val="-20"/>
              </w:rPr>
            </w:pPr>
            <w:r w:rsidRPr="00D83DFC">
              <w:rPr>
                <w:rFonts w:hint="eastAsia"/>
                <w:snapToGrid/>
                <w:spacing w:val="-20"/>
              </w:rPr>
              <w:t>201,149</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244,772</w:t>
            </w:r>
          </w:p>
        </w:tc>
        <w:tc>
          <w:tcPr>
            <w:tcW w:w="45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121.69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180,718</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113,528</w:t>
            </w:r>
          </w:p>
        </w:tc>
        <w:tc>
          <w:tcPr>
            <w:tcW w:w="391"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62.82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188,156</w:t>
            </w:r>
          </w:p>
        </w:tc>
      </w:tr>
      <w:tr w:rsidR="00CB092E" w:rsidRPr="0007493A" w:rsidTr="000E02E1">
        <w:trPr>
          <w:trHeight w:val="322"/>
        </w:trPr>
        <w:tc>
          <w:tcPr>
            <w:tcW w:w="1101" w:type="pct"/>
            <w:shd w:val="clear" w:color="auto" w:fill="auto"/>
            <w:noWrap/>
            <w:vAlign w:val="center"/>
            <w:hideMark/>
          </w:tcPr>
          <w:p w:rsidR="000E02E1" w:rsidRPr="00DB5E10" w:rsidRDefault="000E02E1" w:rsidP="000E02E1">
            <w:pPr>
              <w:pStyle w:val="142"/>
              <w:jc w:val="center"/>
              <w:rPr>
                <w:rFonts w:hint="eastAsia"/>
                <w:snapToGrid/>
                <w:spacing w:val="-20"/>
              </w:rPr>
            </w:pPr>
            <w:r w:rsidRPr="00DB5E10">
              <w:rPr>
                <w:rFonts w:hint="eastAsia"/>
                <w:snapToGrid/>
                <w:spacing w:val="-20"/>
              </w:rPr>
              <w:t>國立科學工藝博物館</w:t>
            </w:r>
          </w:p>
        </w:tc>
        <w:tc>
          <w:tcPr>
            <w:tcW w:w="467" w:type="pct"/>
            <w:noWrap/>
            <w:hideMark/>
          </w:tcPr>
          <w:p w:rsidR="000E02E1" w:rsidRPr="00DB5E10" w:rsidRDefault="000E02E1" w:rsidP="000E02E1">
            <w:pPr>
              <w:pStyle w:val="142"/>
              <w:jc w:val="right"/>
              <w:rPr>
                <w:rFonts w:hint="eastAsia"/>
                <w:spacing w:val="-20"/>
              </w:rPr>
            </w:pPr>
            <w:r w:rsidRPr="00DB5E10">
              <w:rPr>
                <w:rFonts w:hint="eastAsia"/>
                <w:spacing w:val="-20"/>
              </w:rPr>
              <w:t xml:space="preserve">19,492 </w:t>
            </w:r>
          </w:p>
        </w:tc>
        <w:tc>
          <w:tcPr>
            <w:tcW w:w="494" w:type="pct"/>
            <w:shd w:val="clear" w:color="auto" w:fill="auto"/>
            <w:noWrap/>
            <w:vAlign w:val="center"/>
            <w:hideMark/>
          </w:tcPr>
          <w:p w:rsidR="000E02E1" w:rsidRPr="00D83DFC" w:rsidRDefault="000E02E1" w:rsidP="000E02E1">
            <w:pPr>
              <w:pStyle w:val="142"/>
              <w:jc w:val="right"/>
              <w:rPr>
                <w:rFonts w:hint="eastAsia"/>
                <w:snapToGrid/>
                <w:spacing w:val="-20"/>
              </w:rPr>
            </w:pPr>
            <w:r w:rsidRPr="00D83DFC">
              <w:rPr>
                <w:rFonts w:hint="eastAsia"/>
                <w:snapToGrid/>
                <w:spacing w:val="-20"/>
              </w:rPr>
              <w:t>22,802</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19,187</w:t>
            </w:r>
          </w:p>
        </w:tc>
        <w:tc>
          <w:tcPr>
            <w:tcW w:w="45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84.15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18,000</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7,208</w:t>
            </w:r>
          </w:p>
        </w:tc>
        <w:tc>
          <w:tcPr>
            <w:tcW w:w="391"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40.04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17,343</w:t>
            </w:r>
          </w:p>
        </w:tc>
      </w:tr>
      <w:tr w:rsidR="00CB092E" w:rsidRPr="0007493A" w:rsidTr="000E02E1">
        <w:trPr>
          <w:trHeight w:val="322"/>
        </w:trPr>
        <w:tc>
          <w:tcPr>
            <w:tcW w:w="1101" w:type="pct"/>
            <w:shd w:val="clear" w:color="auto" w:fill="auto"/>
            <w:noWrap/>
            <w:vAlign w:val="center"/>
            <w:hideMark/>
          </w:tcPr>
          <w:p w:rsidR="000E02E1" w:rsidRPr="00DB5E10" w:rsidRDefault="000E02E1" w:rsidP="000E02E1">
            <w:pPr>
              <w:pStyle w:val="142"/>
              <w:jc w:val="center"/>
              <w:rPr>
                <w:rFonts w:hint="eastAsia"/>
                <w:snapToGrid/>
                <w:spacing w:val="-20"/>
              </w:rPr>
            </w:pPr>
            <w:r w:rsidRPr="00DB5E10">
              <w:rPr>
                <w:rFonts w:hint="eastAsia"/>
                <w:snapToGrid/>
                <w:spacing w:val="-20"/>
              </w:rPr>
              <w:t>國立海洋生物博物館</w:t>
            </w:r>
          </w:p>
        </w:tc>
        <w:tc>
          <w:tcPr>
            <w:tcW w:w="467" w:type="pct"/>
            <w:noWrap/>
            <w:hideMark/>
          </w:tcPr>
          <w:p w:rsidR="000E02E1" w:rsidRPr="00DB5E10" w:rsidRDefault="000E02E1" w:rsidP="000E02E1">
            <w:pPr>
              <w:pStyle w:val="142"/>
              <w:jc w:val="right"/>
              <w:rPr>
                <w:rFonts w:hint="eastAsia"/>
                <w:spacing w:val="-20"/>
              </w:rPr>
            </w:pPr>
            <w:r w:rsidRPr="00DB5E10">
              <w:rPr>
                <w:rFonts w:hint="eastAsia"/>
                <w:spacing w:val="-20"/>
              </w:rPr>
              <w:t xml:space="preserve">2,699 </w:t>
            </w:r>
          </w:p>
        </w:tc>
        <w:tc>
          <w:tcPr>
            <w:tcW w:w="494" w:type="pct"/>
            <w:shd w:val="clear" w:color="auto" w:fill="auto"/>
            <w:noWrap/>
            <w:vAlign w:val="center"/>
            <w:hideMark/>
          </w:tcPr>
          <w:p w:rsidR="000E02E1" w:rsidRPr="00D83DFC" w:rsidRDefault="000E02E1" w:rsidP="000E02E1">
            <w:pPr>
              <w:pStyle w:val="142"/>
              <w:jc w:val="right"/>
              <w:rPr>
                <w:rFonts w:hint="eastAsia"/>
                <w:snapToGrid/>
                <w:spacing w:val="-20"/>
              </w:rPr>
            </w:pPr>
            <w:r w:rsidRPr="00D83DFC">
              <w:rPr>
                <w:rFonts w:hint="eastAsia"/>
                <w:snapToGrid/>
                <w:spacing w:val="-20"/>
              </w:rPr>
              <w:t>3,637</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3,512</w:t>
            </w:r>
          </w:p>
        </w:tc>
        <w:tc>
          <w:tcPr>
            <w:tcW w:w="45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96.56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3,407</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1,063</w:t>
            </w:r>
          </w:p>
        </w:tc>
        <w:tc>
          <w:tcPr>
            <w:tcW w:w="391"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31.20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3,698</w:t>
            </w:r>
          </w:p>
        </w:tc>
      </w:tr>
      <w:tr w:rsidR="00CB092E" w:rsidRPr="0007493A" w:rsidTr="000E02E1">
        <w:trPr>
          <w:trHeight w:val="322"/>
        </w:trPr>
        <w:tc>
          <w:tcPr>
            <w:tcW w:w="1101" w:type="pct"/>
            <w:shd w:val="clear" w:color="auto" w:fill="auto"/>
            <w:noWrap/>
            <w:vAlign w:val="center"/>
            <w:hideMark/>
          </w:tcPr>
          <w:p w:rsidR="000E02E1" w:rsidRPr="00DB5E10" w:rsidRDefault="000E02E1" w:rsidP="000E02E1">
            <w:pPr>
              <w:pStyle w:val="142"/>
              <w:jc w:val="center"/>
              <w:rPr>
                <w:rFonts w:hint="eastAsia"/>
                <w:snapToGrid/>
                <w:spacing w:val="-20"/>
              </w:rPr>
            </w:pPr>
            <w:r w:rsidRPr="00DB5E10">
              <w:rPr>
                <w:rFonts w:hint="eastAsia"/>
                <w:snapToGrid/>
                <w:spacing w:val="-20"/>
              </w:rPr>
              <w:t>國立臺灣科學教育館</w:t>
            </w:r>
          </w:p>
        </w:tc>
        <w:tc>
          <w:tcPr>
            <w:tcW w:w="467" w:type="pct"/>
            <w:noWrap/>
            <w:hideMark/>
          </w:tcPr>
          <w:p w:rsidR="000E02E1" w:rsidRPr="00DB5E10" w:rsidRDefault="000E02E1" w:rsidP="000E02E1">
            <w:pPr>
              <w:pStyle w:val="142"/>
              <w:jc w:val="right"/>
              <w:rPr>
                <w:rFonts w:hint="eastAsia"/>
                <w:spacing w:val="-20"/>
              </w:rPr>
            </w:pPr>
            <w:r w:rsidRPr="00DB5E10">
              <w:rPr>
                <w:rFonts w:hint="eastAsia"/>
                <w:spacing w:val="-20"/>
              </w:rPr>
              <w:t xml:space="preserve">19,139 </w:t>
            </w:r>
          </w:p>
        </w:tc>
        <w:tc>
          <w:tcPr>
            <w:tcW w:w="494" w:type="pct"/>
            <w:shd w:val="clear" w:color="auto" w:fill="auto"/>
            <w:noWrap/>
            <w:vAlign w:val="center"/>
            <w:hideMark/>
          </w:tcPr>
          <w:p w:rsidR="000E02E1" w:rsidRPr="00D83DFC" w:rsidRDefault="000E02E1" w:rsidP="000E02E1">
            <w:pPr>
              <w:pStyle w:val="142"/>
              <w:jc w:val="right"/>
              <w:rPr>
                <w:rFonts w:hint="eastAsia"/>
                <w:snapToGrid/>
                <w:spacing w:val="-20"/>
              </w:rPr>
            </w:pPr>
            <w:r w:rsidRPr="00D83DFC">
              <w:rPr>
                <w:rFonts w:hint="eastAsia"/>
                <w:snapToGrid/>
                <w:spacing w:val="-20"/>
              </w:rPr>
              <w:t>18,083</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18,069</w:t>
            </w:r>
          </w:p>
        </w:tc>
        <w:tc>
          <w:tcPr>
            <w:tcW w:w="45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99.92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21,083</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9,231</w:t>
            </w:r>
          </w:p>
        </w:tc>
        <w:tc>
          <w:tcPr>
            <w:tcW w:w="391"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43.78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17,892</w:t>
            </w:r>
          </w:p>
        </w:tc>
      </w:tr>
      <w:tr w:rsidR="00CB092E" w:rsidRPr="0007493A" w:rsidTr="000E02E1">
        <w:trPr>
          <w:trHeight w:val="322"/>
        </w:trPr>
        <w:tc>
          <w:tcPr>
            <w:tcW w:w="1101" w:type="pct"/>
            <w:shd w:val="clear" w:color="auto" w:fill="auto"/>
            <w:noWrap/>
            <w:vAlign w:val="center"/>
            <w:hideMark/>
          </w:tcPr>
          <w:p w:rsidR="000E02E1" w:rsidRPr="00DB5E10" w:rsidRDefault="000E02E1" w:rsidP="000E02E1">
            <w:pPr>
              <w:pStyle w:val="142"/>
              <w:jc w:val="center"/>
              <w:rPr>
                <w:rFonts w:hint="eastAsia"/>
                <w:snapToGrid/>
                <w:spacing w:val="-20"/>
              </w:rPr>
            </w:pPr>
            <w:r w:rsidRPr="00DB5E10">
              <w:rPr>
                <w:rFonts w:hint="eastAsia"/>
                <w:snapToGrid/>
                <w:spacing w:val="-20"/>
              </w:rPr>
              <w:t>國立臺灣圖書館</w:t>
            </w:r>
          </w:p>
        </w:tc>
        <w:tc>
          <w:tcPr>
            <w:tcW w:w="467" w:type="pct"/>
            <w:noWrap/>
            <w:hideMark/>
          </w:tcPr>
          <w:p w:rsidR="000E02E1" w:rsidRPr="00DB5E10" w:rsidRDefault="000E02E1" w:rsidP="000E02E1">
            <w:pPr>
              <w:pStyle w:val="142"/>
              <w:jc w:val="right"/>
              <w:rPr>
                <w:rFonts w:hint="eastAsia"/>
                <w:spacing w:val="-20"/>
              </w:rPr>
            </w:pPr>
            <w:r w:rsidRPr="00DB5E10">
              <w:rPr>
                <w:rFonts w:hint="eastAsia"/>
                <w:spacing w:val="-20"/>
              </w:rPr>
              <w:t xml:space="preserve">1,581 </w:t>
            </w:r>
          </w:p>
        </w:tc>
        <w:tc>
          <w:tcPr>
            <w:tcW w:w="494" w:type="pct"/>
            <w:shd w:val="clear" w:color="auto" w:fill="auto"/>
            <w:noWrap/>
            <w:vAlign w:val="center"/>
            <w:hideMark/>
          </w:tcPr>
          <w:p w:rsidR="000E02E1" w:rsidRPr="00D83DFC" w:rsidRDefault="000E02E1" w:rsidP="000E02E1">
            <w:pPr>
              <w:pStyle w:val="142"/>
              <w:jc w:val="right"/>
              <w:rPr>
                <w:rFonts w:hint="eastAsia"/>
                <w:snapToGrid/>
                <w:spacing w:val="-20"/>
              </w:rPr>
            </w:pPr>
            <w:r w:rsidRPr="00D83DFC">
              <w:rPr>
                <w:rFonts w:hint="eastAsia"/>
                <w:snapToGrid/>
                <w:spacing w:val="-20"/>
              </w:rPr>
              <w:t>1,800</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1,300</w:t>
            </w:r>
          </w:p>
        </w:tc>
        <w:tc>
          <w:tcPr>
            <w:tcW w:w="45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72.22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1,000</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0</w:t>
            </w:r>
          </w:p>
        </w:tc>
        <w:tc>
          <w:tcPr>
            <w:tcW w:w="391"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0.00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1,000</w:t>
            </w:r>
          </w:p>
        </w:tc>
      </w:tr>
      <w:tr w:rsidR="00CB092E" w:rsidRPr="0007493A" w:rsidTr="000E02E1">
        <w:trPr>
          <w:trHeight w:val="322"/>
        </w:trPr>
        <w:tc>
          <w:tcPr>
            <w:tcW w:w="1101" w:type="pct"/>
            <w:shd w:val="clear" w:color="auto" w:fill="auto"/>
            <w:noWrap/>
            <w:vAlign w:val="center"/>
            <w:hideMark/>
          </w:tcPr>
          <w:p w:rsidR="000E02E1" w:rsidRPr="00DB5E10" w:rsidRDefault="000E02E1" w:rsidP="000E02E1">
            <w:pPr>
              <w:pStyle w:val="142"/>
              <w:jc w:val="center"/>
              <w:rPr>
                <w:rFonts w:hint="eastAsia"/>
                <w:snapToGrid/>
                <w:spacing w:val="-20"/>
              </w:rPr>
            </w:pPr>
            <w:r w:rsidRPr="00DB5E10">
              <w:rPr>
                <w:rFonts w:hint="eastAsia"/>
                <w:snapToGrid/>
                <w:spacing w:val="-20"/>
              </w:rPr>
              <w:t>國立海洋科技博物館</w:t>
            </w:r>
          </w:p>
        </w:tc>
        <w:tc>
          <w:tcPr>
            <w:tcW w:w="467" w:type="pct"/>
            <w:noWrap/>
            <w:hideMark/>
          </w:tcPr>
          <w:p w:rsidR="000E02E1" w:rsidRPr="00DB5E10" w:rsidRDefault="000E02E1" w:rsidP="000E02E1">
            <w:pPr>
              <w:pStyle w:val="142"/>
              <w:jc w:val="right"/>
              <w:rPr>
                <w:rFonts w:hint="eastAsia"/>
                <w:spacing w:val="-20"/>
              </w:rPr>
            </w:pPr>
            <w:r w:rsidRPr="00DB5E10">
              <w:rPr>
                <w:rFonts w:hint="eastAsia"/>
                <w:spacing w:val="-20"/>
              </w:rPr>
              <w:t xml:space="preserve">7,600 </w:t>
            </w:r>
          </w:p>
        </w:tc>
        <w:tc>
          <w:tcPr>
            <w:tcW w:w="494" w:type="pct"/>
            <w:shd w:val="clear" w:color="auto" w:fill="auto"/>
            <w:noWrap/>
            <w:vAlign w:val="center"/>
            <w:hideMark/>
          </w:tcPr>
          <w:p w:rsidR="000E02E1" w:rsidRPr="00D83DFC" w:rsidRDefault="000E02E1" w:rsidP="000E02E1">
            <w:pPr>
              <w:pStyle w:val="142"/>
              <w:jc w:val="right"/>
              <w:rPr>
                <w:rFonts w:hint="eastAsia"/>
                <w:snapToGrid/>
                <w:spacing w:val="-20"/>
              </w:rPr>
            </w:pPr>
            <w:r w:rsidRPr="00D83DFC">
              <w:rPr>
                <w:rFonts w:hint="eastAsia"/>
                <w:snapToGrid/>
                <w:spacing w:val="-20"/>
              </w:rPr>
              <w:t>6,000</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7,533</w:t>
            </w:r>
          </w:p>
        </w:tc>
        <w:tc>
          <w:tcPr>
            <w:tcW w:w="45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125.55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6,000</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4,075</w:t>
            </w:r>
          </w:p>
        </w:tc>
        <w:tc>
          <w:tcPr>
            <w:tcW w:w="391"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67.92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6,000</w:t>
            </w:r>
          </w:p>
        </w:tc>
      </w:tr>
      <w:tr w:rsidR="00CB092E" w:rsidRPr="0007493A" w:rsidTr="000E02E1">
        <w:trPr>
          <w:trHeight w:val="322"/>
        </w:trPr>
        <w:tc>
          <w:tcPr>
            <w:tcW w:w="1101" w:type="pct"/>
            <w:shd w:val="clear" w:color="auto" w:fill="auto"/>
            <w:noWrap/>
            <w:vAlign w:val="center"/>
            <w:hideMark/>
          </w:tcPr>
          <w:p w:rsidR="000E02E1" w:rsidRPr="00DB5E10" w:rsidRDefault="000E02E1" w:rsidP="000E02E1">
            <w:pPr>
              <w:pStyle w:val="142"/>
              <w:jc w:val="center"/>
              <w:rPr>
                <w:rFonts w:hint="eastAsia"/>
                <w:snapToGrid/>
                <w:spacing w:val="-20"/>
              </w:rPr>
            </w:pPr>
            <w:r w:rsidRPr="00DB5E10">
              <w:rPr>
                <w:rFonts w:hint="eastAsia"/>
                <w:snapToGrid/>
                <w:spacing w:val="-20"/>
              </w:rPr>
              <w:t>合計</w:t>
            </w:r>
          </w:p>
        </w:tc>
        <w:tc>
          <w:tcPr>
            <w:tcW w:w="467" w:type="pct"/>
            <w:noWrap/>
            <w:hideMark/>
          </w:tcPr>
          <w:p w:rsidR="000E02E1" w:rsidRPr="00DB5E10" w:rsidRDefault="000E02E1" w:rsidP="000E02E1">
            <w:pPr>
              <w:pStyle w:val="142"/>
              <w:jc w:val="right"/>
              <w:rPr>
                <w:rFonts w:hint="eastAsia"/>
                <w:spacing w:val="-20"/>
              </w:rPr>
            </w:pPr>
            <w:r w:rsidRPr="00DB5E10">
              <w:rPr>
                <w:rFonts w:hint="eastAsia"/>
                <w:spacing w:val="-20"/>
              </w:rPr>
              <w:t>269,305</w:t>
            </w:r>
          </w:p>
        </w:tc>
        <w:tc>
          <w:tcPr>
            <w:tcW w:w="494" w:type="pct"/>
            <w:shd w:val="clear" w:color="auto" w:fill="auto"/>
            <w:noWrap/>
            <w:vAlign w:val="center"/>
            <w:hideMark/>
          </w:tcPr>
          <w:p w:rsidR="000E02E1" w:rsidRPr="00D83DFC" w:rsidRDefault="000E02E1" w:rsidP="000E02E1">
            <w:pPr>
              <w:pStyle w:val="142"/>
              <w:jc w:val="right"/>
              <w:rPr>
                <w:rFonts w:hint="eastAsia"/>
                <w:snapToGrid/>
                <w:spacing w:val="-20"/>
              </w:rPr>
            </w:pPr>
            <w:r w:rsidRPr="00D83DFC">
              <w:rPr>
                <w:rFonts w:hint="eastAsia"/>
                <w:snapToGrid/>
                <w:spacing w:val="-20"/>
              </w:rPr>
              <w:t>253,471</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294,373</w:t>
            </w:r>
          </w:p>
        </w:tc>
        <w:tc>
          <w:tcPr>
            <w:tcW w:w="45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116.14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230,208</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135,105</w:t>
            </w:r>
          </w:p>
        </w:tc>
        <w:tc>
          <w:tcPr>
            <w:tcW w:w="391"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 xml:space="preserve">58.69 </w:t>
            </w:r>
          </w:p>
        </w:tc>
        <w:tc>
          <w:tcPr>
            <w:tcW w:w="523" w:type="pct"/>
            <w:shd w:val="clear" w:color="auto" w:fill="auto"/>
            <w:noWrap/>
            <w:vAlign w:val="center"/>
            <w:hideMark/>
          </w:tcPr>
          <w:p w:rsidR="000E02E1" w:rsidRPr="00C9398D" w:rsidRDefault="000E02E1" w:rsidP="000E02E1">
            <w:pPr>
              <w:pStyle w:val="142"/>
              <w:jc w:val="right"/>
              <w:rPr>
                <w:rFonts w:hint="eastAsia"/>
              </w:rPr>
            </w:pPr>
            <w:r w:rsidRPr="00C9398D">
              <w:rPr>
                <w:rFonts w:hint="eastAsia"/>
              </w:rPr>
              <w:t>234,089</w:t>
            </w:r>
          </w:p>
        </w:tc>
      </w:tr>
    </w:tbl>
    <w:p w:rsidR="00904869" w:rsidRDefault="000B674A" w:rsidP="0025145A">
      <w:pPr>
        <w:pStyle w:val="142"/>
        <w:ind w:left="851" w:hangingChars="350" w:hanging="851"/>
        <w:rPr>
          <w:rFonts w:hAnsi="標楷體"/>
          <w:lang w:eastAsia="zh-HK"/>
        </w:rPr>
      </w:pPr>
      <w:r>
        <w:rPr>
          <w:rFonts w:hAnsi="標楷體" w:hint="eastAsia"/>
          <w:lang w:eastAsia="zh-HK"/>
        </w:rPr>
        <w:t>說</w:t>
      </w:r>
      <w:r>
        <w:rPr>
          <w:rFonts w:hAnsi="標楷體" w:hint="eastAsia"/>
        </w:rPr>
        <w:t xml:space="preserve">    </w:t>
      </w:r>
      <w:r>
        <w:rPr>
          <w:rFonts w:hAnsi="標楷體" w:hint="eastAsia"/>
          <w:lang w:eastAsia="zh-HK"/>
        </w:rPr>
        <w:t>明：</w:t>
      </w:r>
      <w:r w:rsidR="00904869">
        <w:rPr>
          <w:rFonts w:hAnsi="標楷體" w:hint="eastAsia"/>
        </w:rPr>
        <w:t>1</w:t>
      </w:r>
      <w:r w:rsidR="00904869">
        <w:rPr>
          <w:rFonts w:hAnsi="標楷體"/>
        </w:rPr>
        <w:t>.</w:t>
      </w:r>
      <w:r w:rsidRPr="0002233E">
        <w:rPr>
          <w:rFonts w:hAnsi="標楷體" w:hint="eastAsia"/>
          <w:lang w:eastAsia="zh-HK"/>
        </w:rPr>
        <w:t>1</w:t>
      </w:r>
      <w:r>
        <w:rPr>
          <w:rFonts w:hAnsi="標楷體" w:hint="eastAsia"/>
        </w:rPr>
        <w:t>1</w:t>
      </w:r>
      <w:r w:rsidR="00904869">
        <w:rPr>
          <w:rFonts w:hAnsi="標楷體"/>
        </w:rPr>
        <w:t>3</w:t>
      </w:r>
      <w:r w:rsidRPr="0002233E">
        <w:rPr>
          <w:rFonts w:hAnsi="標楷體" w:hint="eastAsia"/>
          <w:lang w:eastAsia="zh-HK"/>
        </w:rPr>
        <w:t>年度</w:t>
      </w:r>
      <w:r w:rsidR="00D21D78">
        <w:rPr>
          <w:rFonts w:hAnsi="標楷體" w:hint="eastAsia"/>
        </w:rPr>
        <w:t>執行數</w:t>
      </w:r>
      <w:r w:rsidRPr="0002233E">
        <w:rPr>
          <w:rFonts w:hAnsi="標楷體" w:hint="eastAsia"/>
          <w:lang w:eastAsia="zh-HK"/>
        </w:rPr>
        <w:t>為截至</w:t>
      </w:r>
      <w:r>
        <w:rPr>
          <w:rFonts w:hAnsi="標楷體" w:hint="eastAsia"/>
        </w:rPr>
        <w:t>7</w:t>
      </w:r>
      <w:r w:rsidRPr="0002233E">
        <w:rPr>
          <w:rFonts w:hAnsi="標楷體" w:hint="eastAsia"/>
          <w:lang w:eastAsia="zh-HK"/>
        </w:rPr>
        <w:t>月底</w:t>
      </w:r>
      <w:r>
        <w:rPr>
          <w:rFonts w:hAnsi="標楷體" w:hint="eastAsia"/>
          <w:lang w:eastAsia="zh-HK"/>
        </w:rPr>
        <w:t>止</w:t>
      </w:r>
      <w:r w:rsidRPr="0002233E">
        <w:rPr>
          <w:rFonts w:hAnsi="標楷體" w:hint="eastAsia"/>
          <w:lang w:eastAsia="zh-HK"/>
        </w:rPr>
        <w:t>之統計</w:t>
      </w:r>
      <w:r w:rsidR="00D21D78">
        <w:rPr>
          <w:rFonts w:hAnsi="標楷體" w:hint="eastAsia"/>
        </w:rPr>
        <w:t>數據</w:t>
      </w:r>
      <w:r w:rsidRPr="0002233E">
        <w:rPr>
          <w:rFonts w:hAnsi="標楷體" w:hint="eastAsia"/>
          <w:lang w:eastAsia="zh-HK"/>
        </w:rPr>
        <w:t>。</w:t>
      </w:r>
    </w:p>
    <w:p w:rsidR="000B674A" w:rsidRDefault="00904869" w:rsidP="00904869">
      <w:pPr>
        <w:pStyle w:val="142"/>
        <w:ind w:leftChars="300" w:left="850" w:firstLineChars="140" w:firstLine="340"/>
        <w:rPr>
          <w:rFonts w:hAnsi="標楷體"/>
          <w:lang w:eastAsia="zh-HK"/>
        </w:rPr>
      </w:pPr>
      <w:r>
        <w:rPr>
          <w:rFonts w:hAnsi="標楷體"/>
          <w:lang w:eastAsia="zh-HK"/>
        </w:rPr>
        <w:t>2.</w:t>
      </w:r>
      <w:r w:rsidRPr="00904869">
        <w:rPr>
          <w:rFonts w:hAnsi="標楷體" w:hint="eastAsia"/>
          <w:lang w:eastAsia="zh-HK"/>
        </w:rPr>
        <w:t>國立臺灣圖書館為陽明山中山樓舉辦展覽經費</w:t>
      </w:r>
      <w:r>
        <w:rPr>
          <w:rFonts w:hAnsi="標楷體" w:hint="eastAsia"/>
          <w:lang w:eastAsia="zh-HK"/>
        </w:rPr>
        <w:t>。</w:t>
      </w:r>
    </w:p>
    <w:p w:rsidR="000B674A" w:rsidRDefault="000B674A" w:rsidP="0025145A">
      <w:pPr>
        <w:pStyle w:val="142"/>
        <w:ind w:left="851" w:hangingChars="350" w:hanging="851"/>
        <w:rPr>
          <w:rFonts w:hAnsi="標楷體"/>
        </w:rPr>
      </w:pPr>
      <w:r>
        <w:rPr>
          <w:rFonts w:hAnsi="標楷體" w:hint="eastAsia"/>
        </w:rPr>
        <w:t>資料來源：彙整自教育部所屬基金提供資料。</w:t>
      </w:r>
    </w:p>
    <w:p w:rsidR="000B674A" w:rsidRPr="00E80781" w:rsidRDefault="000B674A" w:rsidP="000B674A">
      <w:pPr>
        <w:pStyle w:val="a4"/>
        <w:ind w:left="849" w:hanging="283"/>
        <w:rPr>
          <w:rFonts w:hAnsi="標楷體"/>
          <w:b/>
        </w:rPr>
      </w:pPr>
      <w:r w:rsidRPr="00E80781">
        <w:rPr>
          <w:rFonts w:hAnsi="標楷體" w:hint="eastAsia"/>
          <w:b/>
        </w:rPr>
        <w:t>(二)</w:t>
      </w:r>
      <w:r w:rsidR="008C09DD" w:rsidRPr="008C09DD">
        <w:rPr>
          <w:rFonts w:hAnsi="標楷體" w:hint="eastAsia"/>
          <w:b/>
        </w:rPr>
        <w:t>多數館所</w:t>
      </w:r>
      <w:r w:rsidR="00D84EFB" w:rsidRPr="00D84EFB">
        <w:rPr>
          <w:rFonts w:hAnsi="標楷體" w:hint="eastAsia"/>
          <w:b/>
        </w:rPr>
        <w:t>11</w:t>
      </w:r>
      <w:r w:rsidR="00904869">
        <w:rPr>
          <w:rFonts w:hAnsi="標楷體"/>
          <w:b/>
        </w:rPr>
        <w:t>2</w:t>
      </w:r>
      <w:r w:rsidR="00D84EFB" w:rsidRPr="00D84EFB">
        <w:rPr>
          <w:rFonts w:hAnsi="標楷體" w:hint="eastAsia"/>
          <w:b/>
        </w:rPr>
        <w:t>年度參觀人次</w:t>
      </w:r>
      <w:r w:rsidR="00904869">
        <w:rPr>
          <w:rFonts w:hAnsi="標楷體" w:hint="eastAsia"/>
          <w:b/>
        </w:rPr>
        <w:t>仍</w:t>
      </w:r>
      <w:r w:rsidR="00D84EFB" w:rsidRPr="00D84EFB">
        <w:rPr>
          <w:rFonts w:hAnsi="標楷體" w:hint="eastAsia"/>
          <w:b/>
        </w:rPr>
        <w:t>未回復至</w:t>
      </w:r>
      <w:r w:rsidR="00CB092E" w:rsidRPr="00CB092E">
        <w:rPr>
          <w:rFonts w:hAnsi="標楷體"/>
          <w:b/>
        </w:rPr>
        <w:t>COVID-19</w:t>
      </w:r>
      <w:r w:rsidR="00D84EFB" w:rsidRPr="00D84EFB">
        <w:rPr>
          <w:rFonts w:hAnsi="標楷體" w:hint="eastAsia"/>
          <w:b/>
        </w:rPr>
        <w:t>疫情前，允宜加強各類展覽策劃與執行</w:t>
      </w:r>
    </w:p>
    <w:p w:rsidR="000B674A" w:rsidRDefault="00DE1A4A" w:rsidP="000B674A">
      <w:pPr>
        <w:pStyle w:val="22"/>
        <w:ind w:left="850" w:firstLine="566"/>
        <w:rPr>
          <w:rFonts w:hAnsi="標楷體"/>
        </w:rPr>
      </w:pPr>
      <w:r w:rsidRPr="00DE1A4A">
        <w:rPr>
          <w:rFonts w:hAnsi="標楷體" w:hint="eastAsia"/>
        </w:rPr>
        <w:t>110年5月至7月</w:t>
      </w:r>
      <w:r w:rsidR="0025145A">
        <w:rPr>
          <w:rFonts w:hAnsi="標楷體" w:hint="eastAsia"/>
        </w:rPr>
        <w:t>間</w:t>
      </w:r>
      <w:r w:rsidR="00676459">
        <w:rPr>
          <w:rFonts w:hAnsi="標楷體" w:hint="eastAsia"/>
        </w:rPr>
        <w:t>因應</w:t>
      </w:r>
      <w:r w:rsidR="00676459" w:rsidRPr="00676459">
        <w:rPr>
          <w:rFonts w:hAnsi="標楷體"/>
        </w:rPr>
        <w:t>COVID-19</w:t>
      </w:r>
      <w:r w:rsidR="00676459">
        <w:rPr>
          <w:rFonts w:hAnsi="標楷體" w:hint="eastAsia"/>
        </w:rPr>
        <w:t>疫情</w:t>
      </w:r>
      <w:r w:rsidRPr="00DE1A4A">
        <w:rPr>
          <w:rFonts w:hAnsi="標楷體" w:hint="eastAsia"/>
        </w:rPr>
        <w:t>防疫</w:t>
      </w:r>
      <w:r w:rsidR="00676459">
        <w:rPr>
          <w:rFonts w:hAnsi="標楷體" w:hint="eastAsia"/>
        </w:rPr>
        <w:t>措施</w:t>
      </w:r>
      <w:r w:rsidRPr="00DE1A4A">
        <w:rPr>
          <w:rFonts w:hAnsi="標楷體" w:hint="eastAsia"/>
        </w:rPr>
        <w:t>，教育部所屬基金各館所全面暫停開放，</w:t>
      </w:r>
      <w:r w:rsidRPr="00691D9F">
        <w:rPr>
          <w:rFonts w:hAnsi="標楷體" w:hint="eastAsia"/>
        </w:rPr>
        <w:t>致110年度參觀人次大幅減少，總參觀人次由108年度</w:t>
      </w:r>
      <w:r w:rsidR="00A73BA2" w:rsidRPr="00691D9F">
        <w:rPr>
          <w:rFonts w:hAnsi="標楷體"/>
        </w:rPr>
        <w:t>1,16</w:t>
      </w:r>
      <w:r w:rsidR="005C7A9D">
        <w:rPr>
          <w:rFonts w:hAnsi="標楷體"/>
        </w:rPr>
        <w:t>6</w:t>
      </w:r>
      <w:r w:rsidR="00A73BA2" w:rsidRPr="00691D9F">
        <w:rPr>
          <w:rFonts w:hAnsi="標楷體" w:hint="eastAsia"/>
        </w:rPr>
        <w:t>萬</w:t>
      </w:r>
      <w:r w:rsidR="005C7A9D">
        <w:rPr>
          <w:rFonts w:hAnsi="標楷體"/>
        </w:rPr>
        <w:t>8,708</w:t>
      </w:r>
      <w:r w:rsidR="00A73BA2" w:rsidRPr="00691D9F">
        <w:rPr>
          <w:rFonts w:hAnsi="標楷體" w:hint="eastAsia"/>
        </w:rPr>
        <w:t xml:space="preserve"> 人次</w:t>
      </w:r>
      <w:r w:rsidR="000B674A" w:rsidRPr="00691D9F">
        <w:rPr>
          <w:rFonts w:hAnsi="標楷體" w:hint="eastAsia"/>
        </w:rPr>
        <w:t>，</w:t>
      </w:r>
      <w:r w:rsidR="0025145A">
        <w:rPr>
          <w:rFonts w:hAnsi="標楷體" w:hint="eastAsia"/>
        </w:rPr>
        <w:t>大</w:t>
      </w:r>
      <w:r w:rsidR="00A73BA2" w:rsidRPr="00691D9F">
        <w:rPr>
          <w:rFonts w:hAnsi="標楷體" w:hint="eastAsia"/>
        </w:rPr>
        <w:t>幅減為1</w:t>
      </w:r>
      <w:r w:rsidR="00A73BA2" w:rsidRPr="00691D9F">
        <w:rPr>
          <w:rFonts w:hAnsi="標楷體"/>
        </w:rPr>
        <w:t>10</w:t>
      </w:r>
      <w:r w:rsidR="00A73BA2" w:rsidRPr="00691D9F">
        <w:rPr>
          <w:rFonts w:hAnsi="標楷體" w:hint="eastAsia"/>
        </w:rPr>
        <w:t>年度</w:t>
      </w:r>
      <w:r w:rsidR="005C7A9D">
        <w:rPr>
          <w:rFonts w:hAnsi="標楷體"/>
        </w:rPr>
        <w:t>604</w:t>
      </w:r>
      <w:r w:rsidR="00A73BA2" w:rsidRPr="00691D9F">
        <w:rPr>
          <w:rFonts w:hAnsi="標楷體" w:hint="eastAsia"/>
        </w:rPr>
        <w:t>萬</w:t>
      </w:r>
      <w:r w:rsidR="005C7A9D">
        <w:rPr>
          <w:rFonts w:hAnsi="標楷體"/>
        </w:rPr>
        <w:t>2,959</w:t>
      </w:r>
      <w:r w:rsidR="00A73BA2" w:rsidRPr="00691D9F">
        <w:rPr>
          <w:rFonts w:hAnsi="標楷體" w:hint="eastAsia"/>
        </w:rPr>
        <w:t>人次</w:t>
      </w:r>
      <w:r w:rsidR="000B674A" w:rsidRPr="00691D9F">
        <w:rPr>
          <w:rFonts w:hAnsi="標楷體" w:hint="eastAsia"/>
        </w:rPr>
        <w:t>，</w:t>
      </w:r>
      <w:r w:rsidR="001B31D4">
        <w:rPr>
          <w:rFonts w:hAnsi="標楷體" w:hint="eastAsia"/>
        </w:rPr>
        <w:t>1</w:t>
      </w:r>
      <w:r w:rsidR="001B31D4">
        <w:rPr>
          <w:rFonts w:hAnsi="標楷體"/>
        </w:rPr>
        <w:t>12</w:t>
      </w:r>
      <w:r w:rsidR="001B31D4">
        <w:rPr>
          <w:rFonts w:hAnsi="標楷體" w:hint="eastAsia"/>
        </w:rPr>
        <w:t>年</w:t>
      </w:r>
      <w:r w:rsidR="001B31D4" w:rsidRPr="001B31D4">
        <w:rPr>
          <w:rFonts w:hAnsi="標楷體" w:hint="eastAsia"/>
        </w:rPr>
        <w:t>5月1日防疫降階</w:t>
      </w:r>
      <w:r w:rsidR="001B31D4">
        <w:rPr>
          <w:rFonts w:hAnsi="標楷體" w:hint="eastAsia"/>
        </w:rPr>
        <w:t>，</w:t>
      </w:r>
      <w:r w:rsidR="00904869">
        <w:rPr>
          <w:rFonts w:hAnsi="標楷體" w:hint="eastAsia"/>
        </w:rPr>
        <w:t>1</w:t>
      </w:r>
      <w:r w:rsidR="00904869">
        <w:rPr>
          <w:rFonts w:hAnsi="標楷體"/>
        </w:rPr>
        <w:t>12</w:t>
      </w:r>
      <w:r w:rsidR="00904869">
        <w:rPr>
          <w:rFonts w:hAnsi="標楷體" w:hint="eastAsia"/>
        </w:rPr>
        <w:t>年度</w:t>
      </w:r>
      <w:r w:rsidR="000E02E1">
        <w:rPr>
          <w:rFonts w:hAnsi="標楷體" w:hint="eastAsia"/>
        </w:rPr>
        <w:t>整體</w:t>
      </w:r>
      <w:r w:rsidR="001B31D4">
        <w:rPr>
          <w:rFonts w:hAnsi="標楷體" w:hint="eastAsia"/>
        </w:rPr>
        <w:t>參觀人次</w:t>
      </w:r>
      <w:r w:rsidR="00904869">
        <w:rPr>
          <w:rFonts w:hAnsi="標楷體" w:hint="eastAsia"/>
        </w:rPr>
        <w:t>增為1</w:t>
      </w:r>
      <w:r w:rsidR="00904869">
        <w:rPr>
          <w:rFonts w:hAnsi="標楷體"/>
        </w:rPr>
        <w:t>,126</w:t>
      </w:r>
      <w:r w:rsidR="00904869">
        <w:rPr>
          <w:rFonts w:hAnsi="標楷體" w:hint="eastAsia"/>
        </w:rPr>
        <w:t>萬3</w:t>
      </w:r>
      <w:r w:rsidR="00904869">
        <w:rPr>
          <w:rFonts w:hAnsi="標楷體"/>
        </w:rPr>
        <w:t>,651</w:t>
      </w:r>
      <w:r w:rsidR="00904869">
        <w:rPr>
          <w:rFonts w:hAnsi="標楷體" w:hint="eastAsia"/>
        </w:rPr>
        <w:t>人次</w:t>
      </w:r>
      <w:r w:rsidR="00207340" w:rsidRPr="00207340">
        <w:rPr>
          <w:rFonts w:hAnsi="標楷體" w:hint="eastAsia"/>
        </w:rPr>
        <w:t>(詳表2)</w:t>
      </w:r>
      <w:r w:rsidR="00904869">
        <w:rPr>
          <w:rFonts w:hAnsi="標楷體" w:hint="eastAsia"/>
        </w:rPr>
        <w:t>，</w:t>
      </w:r>
      <w:r w:rsidR="001B31D4">
        <w:rPr>
          <w:rFonts w:hAnsi="標楷體" w:hint="eastAsia"/>
        </w:rPr>
        <w:t>仍</w:t>
      </w:r>
      <w:r w:rsidR="00D84EFB" w:rsidRPr="00D84EFB">
        <w:rPr>
          <w:rFonts w:hAnsi="標楷體" w:hint="eastAsia"/>
        </w:rPr>
        <w:t>未回復至</w:t>
      </w:r>
      <w:r w:rsidR="00676459" w:rsidRPr="00676459">
        <w:rPr>
          <w:rFonts w:hAnsi="標楷體"/>
        </w:rPr>
        <w:t>COVID-19</w:t>
      </w:r>
      <w:r w:rsidR="00D84EFB" w:rsidRPr="00D84EFB">
        <w:rPr>
          <w:rFonts w:hAnsi="標楷體" w:hint="eastAsia"/>
        </w:rPr>
        <w:t>疫情前</w:t>
      </w:r>
      <w:r w:rsidR="00820A58">
        <w:rPr>
          <w:rFonts w:hAnsi="標楷體" w:hint="eastAsia"/>
        </w:rPr>
        <w:t>(</w:t>
      </w:r>
      <w:r w:rsidR="00D84EFB">
        <w:rPr>
          <w:rFonts w:hAnsi="標楷體" w:hint="eastAsia"/>
        </w:rPr>
        <w:t>1</w:t>
      </w:r>
      <w:r w:rsidR="00D84EFB">
        <w:rPr>
          <w:rFonts w:hAnsi="標楷體"/>
        </w:rPr>
        <w:t>08</w:t>
      </w:r>
      <w:r w:rsidR="00D84EFB">
        <w:rPr>
          <w:rFonts w:hAnsi="標楷體" w:hint="eastAsia"/>
        </w:rPr>
        <w:t>年度</w:t>
      </w:r>
      <w:r w:rsidR="00820A58">
        <w:rPr>
          <w:rFonts w:hAnsi="標楷體" w:hint="eastAsia"/>
        </w:rPr>
        <w:t>)</w:t>
      </w:r>
      <w:r w:rsidR="00D84EFB">
        <w:rPr>
          <w:rFonts w:hAnsi="標楷體" w:hint="eastAsia"/>
        </w:rPr>
        <w:t>水平</w:t>
      </w:r>
      <w:r w:rsidR="00676459">
        <w:rPr>
          <w:rFonts w:hAnsi="標楷體" w:hint="eastAsia"/>
        </w:rPr>
        <w:t>；</w:t>
      </w:r>
      <w:r w:rsidR="0006559A">
        <w:rPr>
          <w:rFonts w:hAnsi="標楷體" w:hint="eastAsia"/>
        </w:rPr>
        <w:t>由</w:t>
      </w:r>
      <w:r w:rsidR="00691D9F" w:rsidRPr="00691D9F">
        <w:rPr>
          <w:rFonts w:hAnsi="標楷體" w:hint="eastAsia"/>
        </w:rPr>
        <w:t>個別館所觀之，1</w:t>
      </w:r>
      <w:r w:rsidR="00691D9F" w:rsidRPr="00691D9F">
        <w:rPr>
          <w:rFonts w:hAnsi="標楷體"/>
        </w:rPr>
        <w:t>1</w:t>
      </w:r>
      <w:r w:rsidR="00904869">
        <w:rPr>
          <w:rFonts w:hAnsi="標楷體"/>
        </w:rPr>
        <w:t>2</w:t>
      </w:r>
      <w:r w:rsidR="00691D9F" w:rsidRPr="00691D9F">
        <w:rPr>
          <w:rFonts w:hAnsi="標楷體" w:hint="eastAsia"/>
        </w:rPr>
        <w:t>年度</w:t>
      </w:r>
      <w:r w:rsidR="00A61E8E">
        <w:rPr>
          <w:rFonts w:hAnsi="標楷體" w:hint="eastAsia"/>
        </w:rPr>
        <w:t>僅</w:t>
      </w:r>
      <w:r w:rsidR="00904869">
        <w:rPr>
          <w:rFonts w:hAnsi="標楷體" w:hint="eastAsia"/>
        </w:rPr>
        <w:t>科博館及</w:t>
      </w:r>
      <w:r w:rsidR="00691D9F" w:rsidRPr="00691D9F">
        <w:rPr>
          <w:rFonts w:hAnsi="標楷體" w:hint="eastAsia"/>
        </w:rPr>
        <w:t>海</w:t>
      </w:r>
      <w:r w:rsidR="00D84EFB">
        <w:rPr>
          <w:rFonts w:hAnsi="標楷體" w:hint="eastAsia"/>
        </w:rPr>
        <w:t>科</w:t>
      </w:r>
      <w:r w:rsidR="00691D9F" w:rsidRPr="00691D9F">
        <w:rPr>
          <w:rFonts w:hAnsi="標楷體" w:hint="eastAsia"/>
        </w:rPr>
        <w:t>館參觀人次</w:t>
      </w:r>
      <w:r w:rsidR="00D84EFB" w:rsidRPr="00D84EFB">
        <w:rPr>
          <w:rFonts w:hAnsi="標楷體" w:hint="eastAsia"/>
        </w:rPr>
        <w:t>回復至</w:t>
      </w:r>
      <w:r w:rsidR="00676459" w:rsidRPr="00676459">
        <w:rPr>
          <w:rFonts w:hAnsi="標楷體"/>
        </w:rPr>
        <w:t>COVID-19</w:t>
      </w:r>
      <w:r w:rsidR="00D84EFB" w:rsidRPr="00D84EFB">
        <w:rPr>
          <w:rFonts w:hAnsi="標楷體" w:hint="eastAsia"/>
        </w:rPr>
        <w:t>疫情前</w:t>
      </w:r>
      <w:r w:rsidR="00D84EFB">
        <w:rPr>
          <w:rFonts w:hAnsi="標楷體" w:hint="eastAsia"/>
        </w:rPr>
        <w:t>。</w:t>
      </w:r>
      <w:r w:rsidR="00676459">
        <w:rPr>
          <w:rFonts w:hAnsi="標楷體" w:hint="eastAsia"/>
        </w:rPr>
        <w:t>至</w:t>
      </w:r>
      <w:r w:rsidR="00D84EFB">
        <w:rPr>
          <w:rFonts w:hAnsi="標楷體" w:hint="eastAsia"/>
        </w:rPr>
        <w:t>1</w:t>
      </w:r>
      <w:r w:rsidR="00D84EFB">
        <w:rPr>
          <w:rFonts w:hAnsi="標楷體"/>
        </w:rPr>
        <w:t>1</w:t>
      </w:r>
      <w:r w:rsidR="00904869">
        <w:rPr>
          <w:rFonts w:hAnsi="標楷體"/>
        </w:rPr>
        <w:t>3</w:t>
      </w:r>
      <w:r w:rsidR="00D84EFB">
        <w:rPr>
          <w:rFonts w:hAnsi="標楷體" w:hint="eastAsia"/>
        </w:rPr>
        <w:t>年1至7月參觀人次6</w:t>
      </w:r>
      <w:r w:rsidR="00D84EFB">
        <w:rPr>
          <w:rFonts w:hAnsi="標楷體"/>
        </w:rPr>
        <w:t>4</w:t>
      </w:r>
      <w:r w:rsidR="00904869">
        <w:rPr>
          <w:rFonts w:hAnsi="標楷體"/>
        </w:rPr>
        <w:t>8</w:t>
      </w:r>
      <w:r w:rsidR="00D84EFB">
        <w:rPr>
          <w:rFonts w:hAnsi="標楷體" w:hint="eastAsia"/>
        </w:rPr>
        <w:t>萬</w:t>
      </w:r>
      <w:r w:rsidR="00904869">
        <w:rPr>
          <w:rFonts w:hAnsi="標楷體"/>
        </w:rPr>
        <w:t>435</w:t>
      </w:r>
      <w:r w:rsidR="00D84EFB">
        <w:rPr>
          <w:rFonts w:hAnsi="標楷體" w:hint="eastAsia"/>
        </w:rPr>
        <w:t>人次，</w:t>
      </w:r>
      <w:r w:rsidR="00A61E8E">
        <w:rPr>
          <w:rFonts w:hAnsi="標楷體" w:hint="eastAsia"/>
        </w:rPr>
        <w:t>如換算成全年度</w:t>
      </w:r>
      <w:r w:rsidR="00D84EFB">
        <w:rPr>
          <w:rFonts w:hAnsi="標楷體" w:hint="eastAsia"/>
        </w:rPr>
        <w:t>占1</w:t>
      </w:r>
      <w:r w:rsidR="00D84EFB">
        <w:rPr>
          <w:rFonts w:hAnsi="標楷體"/>
        </w:rPr>
        <w:t>08</w:t>
      </w:r>
      <w:r w:rsidR="00D84EFB">
        <w:rPr>
          <w:rFonts w:hAnsi="標楷體" w:hint="eastAsia"/>
        </w:rPr>
        <w:t>年度</w:t>
      </w:r>
      <w:r w:rsidR="00D84EFB">
        <w:rPr>
          <w:rFonts w:hAnsi="標楷體" w:hint="eastAsia"/>
        </w:rPr>
        <w:lastRenderedPageBreak/>
        <w:t>總參觀人次之</w:t>
      </w:r>
      <w:r w:rsidR="00A61E8E">
        <w:rPr>
          <w:rFonts w:hAnsi="標楷體"/>
        </w:rPr>
        <w:t>95.</w:t>
      </w:r>
      <w:r w:rsidR="00904869">
        <w:rPr>
          <w:rFonts w:hAnsi="標楷體"/>
        </w:rPr>
        <w:t>21</w:t>
      </w:r>
      <w:r w:rsidR="000B674A" w:rsidRPr="00691D9F">
        <w:rPr>
          <w:rFonts w:hAnsi="標楷體" w:hint="eastAsia"/>
        </w:rPr>
        <w:t>%</w:t>
      </w:r>
      <w:r w:rsidR="00C35F11">
        <w:rPr>
          <w:rStyle w:val="af7"/>
          <w:rFonts w:hAnsi="標楷體"/>
        </w:rPr>
        <w:footnoteReference w:id="2"/>
      </w:r>
      <w:r w:rsidR="00D84EFB">
        <w:rPr>
          <w:rFonts w:hAnsi="標楷體" w:hint="eastAsia"/>
        </w:rPr>
        <w:t>，</w:t>
      </w:r>
      <w:r w:rsidR="00676459" w:rsidRPr="00676459">
        <w:rPr>
          <w:rFonts w:hAnsi="標楷體" w:hint="eastAsia"/>
        </w:rPr>
        <w:t>允宜加強各類展覽策劃與執行</w:t>
      </w:r>
      <w:r w:rsidR="00676459">
        <w:rPr>
          <w:rFonts w:hAnsi="標楷體" w:hint="eastAsia"/>
        </w:rPr>
        <w:t>，以</w:t>
      </w:r>
      <w:r w:rsidR="00D84EFB" w:rsidRPr="00D84EFB">
        <w:rPr>
          <w:rFonts w:hAnsi="標楷體" w:hint="eastAsia"/>
        </w:rPr>
        <w:t>提升館藏特色資源效用</w:t>
      </w:r>
      <w:r w:rsidR="000B674A" w:rsidRPr="00C069BA">
        <w:rPr>
          <w:rFonts w:hAnsi="標楷體" w:hint="eastAsia"/>
        </w:rPr>
        <w:t>。</w:t>
      </w:r>
    </w:p>
    <w:p w:rsidR="008C09DD" w:rsidRDefault="008C09DD" w:rsidP="00F245CA">
      <w:pPr>
        <w:ind w:left="566" w:firstLine="566"/>
      </w:pPr>
      <w:r>
        <w:rPr>
          <w:rFonts w:hint="eastAsia"/>
        </w:rPr>
        <w:t>綜上，教育部所屬基金</w:t>
      </w:r>
      <w:r w:rsidRPr="006444E2">
        <w:rPr>
          <w:rFonts w:hint="eastAsia"/>
        </w:rPr>
        <w:t>受</w:t>
      </w:r>
      <w:r w:rsidR="00676459" w:rsidRPr="00676459">
        <w:t>COVID-19</w:t>
      </w:r>
      <w:r>
        <w:rPr>
          <w:rFonts w:hint="eastAsia"/>
        </w:rPr>
        <w:t>疫情</w:t>
      </w:r>
      <w:r w:rsidRPr="006444E2">
        <w:rPr>
          <w:rFonts w:hint="eastAsia"/>
        </w:rPr>
        <w:t>影響</w:t>
      </w:r>
      <w:r>
        <w:rPr>
          <w:rFonts w:ascii="新細明體" w:eastAsia="新細明體" w:hAnsi="新細明體" w:hint="eastAsia"/>
        </w:rPr>
        <w:t>，</w:t>
      </w:r>
      <w:r w:rsidRPr="006444E2">
        <w:rPr>
          <w:rFonts w:hint="eastAsia"/>
        </w:rPr>
        <w:t>110年度</w:t>
      </w:r>
      <w:r>
        <w:rPr>
          <w:rFonts w:hint="eastAsia"/>
        </w:rPr>
        <w:t>整體</w:t>
      </w:r>
      <w:r w:rsidRPr="006444E2">
        <w:rPr>
          <w:rFonts w:hint="eastAsia"/>
        </w:rPr>
        <w:t>參觀人次大幅減少，</w:t>
      </w:r>
      <w:r>
        <w:rPr>
          <w:rFonts w:hint="eastAsia"/>
        </w:rPr>
        <w:t>1</w:t>
      </w:r>
      <w:r>
        <w:t>1</w:t>
      </w:r>
      <w:r w:rsidR="00904869">
        <w:t>2</w:t>
      </w:r>
      <w:r>
        <w:rPr>
          <w:rFonts w:hint="eastAsia"/>
        </w:rPr>
        <w:t>年度雖</w:t>
      </w:r>
      <w:r w:rsidR="0006559A">
        <w:rPr>
          <w:rFonts w:hint="eastAsia"/>
        </w:rPr>
        <w:t>回升但</w:t>
      </w:r>
      <w:r>
        <w:rPr>
          <w:rFonts w:hint="eastAsia"/>
        </w:rPr>
        <w:t>仍</w:t>
      </w:r>
      <w:r w:rsidRPr="00083928">
        <w:rPr>
          <w:rFonts w:hint="eastAsia"/>
        </w:rPr>
        <w:t>未回復至</w:t>
      </w:r>
      <w:r w:rsidR="00676459" w:rsidRPr="00676459">
        <w:t>COVID-19</w:t>
      </w:r>
      <w:r w:rsidRPr="00083928">
        <w:rPr>
          <w:rFonts w:hint="eastAsia"/>
        </w:rPr>
        <w:t>疫情前</w:t>
      </w:r>
      <w:r>
        <w:rPr>
          <w:rFonts w:hint="eastAsia"/>
        </w:rPr>
        <w:t>之水平</w:t>
      </w:r>
      <w:r>
        <w:rPr>
          <w:rFonts w:hAnsi="標楷體" w:hint="eastAsia"/>
        </w:rPr>
        <w:t>，</w:t>
      </w:r>
      <w:r w:rsidRPr="008401CC">
        <w:rPr>
          <w:rFonts w:hint="eastAsia"/>
        </w:rPr>
        <w:t>各館所允宜妥善</w:t>
      </w:r>
      <w:r>
        <w:rPr>
          <w:rFonts w:hint="eastAsia"/>
        </w:rPr>
        <w:t>運</w:t>
      </w:r>
      <w:r w:rsidRPr="008401CC">
        <w:rPr>
          <w:rFonts w:hint="eastAsia"/>
        </w:rPr>
        <w:t>用展館設施及館藏特色，強化展覽之策劃，自策特展、運用館際合作辦理移展或引進外部收費特展，</w:t>
      </w:r>
      <w:r w:rsidRPr="0095504B">
        <w:rPr>
          <w:rFonts w:hint="eastAsia"/>
        </w:rPr>
        <w:t>以提升館藏特色資源效用</w:t>
      </w:r>
      <w:r w:rsidRPr="008401CC">
        <w:rPr>
          <w:rFonts w:hint="eastAsia"/>
        </w:rPr>
        <w:t>。</w:t>
      </w:r>
    </w:p>
    <w:p w:rsidR="00B4414D" w:rsidRDefault="000B674A" w:rsidP="0006559A">
      <w:pPr>
        <w:pStyle w:val="142"/>
        <w:spacing w:beforeLines="50" w:before="250" w:line="0" w:lineRule="atLeast"/>
        <w:ind w:left="709" w:hangingChars="250" w:hanging="709"/>
        <w:rPr>
          <w:rFonts w:hAnsi="標楷體"/>
          <w:b/>
          <w:sz w:val="28"/>
        </w:rPr>
      </w:pPr>
      <w:r>
        <w:rPr>
          <w:rFonts w:hAnsi="標楷體" w:hint="eastAsia"/>
          <w:b/>
          <w:sz w:val="28"/>
          <w:lang w:eastAsia="zh-HK"/>
        </w:rPr>
        <w:t>表</w:t>
      </w:r>
      <w:r>
        <w:rPr>
          <w:rFonts w:hAnsi="標楷體" w:hint="eastAsia"/>
          <w:b/>
          <w:sz w:val="28"/>
        </w:rPr>
        <w:t>2  教育部所屬基金10</w:t>
      </w:r>
      <w:r w:rsidR="00A73BA2">
        <w:rPr>
          <w:rFonts w:hAnsi="標楷體"/>
          <w:b/>
          <w:sz w:val="28"/>
        </w:rPr>
        <w:t>8</w:t>
      </w:r>
      <w:r w:rsidR="00B060D5">
        <w:rPr>
          <w:rFonts w:hAnsi="標楷體" w:hint="eastAsia"/>
          <w:b/>
          <w:sz w:val="28"/>
        </w:rPr>
        <w:t>年度</w:t>
      </w:r>
      <w:r>
        <w:rPr>
          <w:rFonts w:hAnsi="標楷體" w:hint="eastAsia"/>
          <w:b/>
          <w:sz w:val="28"/>
        </w:rPr>
        <w:t>至11</w:t>
      </w:r>
      <w:r w:rsidR="00904869">
        <w:rPr>
          <w:rFonts w:hAnsi="標楷體"/>
          <w:b/>
          <w:sz w:val="28"/>
        </w:rPr>
        <w:t>3</w:t>
      </w:r>
      <w:r>
        <w:rPr>
          <w:rFonts w:hAnsi="標楷體" w:hint="eastAsia"/>
          <w:b/>
          <w:sz w:val="28"/>
        </w:rPr>
        <w:t>年</w:t>
      </w:r>
      <w:r w:rsidR="00B060D5">
        <w:rPr>
          <w:rFonts w:hAnsi="標楷體" w:hint="eastAsia"/>
          <w:b/>
          <w:sz w:val="28"/>
        </w:rPr>
        <w:t>7月底</w:t>
      </w:r>
      <w:r>
        <w:rPr>
          <w:rFonts w:hAnsi="標楷體" w:hint="eastAsia"/>
          <w:b/>
          <w:sz w:val="28"/>
        </w:rPr>
        <w:t>參觀人次</w:t>
      </w:r>
      <w:r w:rsidR="00587891">
        <w:rPr>
          <w:rFonts w:hAnsi="標楷體" w:hint="eastAsia"/>
          <w:b/>
          <w:sz w:val="28"/>
        </w:rPr>
        <w:t>統計</w:t>
      </w:r>
      <w:r>
        <w:rPr>
          <w:rFonts w:hAnsi="標楷體" w:hint="eastAsia"/>
          <w:b/>
          <w:sz w:val="28"/>
        </w:rPr>
        <w:t>表</w:t>
      </w:r>
      <w:r w:rsidR="00A1604F">
        <w:rPr>
          <w:rFonts w:hAnsi="標楷體" w:hint="eastAsia"/>
          <w:b/>
          <w:sz w:val="28"/>
        </w:rPr>
        <w:t xml:space="preserve"> </w:t>
      </w:r>
    </w:p>
    <w:p w:rsidR="00B060D5" w:rsidRDefault="00A1604F" w:rsidP="00B4414D">
      <w:pPr>
        <w:pStyle w:val="142"/>
        <w:spacing w:line="0" w:lineRule="atLeast"/>
        <w:ind w:left="709" w:hangingChars="250" w:hanging="709"/>
        <w:jc w:val="right"/>
        <w:rPr>
          <w:rFonts w:hAnsi="標楷體"/>
        </w:rPr>
      </w:pPr>
      <w:r>
        <w:rPr>
          <w:rFonts w:hAnsi="標楷體"/>
          <w:b/>
          <w:sz w:val="28"/>
        </w:rPr>
        <w:t xml:space="preserve">                </w:t>
      </w:r>
      <w:r w:rsidR="005C7A9D">
        <w:rPr>
          <w:rFonts w:hAnsi="標楷體"/>
          <w:b/>
          <w:sz w:val="28"/>
        </w:rPr>
        <w:t xml:space="preserve">                   </w:t>
      </w:r>
      <w:r>
        <w:rPr>
          <w:rFonts w:hAnsi="標楷體"/>
          <w:b/>
          <w:sz w:val="28"/>
        </w:rPr>
        <w:t xml:space="preserve">      </w:t>
      </w:r>
      <w:r>
        <w:rPr>
          <w:rFonts w:hAnsi="標楷體" w:hint="eastAsia"/>
        </w:rPr>
        <w:t>單位:人次</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008"/>
        <w:gridCol w:w="1115"/>
        <w:gridCol w:w="1009"/>
        <w:gridCol w:w="1009"/>
        <w:gridCol w:w="1009"/>
        <w:gridCol w:w="1175"/>
        <w:gridCol w:w="1235"/>
      </w:tblGrid>
      <w:tr w:rsidR="00904869" w:rsidRPr="00904869" w:rsidTr="00904869">
        <w:trPr>
          <w:trHeight w:val="322"/>
        </w:trPr>
        <w:tc>
          <w:tcPr>
            <w:tcW w:w="1248" w:type="pct"/>
            <w:shd w:val="clear" w:color="auto" w:fill="auto"/>
            <w:noWrap/>
            <w:vAlign w:val="center"/>
            <w:hideMark/>
          </w:tcPr>
          <w:p w:rsidR="00904869" w:rsidRPr="00904869" w:rsidRDefault="00904869" w:rsidP="00B060D5">
            <w:pPr>
              <w:pStyle w:val="142"/>
              <w:jc w:val="center"/>
              <w:rPr>
                <w:rFonts w:hAnsi="標楷體"/>
                <w:snapToGrid/>
                <w:spacing w:val="-6"/>
                <w:sz w:val="22"/>
                <w:szCs w:val="22"/>
              </w:rPr>
            </w:pPr>
            <w:r w:rsidRPr="00904869">
              <w:rPr>
                <w:rFonts w:hAnsi="標楷體" w:hint="eastAsia"/>
                <w:snapToGrid/>
                <w:spacing w:val="-6"/>
                <w:sz w:val="22"/>
                <w:szCs w:val="22"/>
              </w:rPr>
              <w:t>機構別/年度</w:t>
            </w:r>
          </w:p>
        </w:tc>
        <w:tc>
          <w:tcPr>
            <w:tcW w:w="709" w:type="pct"/>
            <w:shd w:val="clear" w:color="auto" w:fill="auto"/>
            <w:noWrap/>
            <w:vAlign w:val="center"/>
            <w:hideMark/>
          </w:tcPr>
          <w:p w:rsidR="00904869" w:rsidRPr="00904869" w:rsidRDefault="00904869" w:rsidP="00B060D5">
            <w:pPr>
              <w:pStyle w:val="142"/>
              <w:jc w:val="center"/>
              <w:rPr>
                <w:rFonts w:hAnsi="標楷體" w:hint="eastAsia"/>
                <w:snapToGrid/>
                <w:spacing w:val="-6"/>
                <w:sz w:val="22"/>
                <w:szCs w:val="22"/>
              </w:rPr>
            </w:pPr>
            <w:r w:rsidRPr="00904869">
              <w:rPr>
                <w:rFonts w:hAnsi="標楷體" w:hint="eastAsia"/>
                <w:snapToGrid/>
                <w:spacing w:val="-6"/>
                <w:sz w:val="22"/>
                <w:szCs w:val="22"/>
                <w:lang w:val="x-none"/>
              </w:rPr>
              <w:t>108</w:t>
            </w:r>
          </w:p>
        </w:tc>
        <w:tc>
          <w:tcPr>
            <w:tcW w:w="641" w:type="pct"/>
            <w:shd w:val="clear" w:color="auto" w:fill="auto"/>
            <w:noWrap/>
            <w:vAlign w:val="center"/>
            <w:hideMark/>
          </w:tcPr>
          <w:p w:rsidR="00904869" w:rsidRPr="00904869" w:rsidRDefault="00904869" w:rsidP="00B060D5">
            <w:pPr>
              <w:pStyle w:val="142"/>
              <w:jc w:val="center"/>
              <w:rPr>
                <w:rFonts w:hAnsi="標楷體" w:hint="eastAsia"/>
                <w:snapToGrid/>
                <w:spacing w:val="-6"/>
                <w:sz w:val="22"/>
                <w:szCs w:val="22"/>
              </w:rPr>
            </w:pPr>
            <w:r w:rsidRPr="00904869">
              <w:rPr>
                <w:rFonts w:hAnsi="標楷體" w:hint="eastAsia"/>
                <w:snapToGrid/>
                <w:spacing w:val="-6"/>
                <w:sz w:val="22"/>
                <w:szCs w:val="22"/>
                <w:lang w:val="x-none"/>
              </w:rPr>
              <w:t>109</w:t>
            </w:r>
          </w:p>
        </w:tc>
        <w:tc>
          <w:tcPr>
            <w:tcW w:w="641" w:type="pct"/>
            <w:shd w:val="clear" w:color="auto" w:fill="auto"/>
            <w:noWrap/>
            <w:vAlign w:val="center"/>
            <w:hideMark/>
          </w:tcPr>
          <w:p w:rsidR="00904869" w:rsidRPr="00904869" w:rsidRDefault="00904869" w:rsidP="00B060D5">
            <w:pPr>
              <w:pStyle w:val="142"/>
              <w:jc w:val="center"/>
              <w:rPr>
                <w:rFonts w:hAnsi="標楷體" w:hint="eastAsia"/>
                <w:snapToGrid/>
                <w:spacing w:val="-6"/>
                <w:sz w:val="22"/>
                <w:szCs w:val="22"/>
              </w:rPr>
            </w:pPr>
            <w:r w:rsidRPr="00904869">
              <w:rPr>
                <w:rFonts w:hAnsi="標楷體" w:hint="eastAsia"/>
                <w:snapToGrid/>
                <w:spacing w:val="-6"/>
                <w:sz w:val="22"/>
                <w:szCs w:val="22"/>
                <w:lang w:val="x-none"/>
              </w:rPr>
              <w:t>110</w:t>
            </w:r>
          </w:p>
        </w:tc>
        <w:tc>
          <w:tcPr>
            <w:tcW w:w="641" w:type="pct"/>
            <w:shd w:val="clear" w:color="auto" w:fill="auto"/>
            <w:noWrap/>
            <w:vAlign w:val="center"/>
            <w:hideMark/>
          </w:tcPr>
          <w:p w:rsidR="00904869" w:rsidRPr="00904869" w:rsidRDefault="00904869" w:rsidP="00B060D5">
            <w:pPr>
              <w:pStyle w:val="142"/>
              <w:jc w:val="center"/>
              <w:rPr>
                <w:rFonts w:hAnsi="標楷體" w:hint="eastAsia"/>
                <w:snapToGrid/>
                <w:spacing w:val="-6"/>
                <w:sz w:val="22"/>
                <w:szCs w:val="22"/>
              </w:rPr>
            </w:pPr>
            <w:r w:rsidRPr="00904869">
              <w:rPr>
                <w:rFonts w:hAnsi="標楷體" w:hint="eastAsia"/>
                <w:snapToGrid/>
                <w:spacing w:val="-6"/>
                <w:sz w:val="22"/>
                <w:szCs w:val="22"/>
                <w:lang w:val="x-none"/>
              </w:rPr>
              <w:t>111</w:t>
            </w:r>
          </w:p>
        </w:tc>
        <w:tc>
          <w:tcPr>
            <w:tcW w:w="235" w:type="pct"/>
            <w:vAlign w:val="center"/>
          </w:tcPr>
          <w:p w:rsidR="00904869" w:rsidRPr="00904869" w:rsidRDefault="00904869" w:rsidP="00B060D5">
            <w:pPr>
              <w:pStyle w:val="142"/>
              <w:jc w:val="center"/>
              <w:rPr>
                <w:rFonts w:hAnsi="標楷體" w:hint="eastAsia"/>
                <w:snapToGrid/>
                <w:spacing w:val="-6"/>
                <w:sz w:val="22"/>
                <w:szCs w:val="22"/>
              </w:rPr>
            </w:pPr>
            <w:r w:rsidRPr="00904869">
              <w:rPr>
                <w:rFonts w:hAnsi="標楷體" w:hint="eastAsia"/>
                <w:snapToGrid/>
                <w:spacing w:val="-6"/>
                <w:sz w:val="22"/>
                <w:szCs w:val="22"/>
              </w:rPr>
              <w:t>1</w:t>
            </w:r>
            <w:r w:rsidRPr="00904869">
              <w:rPr>
                <w:rFonts w:hAnsi="標楷體"/>
                <w:snapToGrid/>
                <w:spacing w:val="-6"/>
                <w:sz w:val="22"/>
                <w:szCs w:val="22"/>
              </w:rPr>
              <w:t>12</w:t>
            </w:r>
          </w:p>
        </w:tc>
        <w:tc>
          <w:tcPr>
            <w:tcW w:w="886" w:type="pct"/>
            <w:shd w:val="clear" w:color="auto" w:fill="auto"/>
            <w:noWrap/>
            <w:vAlign w:val="center"/>
            <w:hideMark/>
          </w:tcPr>
          <w:p w:rsidR="00904869" w:rsidRPr="00904869" w:rsidRDefault="00904869" w:rsidP="00904869">
            <w:pPr>
              <w:pStyle w:val="142"/>
              <w:jc w:val="center"/>
              <w:rPr>
                <w:rFonts w:hAnsi="標楷體"/>
                <w:snapToGrid/>
                <w:spacing w:val="-6"/>
                <w:sz w:val="22"/>
                <w:szCs w:val="22"/>
              </w:rPr>
            </w:pPr>
            <w:r w:rsidRPr="00904869">
              <w:rPr>
                <w:rFonts w:hAnsi="標楷體" w:hint="eastAsia"/>
                <w:snapToGrid/>
                <w:spacing w:val="-6"/>
                <w:sz w:val="22"/>
                <w:szCs w:val="22"/>
              </w:rPr>
              <w:t>11</w:t>
            </w:r>
            <w:r w:rsidRPr="00904869">
              <w:rPr>
                <w:rFonts w:hAnsi="標楷體"/>
                <w:snapToGrid/>
                <w:spacing w:val="-6"/>
                <w:sz w:val="22"/>
                <w:szCs w:val="22"/>
              </w:rPr>
              <w:t>3</w:t>
            </w:r>
            <w:r w:rsidRPr="00904869">
              <w:rPr>
                <w:rFonts w:hAnsi="標楷體" w:hint="eastAsia"/>
                <w:snapToGrid/>
                <w:spacing w:val="-6"/>
                <w:sz w:val="22"/>
                <w:szCs w:val="22"/>
              </w:rPr>
              <w:t>年</w:t>
            </w:r>
          </w:p>
          <w:p w:rsidR="00904869" w:rsidRPr="00904869" w:rsidRDefault="00904869" w:rsidP="00904869">
            <w:pPr>
              <w:pStyle w:val="142"/>
              <w:jc w:val="center"/>
              <w:rPr>
                <w:rFonts w:hAnsi="標楷體" w:hint="eastAsia"/>
                <w:snapToGrid/>
                <w:spacing w:val="-6"/>
                <w:sz w:val="22"/>
                <w:szCs w:val="22"/>
              </w:rPr>
            </w:pPr>
            <w:r w:rsidRPr="00904869">
              <w:rPr>
                <w:rFonts w:hAnsi="標楷體" w:hint="eastAsia"/>
                <w:snapToGrid/>
                <w:spacing w:val="-6"/>
                <w:sz w:val="22"/>
                <w:szCs w:val="22"/>
              </w:rPr>
              <w:t>1至7月</w:t>
            </w:r>
          </w:p>
        </w:tc>
      </w:tr>
      <w:tr w:rsidR="00904869" w:rsidRPr="00904869" w:rsidTr="00904869">
        <w:trPr>
          <w:trHeight w:val="322"/>
        </w:trPr>
        <w:tc>
          <w:tcPr>
            <w:tcW w:w="1248" w:type="pct"/>
            <w:shd w:val="clear" w:color="auto" w:fill="auto"/>
            <w:noWrap/>
            <w:vAlign w:val="center"/>
            <w:hideMark/>
          </w:tcPr>
          <w:p w:rsidR="00904869" w:rsidRPr="00904869" w:rsidRDefault="00904869" w:rsidP="00904869">
            <w:pPr>
              <w:pStyle w:val="142"/>
              <w:rPr>
                <w:rFonts w:hAnsi="標楷體" w:hint="eastAsia"/>
                <w:snapToGrid/>
                <w:spacing w:val="-6"/>
                <w:sz w:val="22"/>
                <w:szCs w:val="22"/>
              </w:rPr>
            </w:pPr>
            <w:r w:rsidRPr="00904869">
              <w:rPr>
                <w:rFonts w:hAnsi="標楷體" w:hint="eastAsia"/>
                <w:snapToGrid/>
                <w:spacing w:val="-6"/>
                <w:sz w:val="22"/>
                <w:szCs w:val="22"/>
              </w:rPr>
              <w:t>國立自然科學博物館</w:t>
            </w:r>
          </w:p>
        </w:tc>
        <w:tc>
          <w:tcPr>
            <w:tcW w:w="709"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2,655,525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2,262,500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1,566,116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2,299,808 </w:t>
            </w:r>
          </w:p>
        </w:tc>
        <w:tc>
          <w:tcPr>
            <w:tcW w:w="235" w:type="pct"/>
            <w:shd w:val="clear" w:color="auto" w:fill="auto"/>
            <w:vAlign w:val="center"/>
          </w:tcPr>
          <w:p w:rsidR="00904869" w:rsidRPr="00207340" w:rsidRDefault="00904869" w:rsidP="00904869">
            <w:pPr>
              <w:pStyle w:val="142"/>
              <w:jc w:val="right"/>
              <w:rPr>
                <w:rFonts w:hAnsi="標楷體" w:hint="eastAsia"/>
                <w:b/>
                <w:snapToGrid/>
                <w:sz w:val="22"/>
                <w:szCs w:val="22"/>
              </w:rPr>
            </w:pPr>
            <w:r w:rsidRPr="00207340">
              <w:rPr>
                <w:rFonts w:hAnsi="標楷體" w:hint="eastAsia"/>
                <w:b/>
                <w:snapToGrid/>
                <w:sz w:val="22"/>
                <w:szCs w:val="22"/>
                <w:lang w:val="x-none"/>
              </w:rPr>
              <w:t>2,738,329</w:t>
            </w:r>
          </w:p>
        </w:tc>
        <w:tc>
          <w:tcPr>
            <w:tcW w:w="886" w:type="pct"/>
            <w:shd w:val="clear" w:color="auto" w:fill="auto"/>
            <w:noWrap/>
            <w:vAlign w:val="center"/>
            <w:hideMark/>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lang w:val="x-none"/>
              </w:rPr>
              <w:t>1,516,486</w:t>
            </w:r>
          </w:p>
        </w:tc>
      </w:tr>
      <w:tr w:rsidR="00904869" w:rsidRPr="00904869" w:rsidTr="00904869">
        <w:trPr>
          <w:trHeight w:val="322"/>
        </w:trPr>
        <w:tc>
          <w:tcPr>
            <w:tcW w:w="1248" w:type="pct"/>
            <w:shd w:val="clear" w:color="auto" w:fill="auto"/>
            <w:noWrap/>
            <w:vAlign w:val="center"/>
            <w:hideMark/>
          </w:tcPr>
          <w:p w:rsidR="00904869" w:rsidRPr="00904869" w:rsidRDefault="00904869" w:rsidP="00904869">
            <w:pPr>
              <w:pStyle w:val="142"/>
              <w:rPr>
                <w:rFonts w:hAnsi="標楷體" w:hint="eastAsia"/>
                <w:snapToGrid/>
                <w:spacing w:val="-6"/>
                <w:sz w:val="22"/>
                <w:szCs w:val="22"/>
              </w:rPr>
            </w:pPr>
            <w:r w:rsidRPr="00904869">
              <w:rPr>
                <w:rFonts w:hAnsi="標楷體" w:hint="eastAsia"/>
                <w:snapToGrid/>
                <w:spacing w:val="-6"/>
                <w:sz w:val="22"/>
                <w:szCs w:val="22"/>
              </w:rPr>
              <w:t>國立科學工藝博物館</w:t>
            </w:r>
          </w:p>
        </w:tc>
        <w:tc>
          <w:tcPr>
            <w:tcW w:w="709"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2,804,198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2,427,156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1,329,033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2,027,893 </w:t>
            </w:r>
          </w:p>
        </w:tc>
        <w:tc>
          <w:tcPr>
            <w:tcW w:w="235" w:type="pct"/>
            <w:shd w:val="clear" w:color="auto" w:fill="auto"/>
            <w:vAlign w:val="center"/>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rPr>
              <w:t>2,581,374</w:t>
            </w:r>
          </w:p>
        </w:tc>
        <w:tc>
          <w:tcPr>
            <w:tcW w:w="886" w:type="pct"/>
            <w:shd w:val="clear" w:color="auto" w:fill="auto"/>
            <w:noWrap/>
            <w:vAlign w:val="center"/>
            <w:hideMark/>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rPr>
              <w:t>1,306,634</w:t>
            </w:r>
          </w:p>
        </w:tc>
      </w:tr>
      <w:tr w:rsidR="00904869" w:rsidRPr="00904869" w:rsidTr="00904869">
        <w:trPr>
          <w:trHeight w:val="322"/>
        </w:trPr>
        <w:tc>
          <w:tcPr>
            <w:tcW w:w="1248" w:type="pct"/>
            <w:shd w:val="clear" w:color="auto" w:fill="auto"/>
            <w:noWrap/>
            <w:vAlign w:val="center"/>
            <w:hideMark/>
          </w:tcPr>
          <w:p w:rsidR="00904869" w:rsidRPr="00904869" w:rsidRDefault="00904869" w:rsidP="00904869">
            <w:pPr>
              <w:pStyle w:val="142"/>
              <w:rPr>
                <w:rFonts w:hAnsi="標楷體" w:hint="eastAsia"/>
                <w:snapToGrid/>
                <w:spacing w:val="-6"/>
                <w:sz w:val="22"/>
                <w:szCs w:val="22"/>
              </w:rPr>
            </w:pPr>
            <w:r w:rsidRPr="00904869">
              <w:rPr>
                <w:rFonts w:hAnsi="標楷體" w:hint="eastAsia"/>
                <w:snapToGrid/>
                <w:spacing w:val="-6"/>
                <w:sz w:val="22"/>
                <w:szCs w:val="22"/>
              </w:rPr>
              <w:t>國立海洋生物博物館</w:t>
            </w:r>
          </w:p>
        </w:tc>
        <w:tc>
          <w:tcPr>
            <w:tcW w:w="709"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1,105,652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1,020,862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675,161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1,008,725 </w:t>
            </w:r>
          </w:p>
        </w:tc>
        <w:tc>
          <w:tcPr>
            <w:tcW w:w="235" w:type="pct"/>
            <w:shd w:val="clear" w:color="auto" w:fill="auto"/>
            <w:vAlign w:val="center"/>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lang w:val="x-none"/>
              </w:rPr>
              <w:t>1,057,853</w:t>
            </w:r>
          </w:p>
        </w:tc>
        <w:tc>
          <w:tcPr>
            <w:tcW w:w="886" w:type="pct"/>
            <w:shd w:val="clear" w:color="auto" w:fill="auto"/>
            <w:noWrap/>
            <w:vAlign w:val="center"/>
            <w:hideMark/>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lang w:val="x-none"/>
              </w:rPr>
              <w:t>548,393</w:t>
            </w:r>
          </w:p>
        </w:tc>
      </w:tr>
      <w:tr w:rsidR="00904869" w:rsidRPr="00904869" w:rsidTr="00904869">
        <w:trPr>
          <w:trHeight w:val="322"/>
        </w:trPr>
        <w:tc>
          <w:tcPr>
            <w:tcW w:w="1248" w:type="pct"/>
            <w:shd w:val="clear" w:color="auto" w:fill="auto"/>
            <w:noWrap/>
            <w:vAlign w:val="center"/>
            <w:hideMark/>
          </w:tcPr>
          <w:p w:rsidR="00904869" w:rsidRPr="00904869" w:rsidRDefault="00904869" w:rsidP="00904869">
            <w:pPr>
              <w:pStyle w:val="142"/>
              <w:rPr>
                <w:rFonts w:hAnsi="標楷體" w:hint="eastAsia"/>
                <w:snapToGrid/>
                <w:spacing w:val="-6"/>
                <w:sz w:val="22"/>
                <w:szCs w:val="22"/>
              </w:rPr>
            </w:pPr>
            <w:r w:rsidRPr="00904869">
              <w:rPr>
                <w:rFonts w:hAnsi="標楷體" w:hint="eastAsia"/>
                <w:snapToGrid/>
                <w:spacing w:val="-6"/>
                <w:sz w:val="22"/>
                <w:szCs w:val="22"/>
              </w:rPr>
              <w:t>國立臺灣科學教育館</w:t>
            </w:r>
          </w:p>
        </w:tc>
        <w:tc>
          <w:tcPr>
            <w:tcW w:w="709"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2,858,610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1,589,946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1,190,097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1,822,056 </w:t>
            </w:r>
          </w:p>
        </w:tc>
        <w:tc>
          <w:tcPr>
            <w:tcW w:w="235" w:type="pct"/>
            <w:shd w:val="clear" w:color="auto" w:fill="auto"/>
            <w:vAlign w:val="center"/>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rPr>
              <w:t>2,137,967</w:t>
            </w:r>
          </w:p>
        </w:tc>
        <w:tc>
          <w:tcPr>
            <w:tcW w:w="886" w:type="pct"/>
            <w:shd w:val="clear" w:color="auto" w:fill="auto"/>
            <w:noWrap/>
            <w:vAlign w:val="center"/>
            <w:hideMark/>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rPr>
              <w:t>1,410,372</w:t>
            </w:r>
          </w:p>
        </w:tc>
      </w:tr>
      <w:tr w:rsidR="00904869" w:rsidRPr="00904869" w:rsidTr="00904869">
        <w:trPr>
          <w:trHeight w:val="322"/>
        </w:trPr>
        <w:tc>
          <w:tcPr>
            <w:tcW w:w="1248" w:type="pct"/>
            <w:shd w:val="clear" w:color="auto" w:fill="auto"/>
            <w:noWrap/>
            <w:vAlign w:val="center"/>
            <w:hideMark/>
          </w:tcPr>
          <w:p w:rsidR="00904869" w:rsidRPr="00904869" w:rsidRDefault="00904869" w:rsidP="00904869">
            <w:pPr>
              <w:pStyle w:val="142"/>
              <w:rPr>
                <w:rFonts w:hAnsi="標楷體" w:hint="eastAsia"/>
                <w:snapToGrid/>
                <w:spacing w:val="-6"/>
                <w:sz w:val="22"/>
                <w:szCs w:val="22"/>
              </w:rPr>
            </w:pPr>
            <w:r w:rsidRPr="00904869">
              <w:rPr>
                <w:rFonts w:hAnsi="標楷體" w:hint="eastAsia"/>
                <w:snapToGrid/>
                <w:spacing w:val="-6"/>
                <w:sz w:val="22"/>
                <w:szCs w:val="22"/>
              </w:rPr>
              <w:t>國立臺灣圖書館</w:t>
            </w:r>
          </w:p>
        </w:tc>
        <w:tc>
          <w:tcPr>
            <w:tcW w:w="709"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35,999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31,472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15,707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rPr>
              <w:t xml:space="preserve">14,440 </w:t>
            </w:r>
          </w:p>
        </w:tc>
        <w:tc>
          <w:tcPr>
            <w:tcW w:w="235" w:type="pct"/>
            <w:shd w:val="clear" w:color="auto" w:fill="auto"/>
            <w:vAlign w:val="center"/>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rPr>
              <w:t>21,955</w:t>
            </w:r>
          </w:p>
        </w:tc>
        <w:tc>
          <w:tcPr>
            <w:tcW w:w="886" w:type="pct"/>
            <w:shd w:val="clear" w:color="auto" w:fill="auto"/>
            <w:noWrap/>
            <w:vAlign w:val="center"/>
            <w:hideMark/>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rPr>
              <w:t>11,205</w:t>
            </w:r>
          </w:p>
        </w:tc>
      </w:tr>
      <w:tr w:rsidR="00904869" w:rsidRPr="00904869" w:rsidTr="00904869">
        <w:trPr>
          <w:trHeight w:val="322"/>
        </w:trPr>
        <w:tc>
          <w:tcPr>
            <w:tcW w:w="1248" w:type="pct"/>
            <w:shd w:val="clear" w:color="auto" w:fill="auto"/>
            <w:noWrap/>
            <w:vAlign w:val="center"/>
            <w:hideMark/>
          </w:tcPr>
          <w:p w:rsidR="00904869" w:rsidRPr="00904869" w:rsidRDefault="00904869" w:rsidP="00904869">
            <w:pPr>
              <w:pStyle w:val="142"/>
              <w:rPr>
                <w:rFonts w:hAnsi="標楷體" w:hint="eastAsia"/>
                <w:snapToGrid/>
                <w:spacing w:val="-6"/>
                <w:sz w:val="22"/>
                <w:szCs w:val="22"/>
              </w:rPr>
            </w:pPr>
            <w:r w:rsidRPr="00904869">
              <w:rPr>
                <w:rFonts w:hAnsi="標楷體" w:hint="eastAsia"/>
                <w:snapToGrid/>
                <w:spacing w:val="-6"/>
                <w:sz w:val="22"/>
                <w:szCs w:val="22"/>
              </w:rPr>
              <w:t>國立海洋科技博物館</w:t>
            </w:r>
          </w:p>
        </w:tc>
        <w:tc>
          <w:tcPr>
            <w:tcW w:w="709"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2,208,724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1,973,397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1,266,845 </w:t>
            </w:r>
          </w:p>
        </w:tc>
        <w:tc>
          <w:tcPr>
            <w:tcW w:w="641" w:type="pct"/>
            <w:shd w:val="clear" w:color="auto" w:fill="auto"/>
            <w:noWrap/>
            <w:vAlign w:val="center"/>
            <w:hideMark/>
          </w:tcPr>
          <w:p w:rsidR="00904869" w:rsidRPr="00904869" w:rsidRDefault="00904869" w:rsidP="00904869">
            <w:pPr>
              <w:pStyle w:val="142"/>
              <w:jc w:val="right"/>
              <w:rPr>
                <w:rFonts w:hAnsi="標楷體" w:hint="eastAsia"/>
                <w:snapToGrid/>
                <w:spacing w:val="-6"/>
                <w:sz w:val="22"/>
                <w:szCs w:val="22"/>
              </w:rPr>
            </w:pPr>
            <w:r w:rsidRPr="00904869">
              <w:rPr>
                <w:rFonts w:hAnsi="標楷體" w:hint="eastAsia"/>
                <w:snapToGrid/>
                <w:spacing w:val="-6"/>
                <w:sz w:val="22"/>
                <w:szCs w:val="22"/>
                <w:lang w:val="x-none"/>
              </w:rPr>
              <w:t xml:space="preserve">2,582,444 </w:t>
            </w:r>
          </w:p>
        </w:tc>
        <w:tc>
          <w:tcPr>
            <w:tcW w:w="235" w:type="pct"/>
            <w:shd w:val="clear" w:color="auto" w:fill="auto"/>
            <w:vAlign w:val="center"/>
          </w:tcPr>
          <w:p w:rsidR="00904869" w:rsidRPr="00207340" w:rsidRDefault="00904869" w:rsidP="00904869">
            <w:pPr>
              <w:pStyle w:val="142"/>
              <w:jc w:val="right"/>
              <w:rPr>
                <w:rFonts w:hAnsi="標楷體" w:hint="eastAsia"/>
                <w:b/>
                <w:snapToGrid/>
                <w:sz w:val="22"/>
                <w:szCs w:val="22"/>
              </w:rPr>
            </w:pPr>
            <w:r w:rsidRPr="00207340">
              <w:rPr>
                <w:rFonts w:hAnsi="標楷體" w:hint="eastAsia"/>
                <w:b/>
                <w:snapToGrid/>
                <w:sz w:val="22"/>
                <w:szCs w:val="22"/>
                <w:lang w:val="x-none"/>
              </w:rPr>
              <w:t>2,726,173</w:t>
            </w:r>
          </w:p>
        </w:tc>
        <w:tc>
          <w:tcPr>
            <w:tcW w:w="886" w:type="pct"/>
            <w:shd w:val="clear" w:color="auto" w:fill="auto"/>
            <w:noWrap/>
            <w:vAlign w:val="center"/>
            <w:hideMark/>
          </w:tcPr>
          <w:p w:rsidR="00904869" w:rsidRPr="00904869" w:rsidRDefault="00904869" w:rsidP="00904869">
            <w:pPr>
              <w:pStyle w:val="142"/>
              <w:jc w:val="right"/>
              <w:rPr>
                <w:rFonts w:hAnsi="標楷體" w:hint="eastAsia"/>
                <w:snapToGrid/>
                <w:sz w:val="22"/>
                <w:szCs w:val="22"/>
              </w:rPr>
            </w:pPr>
            <w:r w:rsidRPr="00904869">
              <w:rPr>
                <w:rFonts w:hAnsi="標楷體" w:hint="eastAsia"/>
                <w:snapToGrid/>
                <w:sz w:val="22"/>
                <w:szCs w:val="22"/>
                <w:lang w:val="x-none"/>
              </w:rPr>
              <w:t>1,687,345</w:t>
            </w:r>
          </w:p>
        </w:tc>
      </w:tr>
      <w:tr w:rsidR="00904869" w:rsidRPr="00207340" w:rsidTr="00904869">
        <w:trPr>
          <w:trHeight w:val="322"/>
        </w:trPr>
        <w:tc>
          <w:tcPr>
            <w:tcW w:w="1248" w:type="pct"/>
            <w:shd w:val="clear" w:color="auto" w:fill="auto"/>
            <w:noWrap/>
            <w:vAlign w:val="center"/>
            <w:hideMark/>
          </w:tcPr>
          <w:p w:rsidR="00904869" w:rsidRPr="00207340" w:rsidRDefault="00904869" w:rsidP="00904869">
            <w:pPr>
              <w:pStyle w:val="142"/>
              <w:jc w:val="center"/>
              <w:rPr>
                <w:rFonts w:hAnsi="標楷體" w:hint="eastAsia"/>
                <w:b/>
                <w:snapToGrid/>
                <w:spacing w:val="-6"/>
                <w:sz w:val="22"/>
                <w:szCs w:val="22"/>
              </w:rPr>
            </w:pPr>
            <w:r w:rsidRPr="00207340">
              <w:rPr>
                <w:rFonts w:hAnsi="標楷體" w:hint="eastAsia"/>
                <w:b/>
                <w:snapToGrid/>
                <w:spacing w:val="-6"/>
                <w:sz w:val="22"/>
                <w:szCs w:val="22"/>
              </w:rPr>
              <w:t>合計</w:t>
            </w:r>
          </w:p>
        </w:tc>
        <w:tc>
          <w:tcPr>
            <w:tcW w:w="709" w:type="pct"/>
            <w:shd w:val="clear" w:color="auto" w:fill="auto"/>
            <w:noWrap/>
            <w:vAlign w:val="center"/>
            <w:hideMark/>
          </w:tcPr>
          <w:p w:rsidR="00904869" w:rsidRPr="00207340" w:rsidRDefault="00904869" w:rsidP="00904869">
            <w:pPr>
              <w:pStyle w:val="142"/>
              <w:jc w:val="right"/>
              <w:rPr>
                <w:rFonts w:hAnsi="標楷體" w:hint="eastAsia"/>
                <w:b/>
                <w:snapToGrid/>
                <w:spacing w:val="-6"/>
                <w:sz w:val="22"/>
                <w:szCs w:val="22"/>
              </w:rPr>
            </w:pPr>
            <w:r w:rsidRPr="00207340">
              <w:rPr>
                <w:rFonts w:hAnsi="標楷體" w:hint="eastAsia"/>
                <w:b/>
                <w:snapToGrid/>
                <w:spacing w:val="-6"/>
                <w:sz w:val="22"/>
                <w:szCs w:val="22"/>
              </w:rPr>
              <w:t xml:space="preserve">11,668,708 </w:t>
            </w:r>
          </w:p>
        </w:tc>
        <w:tc>
          <w:tcPr>
            <w:tcW w:w="641" w:type="pct"/>
            <w:shd w:val="clear" w:color="auto" w:fill="auto"/>
            <w:noWrap/>
            <w:vAlign w:val="center"/>
            <w:hideMark/>
          </w:tcPr>
          <w:p w:rsidR="00904869" w:rsidRPr="00207340" w:rsidRDefault="00904869" w:rsidP="00904869">
            <w:pPr>
              <w:pStyle w:val="142"/>
              <w:jc w:val="right"/>
              <w:rPr>
                <w:rFonts w:hAnsi="標楷體" w:hint="eastAsia"/>
                <w:b/>
                <w:snapToGrid/>
                <w:spacing w:val="-6"/>
                <w:sz w:val="22"/>
                <w:szCs w:val="22"/>
              </w:rPr>
            </w:pPr>
            <w:r w:rsidRPr="00207340">
              <w:rPr>
                <w:rFonts w:hAnsi="標楷體" w:hint="eastAsia"/>
                <w:b/>
                <w:snapToGrid/>
                <w:spacing w:val="-6"/>
                <w:sz w:val="22"/>
                <w:szCs w:val="22"/>
              </w:rPr>
              <w:t xml:space="preserve">9,305,333 </w:t>
            </w:r>
          </w:p>
        </w:tc>
        <w:tc>
          <w:tcPr>
            <w:tcW w:w="641" w:type="pct"/>
            <w:shd w:val="clear" w:color="auto" w:fill="auto"/>
            <w:noWrap/>
            <w:vAlign w:val="center"/>
            <w:hideMark/>
          </w:tcPr>
          <w:p w:rsidR="00904869" w:rsidRPr="00207340" w:rsidRDefault="00904869" w:rsidP="00904869">
            <w:pPr>
              <w:pStyle w:val="142"/>
              <w:jc w:val="right"/>
              <w:rPr>
                <w:rFonts w:hAnsi="標楷體" w:hint="eastAsia"/>
                <w:b/>
                <w:snapToGrid/>
                <w:spacing w:val="-6"/>
                <w:sz w:val="22"/>
                <w:szCs w:val="22"/>
              </w:rPr>
            </w:pPr>
            <w:r w:rsidRPr="00207340">
              <w:rPr>
                <w:rFonts w:hAnsi="標楷體" w:hint="eastAsia"/>
                <w:b/>
                <w:snapToGrid/>
                <w:spacing w:val="-6"/>
                <w:sz w:val="22"/>
                <w:szCs w:val="22"/>
              </w:rPr>
              <w:t xml:space="preserve">6,042,959 </w:t>
            </w:r>
          </w:p>
        </w:tc>
        <w:tc>
          <w:tcPr>
            <w:tcW w:w="641" w:type="pct"/>
            <w:shd w:val="clear" w:color="auto" w:fill="auto"/>
            <w:noWrap/>
            <w:vAlign w:val="center"/>
            <w:hideMark/>
          </w:tcPr>
          <w:p w:rsidR="00904869" w:rsidRPr="00207340" w:rsidRDefault="00904869" w:rsidP="00904869">
            <w:pPr>
              <w:pStyle w:val="142"/>
              <w:jc w:val="right"/>
              <w:rPr>
                <w:rFonts w:hAnsi="標楷體" w:hint="eastAsia"/>
                <w:b/>
                <w:snapToGrid/>
                <w:spacing w:val="-6"/>
                <w:sz w:val="22"/>
                <w:szCs w:val="22"/>
              </w:rPr>
            </w:pPr>
            <w:r w:rsidRPr="00207340">
              <w:rPr>
                <w:rFonts w:hAnsi="標楷體" w:hint="eastAsia"/>
                <w:b/>
                <w:snapToGrid/>
                <w:spacing w:val="-6"/>
                <w:sz w:val="22"/>
                <w:szCs w:val="22"/>
              </w:rPr>
              <w:t xml:space="preserve">9,755,366 </w:t>
            </w:r>
          </w:p>
        </w:tc>
        <w:tc>
          <w:tcPr>
            <w:tcW w:w="235" w:type="pct"/>
            <w:shd w:val="clear" w:color="auto" w:fill="auto"/>
            <w:vAlign w:val="center"/>
          </w:tcPr>
          <w:p w:rsidR="00904869" w:rsidRPr="00207340" w:rsidRDefault="00904869" w:rsidP="00904869">
            <w:pPr>
              <w:pStyle w:val="142"/>
              <w:jc w:val="right"/>
              <w:rPr>
                <w:rFonts w:hAnsi="標楷體" w:hint="eastAsia"/>
                <w:b/>
                <w:snapToGrid/>
                <w:sz w:val="22"/>
                <w:szCs w:val="22"/>
              </w:rPr>
            </w:pPr>
            <w:r w:rsidRPr="00207340">
              <w:rPr>
                <w:rFonts w:hAnsi="標楷體" w:hint="eastAsia"/>
                <w:b/>
                <w:snapToGrid/>
                <w:sz w:val="22"/>
                <w:szCs w:val="22"/>
              </w:rPr>
              <w:t>11,263,651</w:t>
            </w:r>
          </w:p>
        </w:tc>
        <w:tc>
          <w:tcPr>
            <w:tcW w:w="886" w:type="pct"/>
            <w:shd w:val="clear" w:color="auto" w:fill="auto"/>
            <w:noWrap/>
            <w:vAlign w:val="center"/>
            <w:hideMark/>
          </w:tcPr>
          <w:p w:rsidR="00904869" w:rsidRPr="00207340" w:rsidRDefault="00904869" w:rsidP="00904869">
            <w:pPr>
              <w:pStyle w:val="142"/>
              <w:jc w:val="right"/>
              <w:rPr>
                <w:rFonts w:hAnsi="標楷體" w:hint="eastAsia"/>
                <w:b/>
                <w:snapToGrid/>
                <w:sz w:val="22"/>
                <w:szCs w:val="22"/>
              </w:rPr>
            </w:pPr>
            <w:r w:rsidRPr="00207340">
              <w:rPr>
                <w:rFonts w:hAnsi="標楷體" w:hint="eastAsia"/>
                <w:b/>
                <w:snapToGrid/>
                <w:sz w:val="22"/>
                <w:szCs w:val="22"/>
              </w:rPr>
              <w:t>6,480,435</w:t>
            </w:r>
          </w:p>
        </w:tc>
      </w:tr>
    </w:tbl>
    <w:p w:rsidR="000B674A" w:rsidRDefault="000B674A" w:rsidP="00A73BA2">
      <w:pPr>
        <w:pStyle w:val="142"/>
        <w:ind w:left="851" w:hangingChars="350" w:hanging="851"/>
        <w:rPr>
          <w:rFonts w:hAnsi="標楷體" w:hint="eastAsia"/>
        </w:rPr>
      </w:pPr>
      <w:r>
        <w:rPr>
          <w:rFonts w:hAnsi="標楷體" w:hint="eastAsia"/>
          <w:lang w:eastAsia="zh-HK"/>
        </w:rPr>
        <w:t>說</w:t>
      </w:r>
      <w:r>
        <w:rPr>
          <w:rFonts w:hAnsi="標楷體" w:hint="eastAsia"/>
        </w:rPr>
        <w:t xml:space="preserve">    </w:t>
      </w:r>
      <w:r>
        <w:rPr>
          <w:rFonts w:hAnsi="標楷體" w:hint="eastAsia"/>
          <w:lang w:eastAsia="zh-HK"/>
        </w:rPr>
        <w:t>明：</w:t>
      </w:r>
      <w:r w:rsidR="00A73BA2">
        <w:rPr>
          <w:rFonts w:hAnsi="標楷體" w:hint="eastAsia"/>
        </w:rPr>
        <w:t>1</w:t>
      </w:r>
      <w:r>
        <w:rPr>
          <w:rFonts w:hAnsi="標楷體" w:hint="eastAsia"/>
        </w:rPr>
        <w:t>.</w:t>
      </w:r>
      <w:r w:rsidR="006F027A">
        <w:rPr>
          <w:rFonts w:hAnsi="標楷體" w:hint="eastAsia"/>
        </w:rPr>
        <w:t>參觀人次含免費入館人次。</w:t>
      </w:r>
    </w:p>
    <w:p w:rsidR="000B674A" w:rsidRPr="00B65B1D" w:rsidRDefault="000B674A" w:rsidP="000B674A">
      <w:pPr>
        <w:pStyle w:val="142"/>
        <w:ind w:left="1459" w:hangingChars="600" w:hanging="1459"/>
        <w:rPr>
          <w:rFonts w:hAnsi="標楷體" w:hint="eastAsia"/>
        </w:rPr>
      </w:pPr>
      <w:r>
        <w:rPr>
          <w:rFonts w:hAnsi="標楷體" w:hint="eastAsia"/>
        </w:rPr>
        <w:t xml:space="preserve">          </w:t>
      </w:r>
      <w:r w:rsidR="00A73BA2">
        <w:rPr>
          <w:rFonts w:hAnsi="標楷體"/>
        </w:rPr>
        <w:t>2</w:t>
      </w:r>
      <w:r>
        <w:rPr>
          <w:rFonts w:hAnsi="標楷體" w:hint="eastAsia"/>
        </w:rPr>
        <w:t>.</w:t>
      </w:r>
      <w:r w:rsidRPr="00B65B1D">
        <w:rPr>
          <w:rFonts w:hAnsi="標楷體" w:hint="eastAsia"/>
        </w:rPr>
        <w:t>國立臺灣圖書館為陽明山中山樓之</w:t>
      </w:r>
      <w:r w:rsidR="00A73BA2">
        <w:rPr>
          <w:rFonts w:hAnsi="標楷體" w:hint="eastAsia"/>
        </w:rPr>
        <w:t>參觀人次</w:t>
      </w:r>
      <w:r w:rsidRPr="00B65B1D">
        <w:rPr>
          <w:rFonts w:hAnsi="標楷體" w:hint="eastAsia"/>
        </w:rPr>
        <w:t>。</w:t>
      </w:r>
    </w:p>
    <w:p w:rsidR="000B674A" w:rsidRDefault="000B674A" w:rsidP="000B674A">
      <w:pPr>
        <w:pStyle w:val="142"/>
        <w:ind w:left="851" w:hangingChars="350" w:hanging="851"/>
        <w:rPr>
          <w:rFonts w:hAnsi="標楷體" w:hint="eastAsia"/>
        </w:rPr>
      </w:pPr>
      <w:r>
        <w:rPr>
          <w:rFonts w:hAnsi="標楷體" w:hint="eastAsia"/>
        </w:rPr>
        <w:t>資料來源：彙整自教育部所屬基金各分基金提供資料。</w:t>
      </w:r>
    </w:p>
    <w:bookmarkEnd w:id="1"/>
    <w:bookmarkEnd w:id="2"/>
    <w:bookmarkEnd w:id="3"/>
    <w:bookmarkEnd w:id="4"/>
    <w:bookmarkEnd w:id="5"/>
    <w:bookmarkEnd w:id="6"/>
    <w:bookmarkEnd w:id="7"/>
    <w:sectPr w:rsidR="000B674A" w:rsidSect="00BB48A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3D4" w:rsidRDefault="007603D4" w:rsidP="00B126F2">
      <w:pPr>
        <w:spacing w:line="240" w:lineRule="auto"/>
        <w:ind w:left="560" w:firstLine="560"/>
      </w:pPr>
      <w:r>
        <w:separator/>
      </w:r>
    </w:p>
  </w:endnote>
  <w:endnote w:type="continuationSeparator" w:id="0">
    <w:p w:rsidR="007603D4" w:rsidRDefault="007603D4" w:rsidP="00B126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B13211">
    <w:pPr>
      <w:pStyle w:val="af0"/>
      <w:ind w:leftChars="0" w:left="566" w:firstLineChars="0" w:firstLine="406"/>
      <w:jc w:val="center"/>
    </w:pPr>
    <w:r>
      <w:fldChar w:fldCharType="begin"/>
    </w:r>
    <w:r>
      <w:instrText>PAGE   \* MERGEFORMAT</w:instrText>
    </w:r>
    <w:r>
      <w:fldChar w:fldCharType="separate"/>
    </w:r>
    <w:r w:rsidR="00706CAA" w:rsidRPr="00706CAA">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3D4" w:rsidRDefault="007603D4" w:rsidP="0016188D">
      <w:pPr>
        <w:spacing w:line="240" w:lineRule="auto"/>
        <w:ind w:left="560" w:firstLine="560"/>
      </w:pPr>
      <w:r>
        <w:separator/>
      </w:r>
    </w:p>
  </w:footnote>
  <w:footnote w:type="continuationSeparator" w:id="0">
    <w:p w:rsidR="007603D4" w:rsidRDefault="007603D4" w:rsidP="00B126F2">
      <w:pPr>
        <w:spacing w:line="240" w:lineRule="auto"/>
        <w:ind w:left="560" w:firstLine="560"/>
      </w:pPr>
      <w:r>
        <w:continuationSeparator/>
      </w:r>
    </w:p>
  </w:footnote>
  <w:footnote w:id="1">
    <w:p w:rsidR="00A2162F" w:rsidRPr="004F3367" w:rsidRDefault="00A2162F" w:rsidP="003B467E">
      <w:pPr>
        <w:pStyle w:val="142"/>
        <w:ind w:left="61" w:hangingChars="25" w:hanging="61"/>
        <w:jc w:val="both"/>
        <w:rPr>
          <w:rFonts w:hint="eastAsia"/>
        </w:rPr>
      </w:pPr>
      <w:r>
        <w:rPr>
          <w:rStyle w:val="af7"/>
        </w:rPr>
        <w:footnoteRef/>
      </w:r>
      <w:r>
        <w:rPr>
          <w:rFonts w:hint="eastAsia"/>
        </w:rPr>
        <w:t>按教育部96年度成立</w:t>
      </w:r>
      <w:r>
        <w:rPr>
          <w:rFonts w:hAnsi="標楷體" w:hint="eastAsia"/>
        </w:rPr>
        <w:t>「國立社教機構作業基金」，復配合107年11月28日制定公布並施行之「</w:t>
      </w:r>
      <w:r w:rsidRPr="004F3367">
        <w:rPr>
          <w:rFonts w:hAnsi="標楷體" w:hint="eastAsia"/>
        </w:rPr>
        <w:t>教育部所屬機構作業基金</w:t>
      </w:r>
      <w:r>
        <w:rPr>
          <w:rFonts w:hAnsi="標楷體" w:hint="eastAsia"/>
        </w:rPr>
        <w:t>設置條例」，自109年度起更名為</w:t>
      </w:r>
      <w:r w:rsidRPr="004F3367">
        <w:rPr>
          <w:rFonts w:hAnsi="標楷體" w:hint="eastAsia"/>
        </w:rPr>
        <w:t>教育部所屬機構作業基金</w:t>
      </w:r>
      <w:r>
        <w:rPr>
          <w:rFonts w:hAnsi="標楷體" w:hint="eastAsia"/>
        </w:rPr>
        <w:t>。</w:t>
      </w:r>
    </w:p>
  </w:footnote>
  <w:footnote w:id="2">
    <w:p w:rsidR="00A2162F" w:rsidRDefault="00A2162F" w:rsidP="00C35F11">
      <w:pPr>
        <w:pStyle w:val="142"/>
        <w:rPr>
          <w:rFonts w:hint="eastAsia"/>
        </w:rPr>
      </w:pPr>
      <w:r>
        <w:rPr>
          <w:rStyle w:val="af7"/>
        </w:rPr>
        <w:footnoteRef/>
      </w:r>
      <w:r>
        <w:rPr>
          <w:rFonts w:hint="eastAsia"/>
        </w:rPr>
        <w:t>以1</w:t>
      </w:r>
      <w:r>
        <w:t>13</w:t>
      </w:r>
      <w:r>
        <w:rPr>
          <w:rFonts w:hint="eastAsia"/>
        </w:rPr>
        <w:t>年1至7月參觀人次</w:t>
      </w:r>
      <w:r>
        <w:t>648</w:t>
      </w:r>
      <w:r>
        <w:rPr>
          <w:rFonts w:hint="eastAsia"/>
        </w:rPr>
        <w:t>萬</w:t>
      </w:r>
      <w:r>
        <w:t>435</w:t>
      </w:r>
      <w:r>
        <w:rPr>
          <w:rFonts w:hint="eastAsia"/>
        </w:rPr>
        <w:t>人次換算成全年度為1</w:t>
      </w:r>
      <w:r>
        <w:t>,110</w:t>
      </w:r>
      <w:r>
        <w:rPr>
          <w:rFonts w:hint="eastAsia"/>
        </w:rPr>
        <w:t>萬</w:t>
      </w:r>
      <w:r>
        <w:t>9,317</w:t>
      </w:r>
      <w:r>
        <w:rPr>
          <w:rFonts w:hint="eastAsia"/>
        </w:rPr>
        <w:t>人次(</w:t>
      </w:r>
      <w:r>
        <w:t>6,480,435/7*12)</w:t>
      </w:r>
      <w:r>
        <w:rPr>
          <w:rFonts w:hint="eastAsia"/>
        </w:rPr>
        <w:t>占1</w:t>
      </w:r>
      <w:r>
        <w:t>08</w:t>
      </w:r>
      <w:r>
        <w:rPr>
          <w:rFonts w:hint="eastAsia"/>
        </w:rPr>
        <w:t>年度總參觀1</w:t>
      </w:r>
      <w:r>
        <w:t>,166</w:t>
      </w:r>
      <w:r>
        <w:rPr>
          <w:rFonts w:hint="eastAsia"/>
        </w:rPr>
        <w:t>萬8</w:t>
      </w:r>
      <w:r>
        <w:t>,708</w:t>
      </w:r>
      <w:r>
        <w:rPr>
          <w:rFonts w:hint="eastAsia"/>
        </w:rPr>
        <w:t>人次之9</w:t>
      </w:r>
      <w:r>
        <w:t>5.21%</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36E87"/>
    <w:multiLevelType w:val="hybridMultilevel"/>
    <w:tmpl w:val="1304F540"/>
    <w:lvl w:ilvl="0" w:tplc="8A5EA77E">
      <w:start w:val="1"/>
      <w:numFmt w:val="taiwaneseCountingThousand"/>
      <w:lvlText w:val="（%1）"/>
      <w:lvlJc w:val="left"/>
      <w:pPr>
        <w:ind w:left="1451" w:hanging="88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C3B57E7"/>
    <w:multiLevelType w:val="multilevel"/>
    <w:tmpl w:val="979266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tabs>
          <w:tab w:val="num" w:pos="2160"/>
        </w:tabs>
        <w:ind w:left="2160" w:hanging="360"/>
      </w:pPr>
      <w:rPr>
        <w:b w:val="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B93C91"/>
    <w:multiLevelType w:val="hybridMultilevel"/>
    <w:tmpl w:val="F852ECDE"/>
    <w:lvl w:ilvl="0" w:tplc="259422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C530657"/>
    <w:multiLevelType w:val="hybridMultilevel"/>
    <w:tmpl w:val="8C5C1C56"/>
    <w:lvl w:ilvl="0" w:tplc="24AE9EB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45FF7EBE"/>
    <w:multiLevelType w:val="hybridMultilevel"/>
    <w:tmpl w:val="192AADAE"/>
    <w:lvl w:ilvl="0" w:tplc="E02C8A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9AE193E"/>
    <w:multiLevelType w:val="multilevel"/>
    <w:tmpl w:val="979266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tabs>
          <w:tab w:val="num" w:pos="2160"/>
        </w:tabs>
        <w:ind w:left="2160" w:hanging="360"/>
      </w:pPr>
      <w:rPr>
        <w:b w:val="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4E635A"/>
    <w:multiLevelType w:val="hybridMultilevel"/>
    <w:tmpl w:val="9E768B4A"/>
    <w:lvl w:ilvl="0" w:tplc="DDCEC024">
      <w:start w:val="1"/>
      <w:numFmt w:val="taiwaneseCountingThousand"/>
      <w:lvlText w:val="（%1）"/>
      <w:lvlJc w:val="left"/>
      <w:pPr>
        <w:ind w:left="1451" w:hanging="88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7DB024FC"/>
    <w:multiLevelType w:val="hybridMultilevel"/>
    <w:tmpl w:val="25A448C2"/>
    <w:lvl w:ilvl="0" w:tplc="6C1831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
  </w:num>
  <w:num w:numId="3">
    <w:abstractNumId w:val="6"/>
  </w:num>
  <w:num w:numId="4">
    <w:abstractNumId w:val="0"/>
  </w:num>
  <w:num w:numId="5">
    <w:abstractNumId w:val="3"/>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6BE"/>
    <w:rsid w:val="0000338D"/>
    <w:rsid w:val="00004550"/>
    <w:rsid w:val="0000671F"/>
    <w:rsid w:val="000132F9"/>
    <w:rsid w:val="000136D5"/>
    <w:rsid w:val="00015B73"/>
    <w:rsid w:val="00015C15"/>
    <w:rsid w:val="00017770"/>
    <w:rsid w:val="00021478"/>
    <w:rsid w:val="0002233E"/>
    <w:rsid w:val="000305D4"/>
    <w:rsid w:val="0003665E"/>
    <w:rsid w:val="00040943"/>
    <w:rsid w:val="000426B9"/>
    <w:rsid w:val="00044DAF"/>
    <w:rsid w:val="00045525"/>
    <w:rsid w:val="0004627F"/>
    <w:rsid w:val="00047AD9"/>
    <w:rsid w:val="0005025D"/>
    <w:rsid w:val="00050453"/>
    <w:rsid w:val="00051013"/>
    <w:rsid w:val="00051122"/>
    <w:rsid w:val="00055214"/>
    <w:rsid w:val="00055C0C"/>
    <w:rsid w:val="000573CB"/>
    <w:rsid w:val="000602B1"/>
    <w:rsid w:val="0006031E"/>
    <w:rsid w:val="00064881"/>
    <w:rsid w:val="0006559A"/>
    <w:rsid w:val="0007137E"/>
    <w:rsid w:val="0007493A"/>
    <w:rsid w:val="00077A11"/>
    <w:rsid w:val="00081DF8"/>
    <w:rsid w:val="00082294"/>
    <w:rsid w:val="00083534"/>
    <w:rsid w:val="00083928"/>
    <w:rsid w:val="0008616D"/>
    <w:rsid w:val="000876A9"/>
    <w:rsid w:val="000961EB"/>
    <w:rsid w:val="000A03E0"/>
    <w:rsid w:val="000A5167"/>
    <w:rsid w:val="000A5FBD"/>
    <w:rsid w:val="000A7477"/>
    <w:rsid w:val="000B3D50"/>
    <w:rsid w:val="000B4AD1"/>
    <w:rsid w:val="000B60FD"/>
    <w:rsid w:val="000B674A"/>
    <w:rsid w:val="000C11BA"/>
    <w:rsid w:val="000C1D76"/>
    <w:rsid w:val="000C203A"/>
    <w:rsid w:val="000C3166"/>
    <w:rsid w:val="000C43CD"/>
    <w:rsid w:val="000C4599"/>
    <w:rsid w:val="000C54D5"/>
    <w:rsid w:val="000C6D9E"/>
    <w:rsid w:val="000D0141"/>
    <w:rsid w:val="000D1078"/>
    <w:rsid w:val="000D1655"/>
    <w:rsid w:val="000D1B06"/>
    <w:rsid w:val="000D2341"/>
    <w:rsid w:val="000D285F"/>
    <w:rsid w:val="000D2887"/>
    <w:rsid w:val="000D2ACC"/>
    <w:rsid w:val="000D321E"/>
    <w:rsid w:val="000D3BB8"/>
    <w:rsid w:val="000D4553"/>
    <w:rsid w:val="000D4B51"/>
    <w:rsid w:val="000E02E1"/>
    <w:rsid w:val="000E04DD"/>
    <w:rsid w:val="000F06FC"/>
    <w:rsid w:val="000F1B79"/>
    <w:rsid w:val="000F5678"/>
    <w:rsid w:val="000F6276"/>
    <w:rsid w:val="000F764A"/>
    <w:rsid w:val="0010162F"/>
    <w:rsid w:val="001020B0"/>
    <w:rsid w:val="00103915"/>
    <w:rsid w:val="001068E4"/>
    <w:rsid w:val="001147DB"/>
    <w:rsid w:val="00116F17"/>
    <w:rsid w:val="00121D8B"/>
    <w:rsid w:val="001227F8"/>
    <w:rsid w:val="00124AF7"/>
    <w:rsid w:val="00125108"/>
    <w:rsid w:val="001256F6"/>
    <w:rsid w:val="001258E8"/>
    <w:rsid w:val="00127D1B"/>
    <w:rsid w:val="00131E20"/>
    <w:rsid w:val="00133385"/>
    <w:rsid w:val="00133E36"/>
    <w:rsid w:val="00134344"/>
    <w:rsid w:val="00135D03"/>
    <w:rsid w:val="00137C99"/>
    <w:rsid w:val="00137DAF"/>
    <w:rsid w:val="00137EA5"/>
    <w:rsid w:val="00142977"/>
    <w:rsid w:val="001429FC"/>
    <w:rsid w:val="00147941"/>
    <w:rsid w:val="0015084E"/>
    <w:rsid w:val="00150D5B"/>
    <w:rsid w:val="00152345"/>
    <w:rsid w:val="00154038"/>
    <w:rsid w:val="00155EA8"/>
    <w:rsid w:val="00156C97"/>
    <w:rsid w:val="001608FB"/>
    <w:rsid w:val="0016188D"/>
    <w:rsid w:val="001624FA"/>
    <w:rsid w:val="0016571B"/>
    <w:rsid w:val="00166B19"/>
    <w:rsid w:val="001744F3"/>
    <w:rsid w:val="00181F21"/>
    <w:rsid w:val="00182FB0"/>
    <w:rsid w:val="001841C4"/>
    <w:rsid w:val="0018425E"/>
    <w:rsid w:val="00184AB6"/>
    <w:rsid w:val="00191E8E"/>
    <w:rsid w:val="00194434"/>
    <w:rsid w:val="00195131"/>
    <w:rsid w:val="001970A4"/>
    <w:rsid w:val="00197456"/>
    <w:rsid w:val="001A292A"/>
    <w:rsid w:val="001A293B"/>
    <w:rsid w:val="001A319D"/>
    <w:rsid w:val="001A381A"/>
    <w:rsid w:val="001A549F"/>
    <w:rsid w:val="001A60ED"/>
    <w:rsid w:val="001B05EB"/>
    <w:rsid w:val="001B0608"/>
    <w:rsid w:val="001B1D30"/>
    <w:rsid w:val="001B31D4"/>
    <w:rsid w:val="001C02F5"/>
    <w:rsid w:val="001C1187"/>
    <w:rsid w:val="001C21CA"/>
    <w:rsid w:val="001D1245"/>
    <w:rsid w:val="001D527A"/>
    <w:rsid w:val="001D5793"/>
    <w:rsid w:val="001D5846"/>
    <w:rsid w:val="001D749B"/>
    <w:rsid w:val="001E2715"/>
    <w:rsid w:val="001E4FD3"/>
    <w:rsid w:val="001E6EF2"/>
    <w:rsid w:val="001E72FE"/>
    <w:rsid w:val="001E7810"/>
    <w:rsid w:val="001F0693"/>
    <w:rsid w:val="001F2394"/>
    <w:rsid w:val="001F5876"/>
    <w:rsid w:val="001F6992"/>
    <w:rsid w:val="001F7F71"/>
    <w:rsid w:val="00201C27"/>
    <w:rsid w:val="00203B60"/>
    <w:rsid w:val="00203BB4"/>
    <w:rsid w:val="002049F4"/>
    <w:rsid w:val="00205010"/>
    <w:rsid w:val="002055E1"/>
    <w:rsid w:val="00206C1A"/>
    <w:rsid w:val="00207340"/>
    <w:rsid w:val="00207B05"/>
    <w:rsid w:val="0021064A"/>
    <w:rsid w:val="00210F38"/>
    <w:rsid w:val="00212E02"/>
    <w:rsid w:val="002163AF"/>
    <w:rsid w:val="002221C0"/>
    <w:rsid w:val="00223CBD"/>
    <w:rsid w:val="00224D60"/>
    <w:rsid w:val="00226A6A"/>
    <w:rsid w:val="00230325"/>
    <w:rsid w:val="0023144A"/>
    <w:rsid w:val="00233EA3"/>
    <w:rsid w:val="002362F9"/>
    <w:rsid w:val="00236E44"/>
    <w:rsid w:val="00240103"/>
    <w:rsid w:val="002425F0"/>
    <w:rsid w:val="00242675"/>
    <w:rsid w:val="0024344F"/>
    <w:rsid w:val="00244715"/>
    <w:rsid w:val="002503F9"/>
    <w:rsid w:val="00250D0B"/>
    <w:rsid w:val="0025126C"/>
    <w:rsid w:val="0025145A"/>
    <w:rsid w:val="00253872"/>
    <w:rsid w:val="0025486F"/>
    <w:rsid w:val="0025512D"/>
    <w:rsid w:val="00263120"/>
    <w:rsid w:val="0026793A"/>
    <w:rsid w:val="0027002E"/>
    <w:rsid w:val="002708A3"/>
    <w:rsid w:val="002718C8"/>
    <w:rsid w:val="00273B91"/>
    <w:rsid w:val="002742B2"/>
    <w:rsid w:val="00274B48"/>
    <w:rsid w:val="00280414"/>
    <w:rsid w:val="00282707"/>
    <w:rsid w:val="00283C59"/>
    <w:rsid w:val="00283D15"/>
    <w:rsid w:val="002854EE"/>
    <w:rsid w:val="00290BEE"/>
    <w:rsid w:val="00291771"/>
    <w:rsid w:val="002928CD"/>
    <w:rsid w:val="00295692"/>
    <w:rsid w:val="0029608D"/>
    <w:rsid w:val="002A02A0"/>
    <w:rsid w:val="002A4E0F"/>
    <w:rsid w:val="002B279F"/>
    <w:rsid w:val="002B4AF1"/>
    <w:rsid w:val="002B4F60"/>
    <w:rsid w:val="002B5E91"/>
    <w:rsid w:val="002C03C4"/>
    <w:rsid w:val="002C234C"/>
    <w:rsid w:val="002C3D0D"/>
    <w:rsid w:val="002C3DE8"/>
    <w:rsid w:val="002C4495"/>
    <w:rsid w:val="002C4DB6"/>
    <w:rsid w:val="002D08B3"/>
    <w:rsid w:val="002D0C5D"/>
    <w:rsid w:val="002D59B0"/>
    <w:rsid w:val="002D5C2C"/>
    <w:rsid w:val="002D6FDD"/>
    <w:rsid w:val="002E0207"/>
    <w:rsid w:val="002E1FFF"/>
    <w:rsid w:val="002E4402"/>
    <w:rsid w:val="002E5186"/>
    <w:rsid w:val="002E69BE"/>
    <w:rsid w:val="002F0460"/>
    <w:rsid w:val="002F27E7"/>
    <w:rsid w:val="002F2C8B"/>
    <w:rsid w:val="002F33D0"/>
    <w:rsid w:val="002F4623"/>
    <w:rsid w:val="002F5926"/>
    <w:rsid w:val="002F73CC"/>
    <w:rsid w:val="00300C14"/>
    <w:rsid w:val="00301EDE"/>
    <w:rsid w:val="00302765"/>
    <w:rsid w:val="00302D35"/>
    <w:rsid w:val="00306704"/>
    <w:rsid w:val="00316929"/>
    <w:rsid w:val="00322867"/>
    <w:rsid w:val="00324A24"/>
    <w:rsid w:val="0032550F"/>
    <w:rsid w:val="00326311"/>
    <w:rsid w:val="003275BE"/>
    <w:rsid w:val="0033174A"/>
    <w:rsid w:val="00331973"/>
    <w:rsid w:val="00332D00"/>
    <w:rsid w:val="00334D03"/>
    <w:rsid w:val="003374E9"/>
    <w:rsid w:val="00340448"/>
    <w:rsid w:val="003419EC"/>
    <w:rsid w:val="00342A3B"/>
    <w:rsid w:val="003448BD"/>
    <w:rsid w:val="00347578"/>
    <w:rsid w:val="00347793"/>
    <w:rsid w:val="003532E9"/>
    <w:rsid w:val="00354943"/>
    <w:rsid w:val="003563A7"/>
    <w:rsid w:val="003643D8"/>
    <w:rsid w:val="00366C47"/>
    <w:rsid w:val="00371344"/>
    <w:rsid w:val="00372791"/>
    <w:rsid w:val="00373195"/>
    <w:rsid w:val="003746A9"/>
    <w:rsid w:val="003755B2"/>
    <w:rsid w:val="0037650A"/>
    <w:rsid w:val="00380AD2"/>
    <w:rsid w:val="00381ADE"/>
    <w:rsid w:val="003836A7"/>
    <w:rsid w:val="003842D1"/>
    <w:rsid w:val="00385642"/>
    <w:rsid w:val="0039186C"/>
    <w:rsid w:val="00394A88"/>
    <w:rsid w:val="00395C31"/>
    <w:rsid w:val="00397C25"/>
    <w:rsid w:val="003A098D"/>
    <w:rsid w:val="003A18FB"/>
    <w:rsid w:val="003A78E6"/>
    <w:rsid w:val="003B0500"/>
    <w:rsid w:val="003B2726"/>
    <w:rsid w:val="003B282A"/>
    <w:rsid w:val="003B3A0C"/>
    <w:rsid w:val="003B467E"/>
    <w:rsid w:val="003B5CFB"/>
    <w:rsid w:val="003B67BB"/>
    <w:rsid w:val="003B6D55"/>
    <w:rsid w:val="003B7342"/>
    <w:rsid w:val="003C027B"/>
    <w:rsid w:val="003C1458"/>
    <w:rsid w:val="003C2AF4"/>
    <w:rsid w:val="003C4577"/>
    <w:rsid w:val="003D0FAA"/>
    <w:rsid w:val="003D4C8C"/>
    <w:rsid w:val="003E2A3E"/>
    <w:rsid w:val="003E4393"/>
    <w:rsid w:val="003E4396"/>
    <w:rsid w:val="003E5AFD"/>
    <w:rsid w:val="003F1B87"/>
    <w:rsid w:val="003F3F31"/>
    <w:rsid w:val="003F73C1"/>
    <w:rsid w:val="00400147"/>
    <w:rsid w:val="00402EAB"/>
    <w:rsid w:val="00403360"/>
    <w:rsid w:val="00403803"/>
    <w:rsid w:val="00405417"/>
    <w:rsid w:val="004059CF"/>
    <w:rsid w:val="004109B1"/>
    <w:rsid w:val="00413328"/>
    <w:rsid w:val="00414933"/>
    <w:rsid w:val="00416161"/>
    <w:rsid w:val="004177A5"/>
    <w:rsid w:val="00420655"/>
    <w:rsid w:val="004206DE"/>
    <w:rsid w:val="004232D0"/>
    <w:rsid w:val="004255E7"/>
    <w:rsid w:val="00427F56"/>
    <w:rsid w:val="00431635"/>
    <w:rsid w:val="00432CE2"/>
    <w:rsid w:val="00435174"/>
    <w:rsid w:val="00442182"/>
    <w:rsid w:val="00446178"/>
    <w:rsid w:val="00447F32"/>
    <w:rsid w:val="00451EF0"/>
    <w:rsid w:val="0045255F"/>
    <w:rsid w:val="0045288C"/>
    <w:rsid w:val="00453F98"/>
    <w:rsid w:val="00454533"/>
    <w:rsid w:val="00456ECA"/>
    <w:rsid w:val="00462FDF"/>
    <w:rsid w:val="00463DE6"/>
    <w:rsid w:val="00464B9F"/>
    <w:rsid w:val="004654DD"/>
    <w:rsid w:val="00465583"/>
    <w:rsid w:val="004662A0"/>
    <w:rsid w:val="004662B4"/>
    <w:rsid w:val="004663A5"/>
    <w:rsid w:val="004677E4"/>
    <w:rsid w:val="00467ABF"/>
    <w:rsid w:val="0047023C"/>
    <w:rsid w:val="00470E0A"/>
    <w:rsid w:val="004725A8"/>
    <w:rsid w:val="00476A3B"/>
    <w:rsid w:val="00477B1A"/>
    <w:rsid w:val="00480C86"/>
    <w:rsid w:val="00482109"/>
    <w:rsid w:val="00482412"/>
    <w:rsid w:val="00482586"/>
    <w:rsid w:val="00483BCB"/>
    <w:rsid w:val="00484B30"/>
    <w:rsid w:val="004857B8"/>
    <w:rsid w:val="00494940"/>
    <w:rsid w:val="00495170"/>
    <w:rsid w:val="00495D26"/>
    <w:rsid w:val="00496DDE"/>
    <w:rsid w:val="004A00BD"/>
    <w:rsid w:val="004A050D"/>
    <w:rsid w:val="004A4297"/>
    <w:rsid w:val="004A5AD7"/>
    <w:rsid w:val="004A6317"/>
    <w:rsid w:val="004A7BA1"/>
    <w:rsid w:val="004B0483"/>
    <w:rsid w:val="004B1BB2"/>
    <w:rsid w:val="004B2E7E"/>
    <w:rsid w:val="004B444C"/>
    <w:rsid w:val="004B56F7"/>
    <w:rsid w:val="004B5BB9"/>
    <w:rsid w:val="004B7FE3"/>
    <w:rsid w:val="004C141B"/>
    <w:rsid w:val="004C238B"/>
    <w:rsid w:val="004C3120"/>
    <w:rsid w:val="004C3EEB"/>
    <w:rsid w:val="004D0D0F"/>
    <w:rsid w:val="004D797F"/>
    <w:rsid w:val="004D79C0"/>
    <w:rsid w:val="004D7F8C"/>
    <w:rsid w:val="004E4449"/>
    <w:rsid w:val="004E4702"/>
    <w:rsid w:val="004E4EA7"/>
    <w:rsid w:val="004F0CA1"/>
    <w:rsid w:val="004F11A4"/>
    <w:rsid w:val="004F2096"/>
    <w:rsid w:val="004F2961"/>
    <w:rsid w:val="004F3367"/>
    <w:rsid w:val="004F3DB5"/>
    <w:rsid w:val="004F4FC5"/>
    <w:rsid w:val="004F5501"/>
    <w:rsid w:val="004F7DDF"/>
    <w:rsid w:val="00500D05"/>
    <w:rsid w:val="00500F34"/>
    <w:rsid w:val="0050156F"/>
    <w:rsid w:val="005019F1"/>
    <w:rsid w:val="00502447"/>
    <w:rsid w:val="0050289E"/>
    <w:rsid w:val="005028C1"/>
    <w:rsid w:val="00504D9E"/>
    <w:rsid w:val="005065EB"/>
    <w:rsid w:val="005065ED"/>
    <w:rsid w:val="005066F8"/>
    <w:rsid w:val="00511837"/>
    <w:rsid w:val="00514101"/>
    <w:rsid w:val="0051449A"/>
    <w:rsid w:val="00520026"/>
    <w:rsid w:val="00522048"/>
    <w:rsid w:val="005247C1"/>
    <w:rsid w:val="00530254"/>
    <w:rsid w:val="005308B8"/>
    <w:rsid w:val="00530BCA"/>
    <w:rsid w:val="00532B1C"/>
    <w:rsid w:val="00532C86"/>
    <w:rsid w:val="005351F1"/>
    <w:rsid w:val="00540244"/>
    <w:rsid w:val="005414F0"/>
    <w:rsid w:val="00541D6B"/>
    <w:rsid w:val="005431EC"/>
    <w:rsid w:val="005473B7"/>
    <w:rsid w:val="005505BE"/>
    <w:rsid w:val="00554AAD"/>
    <w:rsid w:val="00554F37"/>
    <w:rsid w:val="00555928"/>
    <w:rsid w:val="005568CA"/>
    <w:rsid w:val="00560197"/>
    <w:rsid w:val="0056421B"/>
    <w:rsid w:val="00571737"/>
    <w:rsid w:val="005723E2"/>
    <w:rsid w:val="00577ADD"/>
    <w:rsid w:val="005823FF"/>
    <w:rsid w:val="00584F49"/>
    <w:rsid w:val="005860F1"/>
    <w:rsid w:val="00586FDC"/>
    <w:rsid w:val="00587531"/>
    <w:rsid w:val="00587891"/>
    <w:rsid w:val="005967DD"/>
    <w:rsid w:val="005978AB"/>
    <w:rsid w:val="0059790B"/>
    <w:rsid w:val="005A155F"/>
    <w:rsid w:val="005A1E8C"/>
    <w:rsid w:val="005A3915"/>
    <w:rsid w:val="005A3EA0"/>
    <w:rsid w:val="005A57A2"/>
    <w:rsid w:val="005A7303"/>
    <w:rsid w:val="005B7163"/>
    <w:rsid w:val="005C00BF"/>
    <w:rsid w:val="005C063F"/>
    <w:rsid w:val="005C16E8"/>
    <w:rsid w:val="005C2ACE"/>
    <w:rsid w:val="005C316B"/>
    <w:rsid w:val="005C570D"/>
    <w:rsid w:val="005C6FBD"/>
    <w:rsid w:val="005C725A"/>
    <w:rsid w:val="005C7A9D"/>
    <w:rsid w:val="005D17D4"/>
    <w:rsid w:val="005D1A79"/>
    <w:rsid w:val="005D1C67"/>
    <w:rsid w:val="005D1F77"/>
    <w:rsid w:val="005D3A79"/>
    <w:rsid w:val="005D495B"/>
    <w:rsid w:val="005D5FE0"/>
    <w:rsid w:val="005D6124"/>
    <w:rsid w:val="005D6239"/>
    <w:rsid w:val="005D69F5"/>
    <w:rsid w:val="005E035A"/>
    <w:rsid w:val="005E039E"/>
    <w:rsid w:val="005E0AD6"/>
    <w:rsid w:val="005E1714"/>
    <w:rsid w:val="005E2AA1"/>
    <w:rsid w:val="005E2CC1"/>
    <w:rsid w:val="005E3E34"/>
    <w:rsid w:val="005E625B"/>
    <w:rsid w:val="005E6FCB"/>
    <w:rsid w:val="005F002D"/>
    <w:rsid w:val="005F07E2"/>
    <w:rsid w:val="005F32B2"/>
    <w:rsid w:val="005F54A6"/>
    <w:rsid w:val="00601F8C"/>
    <w:rsid w:val="0060222D"/>
    <w:rsid w:val="006040EB"/>
    <w:rsid w:val="00607715"/>
    <w:rsid w:val="00614E5E"/>
    <w:rsid w:val="006165E3"/>
    <w:rsid w:val="00622324"/>
    <w:rsid w:val="006226C7"/>
    <w:rsid w:val="00627B5C"/>
    <w:rsid w:val="00630531"/>
    <w:rsid w:val="00632137"/>
    <w:rsid w:val="00632D2F"/>
    <w:rsid w:val="00641725"/>
    <w:rsid w:val="006421F8"/>
    <w:rsid w:val="0064226C"/>
    <w:rsid w:val="00642647"/>
    <w:rsid w:val="00642D3D"/>
    <w:rsid w:val="0064421B"/>
    <w:rsid w:val="006444E2"/>
    <w:rsid w:val="00644A64"/>
    <w:rsid w:val="00644E2E"/>
    <w:rsid w:val="006468A4"/>
    <w:rsid w:val="0064741C"/>
    <w:rsid w:val="00650D21"/>
    <w:rsid w:val="00650F0F"/>
    <w:rsid w:val="006627C5"/>
    <w:rsid w:val="006642A7"/>
    <w:rsid w:val="006650C7"/>
    <w:rsid w:val="0066731B"/>
    <w:rsid w:val="006679DA"/>
    <w:rsid w:val="00672385"/>
    <w:rsid w:val="0067274A"/>
    <w:rsid w:val="0067425D"/>
    <w:rsid w:val="00675B1A"/>
    <w:rsid w:val="00676459"/>
    <w:rsid w:val="00683BA5"/>
    <w:rsid w:val="00687E69"/>
    <w:rsid w:val="00690B95"/>
    <w:rsid w:val="00691852"/>
    <w:rsid w:val="00691D9F"/>
    <w:rsid w:val="00693102"/>
    <w:rsid w:val="006953FF"/>
    <w:rsid w:val="00695DD1"/>
    <w:rsid w:val="006972EE"/>
    <w:rsid w:val="00697BBD"/>
    <w:rsid w:val="006A7F35"/>
    <w:rsid w:val="006B0D2D"/>
    <w:rsid w:val="006B1B4F"/>
    <w:rsid w:val="006B26B4"/>
    <w:rsid w:val="006B5ED0"/>
    <w:rsid w:val="006B6129"/>
    <w:rsid w:val="006C1561"/>
    <w:rsid w:val="006C1595"/>
    <w:rsid w:val="006C1BBA"/>
    <w:rsid w:val="006C5742"/>
    <w:rsid w:val="006C64A8"/>
    <w:rsid w:val="006D31A8"/>
    <w:rsid w:val="006D3423"/>
    <w:rsid w:val="006D425C"/>
    <w:rsid w:val="006E070E"/>
    <w:rsid w:val="006E1294"/>
    <w:rsid w:val="006E37D9"/>
    <w:rsid w:val="006F027A"/>
    <w:rsid w:val="006F71D1"/>
    <w:rsid w:val="007015A1"/>
    <w:rsid w:val="00701C3B"/>
    <w:rsid w:val="0070218C"/>
    <w:rsid w:val="0070261E"/>
    <w:rsid w:val="00706CAA"/>
    <w:rsid w:val="00707449"/>
    <w:rsid w:val="00707F9F"/>
    <w:rsid w:val="00715871"/>
    <w:rsid w:val="00715B90"/>
    <w:rsid w:val="00715F60"/>
    <w:rsid w:val="007171A6"/>
    <w:rsid w:val="007171BD"/>
    <w:rsid w:val="00720E69"/>
    <w:rsid w:val="0072181A"/>
    <w:rsid w:val="00725985"/>
    <w:rsid w:val="00725C52"/>
    <w:rsid w:val="00727523"/>
    <w:rsid w:val="00727A49"/>
    <w:rsid w:val="007303F1"/>
    <w:rsid w:val="00732598"/>
    <w:rsid w:val="007327FB"/>
    <w:rsid w:val="00737A7F"/>
    <w:rsid w:val="00737F37"/>
    <w:rsid w:val="007434BD"/>
    <w:rsid w:val="00744408"/>
    <w:rsid w:val="00744C24"/>
    <w:rsid w:val="0074537F"/>
    <w:rsid w:val="00746B36"/>
    <w:rsid w:val="00756FB1"/>
    <w:rsid w:val="00757294"/>
    <w:rsid w:val="007603D4"/>
    <w:rsid w:val="0076119E"/>
    <w:rsid w:val="0076544D"/>
    <w:rsid w:val="00767D3F"/>
    <w:rsid w:val="00771B23"/>
    <w:rsid w:val="00773670"/>
    <w:rsid w:val="00774F20"/>
    <w:rsid w:val="00777100"/>
    <w:rsid w:val="007775F7"/>
    <w:rsid w:val="00777E6B"/>
    <w:rsid w:val="00781F05"/>
    <w:rsid w:val="00782005"/>
    <w:rsid w:val="007852B8"/>
    <w:rsid w:val="00787C70"/>
    <w:rsid w:val="00787DEA"/>
    <w:rsid w:val="00794776"/>
    <w:rsid w:val="007A0001"/>
    <w:rsid w:val="007A18FA"/>
    <w:rsid w:val="007A2EB9"/>
    <w:rsid w:val="007A4E20"/>
    <w:rsid w:val="007A51C4"/>
    <w:rsid w:val="007B12EF"/>
    <w:rsid w:val="007B2754"/>
    <w:rsid w:val="007B4261"/>
    <w:rsid w:val="007B49BE"/>
    <w:rsid w:val="007B6039"/>
    <w:rsid w:val="007C01F7"/>
    <w:rsid w:val="007C07DD"/>
    <w:rsid w:val="007C1C20"/>
    <w:rsid w:val="007C5F02"/>
    <w:rsid w:val="007C62CE"/>
    <w:rsid w:val="007C70DB"/>
    <w:rsid w:val="007D04C1"/>
    <w:rsid w:val="007D409F"/>
    <w:rsid w:val="007E0B44"/>
    <w:rsid w:val="007E13E5"/>
    <w:rsid w:val="007E2376"/>
    <w:rsid w:val="007E2AF4"/>
    <w:rsid w:val="007E61CC"/>
    <w:rsid w:val="007E73C3"/>
    <w:rsid w:val="007F03B5"/>
    <w:rsid w:val="007F13B4"/>
    <w:rsid w:val="007F2745"/>
    <w:rsid w:val="007F401B"/>
    <w:rsid w:val="00800B45"/>
    <w:rsid w:val="00801422"/>
    <w:rsid w:val="00806634"/>
    <w:rsid w:val="00812797"/>
    <w:rsid w:val="00812FDE"/>
    <w:rsid w:val="0081784C"/>
    <w:rsid w:val="00817977"/>
    <w:rsid w:val="008201FB"/>
    <w:rsid w:val="00820A58"/>
    <w:rsid w:val="00822AC3"/>
    <w:rsid w:val="00822BBA"/>
    <w:rsid w:val="0082316E"/>
    <w:rsid w:val="00824AF0"/>
    <w:rsid w:val="0083040E"/>
    <w:rsid w:val="00833347"/>
    <w:rsid w:val="00834014"/>
    <w:rsid w:val="00834D97"/>
    <w:rsid w:val="008401CC"/>
    <w:rsid w:val="008412CD"/>
    <w:rsid w:val="00841EBC"/>
    <w:rsid w:val="008421EB"/>
    <w:rsid w:val="00845DED"/>
    <w:rsid w:val="008463A3"/>
    <w:rsid w:val="00846D01"/>
    <w:rsid w:val="0084759B"/>
    <w:rsid w:val="0085067F"/>
    <w:rsid w:val="00851885"/>
    <w:rsid w:val="00853FE1"/>
    <w:rsid w:val="00854C21"/>
    <w:rsid w:val="0085671E"/>
    <w:rsid w:val="00860500"/>
    <w:rsid w:val="00861FC0"/>
    <w:rsid w:val="00865663"/>
    <w:rsid w:val="00865F49"/>
    <w:rsid w:val="0086703A"/>
    <w:rsid w:val="00871A0A"/>
    <w:rsid w:val="00871E18"/>
    <w:rsid w:val="00874F95"/>
    <w:rsid w:val="00875187"/>
    <w:rsid w:val="008822A8"/>
    <w:rsid w:val="00882E21"/>
    <w:rsid w:val="00883688"/>
    <w:rsid w:val="00884A5D"/>
    <w:rsid w:val="00884D04"/>
    <w:rsid w:val="00885D59"/>
    <w:rsid w:val="00886325"/>
    <w:rsid w:val="00886A42"/>
    <w:rsid w:val="00890242"/>
    <w:rsid w:val="008918BF"/>
    <w:rsid w:val="00893362"/>
    <w:rsid w:val="00894377"/>
    <w:rsid w:val="008A3389"/>
    <w:rsid w:val="008A4C1B"/>
    <w:rsid w:val="008A5504"/>
    <w:rsid w:val="008A56BB"/>
    <w:rsid w:val="008A645E"/>
    <w:rsid w:val="008B23B6"/>
    <w:rsid w:val="008C0699"/>
    <w:rsid w:val="008C09DD"/>
    <w:rsid w:val="008C2EC4"/>
    <w:rsid w:val="008C3C68"/>
    <w:rsid w:val="008C4564"/>
    <w:rsid w:val="008D02BC"/>
    <w:rsid w:val="008D0A36"/>
    <w:rsid w:val="008D3832"/>
    <w:rsid w:val="008D3E6F"/>
    <w:rsid w:val="008E2C27"/>
    <w:rsid w:val="008E64B6"/>
    <w:rsid w:val="008E653E"/>
    <w:rsid w:val="008E69CD"/>
    <w:rsid w:val="008F063B"/>
    <w:rsid w:val="008F1786"/>
    <w:rsid w:val="008F2427"/>
    <w:rsid w:val="008F3D17"/>
    <w:rsid w:val="008F6954"/>
    <w:rsid w:val="009021AA"/>
    <w:rsid w:val="00902D2B"/>
    <w:rsid w:val="00904083"/>
    <w:rsid w:val="00904266"/>
    <w:rsid w:val="00904869"/>
    <w:rsid w:val="00905133"/>
    <w:rsid w:val="00905562"/>
    <w:rsid w:val="0090635E"/>
    <w:rsid w:val="00906D2C"/>
    <w:rsid w:val="00907956"/>
    <w:rsid w:val="00911957"/>
    <w:rsid w:val="00914CA5"/>
    <w:rsid w:val="00916996"/>
    <w:rsid w:val="00921C0C"/>
    <w:rsid w:val="00924D7A"/>
    <w:rsid w:val="009250E3"/>
    <w:rsid w:val="00927324"/>
    <w:rsid w:val="00927EC6"/>
    <w:rsid w:val="0093001A"/>
    <w:rsid w:val="009301B2"/>
    <w:rsid w:val="009305A8"/>
    <w:rsid w:val="009320F7"/>
    <w:rsid w:val="0093303B"/>
    <w:rsid w:val="00936742"/>
    <w:rsid w:val="0094462F"/>
    <w:rsid w:val="009454EB"/>
    <w:rsid w:val="00952594"/>
    <w:rsid w:val="00953B12"/>
    <w:rsid w:val="0095504B"/>
    <w:rsid w:val="00955D25"/>
    <w:rsid w:val="00960423"/>
    <w:rsid w:val="00961A94"/>
    <w:rsid w:val="009639F0"/>
    <w:rsid w:val="009647A3"/>
    <w:rsid w:val="009658FC"/>
    <w:rsid w:val="00966CBC"/>
    <w:rsid w:val="009673F1"/>
    <w:rsid w:val="00967609"/>
    <w:rsid w:val="0097066D"/>
    <w:rsid w:val="00970A3F"/>
    <w:rsid w:val="00972A3F"/>
    <w:rsid w:val="00972E65"/>
    <w:rsid w:val="00973F17"/>
    <w:rsid w:val="00975326"/>
    <w:rsid w:val="00975E51"/>
    <w:rsid w:val="009777B0"/>
    <w:rsid w:val="00981BFF"/>
    <w:rsid w:val="00984CC6"/>
    <w:rsid w:val="0098654B"/>
    <w:rsid w:val="00991417"/>
    <w:rsid w:val="009922B5"/>
    <w:rsid w:val="00996683"/>
    <w:rsid w:val="009979F7"/>
    <w:rsid w:val="009A049F"/>
    <w:rsid w:val="009A3D67"/>
    <w:rsid w:val="009A42C1"/>
    <w:rsid w:val="009A594C"/>
    <w:rsid w:val="009A5BDA"/>
    <w:rsid w:val="009A65A7"/>
    <w:rsid w:val="009A71E4"/>
    <w:rsid w:val="009A72F3"/>
    <w:rsid w:val="009B04D2"/>
    <w:rsid w:val="009B1B32"/>
    <w:rsid w:val="009B1E9D"/>
    <w:rsid w:val="009B636E"/>
    <w:rsid w:val="009B732E"/>
    <w:rsid w:val="009C14ED"/>
    <w:rsid w:val="009C3DB0"/>
    <w:rsid w:val="009D403C"/>
    <w:rsid w:val="009D6383"/>
    <w:rsid w:val="009D766A"/>
    <w:rsid w:val="009E1463"/>
    <w:rsid w:val="009E3921"/>
    <w:rsid w:val="009E43A3"/>
    <w:rsid w:val="009E48D6"/>
    <w:rsid w:val="009E57AF"/>
    <w:rsid w:val="009F2397"/>
    <w:rsid w:val="009F6C0F"/>
    <w:rsid w:val="00A00B95"/>
    <w:rsid w:val="00A02E06"/>
    <w:rsid w:val="00A0300D"/>
    <w:rsid w:val="00A13285"/>
    <w:rsid w:val="00A15FF6"/>
    <w:rsid w:val="00A1604F"/>
    <w:rsid w:val="00A17771"/>
    <w:rsid w:val="00A20130"/>
    <w:rsid w:val="00A2162F"/>
    <w:rsid w:val="00A2330B"/>
    <w:rsid w:val="00A2428A"/>
    <w:rsid w:val="00A25959"/>
    <w:rsid w:val="00A30C8F"/>
    <w:rsid w:val="00A335FC"/>
    <w:rsid w:val="00A34566"/>
    <w:rsid w:val="00A347B4"/>
    <w:rsid w:val="00A35DFC"/>
    <w:rsid w:val="00A363C0"/>
    <w:rsid w:val="00A36B13"/>
    <w:rsid w:val="00A378D1"/>
    <w:rsid w:val="00A41D3F"/>
    <w:rsid w:val="00A42B02"/>
    <w:rsid w:val="00A440D8"/>
    <w:rsid w:val="00A451D4"/>
    <w:rsid w:val="00A51B02"/>
    <w:rsid w:val="00A531BF"/>
    <w:rsid w:val="00A5340A"/>
    <w:rsid w:val="00A53671"/>
    <w:rsid w:val="00A554D5"/>
    <w:rsid w:val="00A557FB"/>
    <w:rsid w:val="00A55C23"/>
    <w:rsid w:val="00A55D94"/>
    <w:rsid w:val="00A570D7"/>
    <w:rsid w:val="00A61E8E"/>
    <w:rsid w:val="00A63D0D"/>
    <w:rsid w:val="00A65FDE"/>
    <w:rsid w:val="00A66E99"/>
    <w:rsid w:val="00A70AA9"/>
    <w:rsid w:val="00A71915"/>
    <w:rsid w:val="00A725E4"/>
    <w:rsid w:val="00A72743"/>
    <w:rsid w:val="00A73A94"/>
    <w:rsid w:val="00A73BA2"/>
    <w:rsid w:val="00A77085"/>
    <w:rsid w:val="00A80C4F"/>
    <w:rsid w:val="00A8204D"/>
    <w:rsid w:val="00A83DA3"/>
    <w:rsid w:val="00A844E8"/>
    <w:rsid w:val="00A85AEA"/>
    <w:rsid w:val="00A87105"/>
    <w:rsid w:val="00A87D9A"/>
    <w:rsid w:val="00A902CD"/>
    <w:rsid w:val="00A9173E"/>
    <w:rsid w:val="00A95D0B"/>
    <w:rsid w:val="00A96578"/>
    <w:rsid w:val="00A96843"/>
    <w:rsid w:val="00AA1308"/>
    <w:rsid w:val="00AA337B"/>
    <w:rsid w:val="00AA408D"/>
    <w:rsid w:val="00AA6981"/>
    <w:rsid w:val="00AB0C70"/>
    <w:rsid w:val="00AB1366"/>
    <w:rsid w:val="00AB3C8B"/>
    <w:rsid w:val="00AB4828"/>
    <w:rsid w:val="00AB76DF"/>
    <w:rsid w:val="00AB7BDD"/>
    <w:rsid w:val="00AC3B5E"/>
    <w:rsid w:val="00AC77A7"/>
    <w:rsid w:val="00AD100C"/>
    <w:rsid w:val="00AD1016"/>
    <w:rsid w:val="00AD1FCA"/>
    <w:rsid w:val="00AD4D52"/>
    <w:rsid w:val="00AE2139"/>
    <w:rsid w:val="00AE2F05"/>
    <w:rsid w:val="00AE5F0C"/>
    <w:rsid w:val="00AF30F4"/>
    <w:rsid w:val="00AF32CC"/>
    <w:rsid w:val="00AF3EDC"/>
    <w:rsid w:val="00AF410E"/>
    <w:rsid w:val="00AF49A5"/>
    <w:rsid w:val="00AF50CD"/>
    <w:rsid w:val="00AF598B"/>
    <w:rsid w:val="00AF5D0D"/>
    <w:rsid w:val="00AF6970"/>
    <w:rsid w:val="00B005A8"/>
    <w:rsid w:val="00B01CDC"/>
    <w:rsid w:val="00B02166"/>
    <w:rsid w:val="00B057EE"/>
    <w:rsid w:val="00B060D5"/>
    <w:rsid w:val="00B06C6E"/>
    <w:rsid w:val="00B072F9"/>
    <w:rsid w:val="00B11475"/>
    <w:rsid w:val="00B126F2"/>
    <w:rsid w:val="00B13211"/>
    <w:rsid w:val="00B13ADE"/>
    <w:rsid w:val="00B1448F"/>
    <w:rsid w:val="00B14C96"/>
    <w:rsid w:val="00B178B7"/>
    <w:rsid w:val="00B22ACD"/>
    <w:rsid w:val="00B340EE"/>
    <w:rsid w:val="00B4104E"/>
    <w:rsid w:val="00B4414D"/>
    <w:rsid w:val="00B4753B"/>
    <w:rsid w:val="00B47947"/>
    <w:rsid w:val="00B47F57"/>
    <w:rsid w:val="00B52EF1"/>
    <w:rsid w:val="00B568B2"/>
    <w:rsid w:val="00B571DC"/>
    <w:rsid w:val="00B60FD3"/>
    <w:rsid w:val="00B6437C"/>
    <w:rsid w:val="00B65B1D"/>
    <w:rsid w:val="00B66F45"/>
    <w:rsid w:val="00B677D5"/>
    <w:rsid w:val="00B71291"/>
    <w:rsid w:val="00B72907"/>
    <w:rsid w:val="00B72CF6"/>
    <w:rsid w:val="00B72E7F"/>
    <w:rsid w:val="00B75F20"/>
    <w:rsid w:val="00B777AC"/>
    <w:rsid w:val="00B82CBF"/>
    <w:rsid w:val="00B83431"/>
    <w:rsid w:val="00B84C2A"/>
    <w:rsid w:val="00B859B3"/>
    <w:rsid w:val="00B85FB3"/>
    <w:rsid w:val="00B86432"/>
    <w:rsid w:val="00B87903"/>
    <w:rsid w:val="00B87A78"/>
    <w:rsid w:val="00B90EF4"/>
    <w:rsid w:val="00B97459"/>
    <w:rsid w:val="00B97BAD"/>
    <w:rsid w:val="00BA0158"/>
    <w:rsid w:val="00BA10F2"/>
    <w:rsid w:val="00BA3636"/>
    <w:rsid w:val="00BA42B5"/>
    <w:rsid w:val="00BA6E7A"/>
    <w:rsid w:val="00BB005C"/>
    <w:rsid w:val="00BB08AE"/>
    <w:rsid w:val="00BB1F0C"/>
    <w:rsid w:val="00BB37C4"/>
    <w:rsid w:val="00BB444D"/>
    <w:rsid w:val="00BB48A9"/>
    <w:rsid w:val="00BB5A5C"/>
    <w:rsid w:val="00BC06F0"/>
    <w:rsid w:val="00BC1EBE"/>
    <w:rsid w:val="00BC378E"/>
    <w:rsid w:val="00BC3E08"/>
    <w:rsid w:val="00BC702B"/>
    <w:rsid w:val="00BD0B14"/>
    <w:rsid w:val="00BD1947"/>
    <w:rsid w:val="00BD24E7"/>
    <w:rsid w:val="00BD2BB8"/>
    <w:rsid w:val="00BD38AB"/>
    <w:rsid w:val="00BD3A21"/>
    <w:rsid w:val="00BE5578"/>
    <w:rsid w:val="00BF0486"/>
    <w:rsid w:val="00BF12FD"/>
    <w:rsid w:val="00BF1E84"/>
    <w:rsid w:val="00BF3205"/>
    <w:rsid w:val="00BF449A"/>
    <w:rsid w:val="00BF47B1"/>
    <w:rsid w:val="00BF7565"/>
    <w:rsid w:val="00C00A37"/>
    <w:rsid w:val="00C0104B"/>
    <w:rsid w:val="00C0250D"/>
    <w:rsid w:val="00C028BA"/>
    <w:rsid w:val="00C04D8F"/>
    <w:rsid w:val="00C069BA"/>
    <w:rsid w:val="00C06DE6"/>
    <w:rsid w:val="00C07CF1"/>
    <w:rsid w:val="00C12328"/>
    <w:rsid w:val="00C1419B"/>
    <w:rsid w:val="00C144AE"/>
    <w:rsid w:val="00C159C9"/>
    <w:rsid w:val="00C16304"/>
    <w:rsid w:val="00C20226"/>
    <w:rsid w:val="00C21486"/>
    <w:rsid w:val="00C26D74"/>
    <w:rsid w:val="00C30E26"/>
    <w:rsid w:val="00C3255C"/>
    <w:rsid w:val="00C35D62"/>
    <w:rsid w:val="00C35F11"/>
    <w:rsid w:val="00C4004B"/>
    <w:rsid w:val="00C40EFF"/>
    <w:rsid w:val="00C42578"/>
    <w:rsid w:val="00C4535C"/>
    <w:rsid w:val="00C50AD4"/>
    <w:rsid w:val="00C557D1"/>
    <w:rsid w:val="00C55DAB"/>
    <w:rsid w:val="00C57294"/>
    <w:rsid w:val="00C573FF"/>
    <w:rsid w:val="00C60A2B"/>
    <w:rsid w:val="00C61EF2"/>
    <w:rsid w:val="00C62B38"/>
    <w:rsid w:val="00C64FA4"/>
    <w:rsid w:val="00C66289"/>
    <w:rsid w:val="00C66F75"/>
    <w:rsid w:val="00C6781C"/>
    <w:rsid w:val="00C71EEE"/>
    <w:rsid w:val="00C74C25"/>
    <w:rsid w:val="00C751FC"/>
    <w:rsid w:val="00C7525B"/>
    <w:rsid w:val="00C77AE0"/>
    <w:rsid w:val="00C80411"/>
    <w:rsid w:val="00C81191"/>
    <w:rsid w:val="00C84255"/>
    <w:rsid w:val="00C84E13"/>
    <w:rsid w:val="00C864B8"/>
    <w:rsid w:val="00C86602"/>
    <w:rsid w:val="00C86D24"/>
    <w:rsid w:val="00C91EAE"/>
    <w:rsid w:val="00C92087"/>
    <w:rsid w:val="00C929E8"/>
    <w:rsid w:val="00C95750"/>
    <w:rsid w:val="00CA3691"/>
    <w:rsid w:val="00CA51C1"/>
    <w:rsid w:val="00CA5C5C"/>
    <w:rsid w:val="00CA5C82"/>
    <w:rsid w:val="00CA6DA5"/>
    <w:rsid w:val="00CB092E"/>
    <w:rsid w:val="00CB195B"/>
    <w:rsid w:val="00CB1FE0"/>
    <w:rsid w:val="00CB35FD"/>
    <w:rsid w:val="00CB4624"/>
    <w:rsid w:val="00CB5635"/>
    <w:rsid w:val="00CB690F"/>
    <w:rsid w:val="00CB7717"/>
    <w:rsid w:val="00CB7FD4"/>
    <w:rsid w:val="00CC1360"/>
    <w:rsid w:val="00CD0208"/>
    <w:rsid w:val="00CD0BA6"/>
    <w:rsid w:val="00CD1521"/>
    <w:rsid w:val="00CD1C9D"/>
    <w:rsid w:val="00CD34F6"/>
    <w:rsid w:val="00CD4580"/>
    <w:rsid w:val="00CE0B7E"/>
    <w:rsid w:val="00CE2836"/>
    <w:rsid w:val="00CE36BB"/>
    <w:rsid w:val="00CE4D32"/>
    <w:rsid w:val="00CE747F"/>
    <w:rsid w:val="00CE7963"/>
    <w:rsid w:val="00CF0809"/>
    <w:rsid w:val="00CF0CD5"/>
    <w:rsid w:val="00CF277D"/>
    <w:rsid w:val="00CF286A"/>
    <w:rsid w:val="00CF3A6B"/>
    <w:rsid w:val="00CF4136"/>
    <w:rsid w:val="00CF6AD2"/>
    <w:rsid w:val="00CF742C"/>
    <w:rsid w:val="00CF7923"/>
    <w:rsid w:val="00CF7F74"/>
    <w:rsid w:val="00D009A6"/>
    <w:rsid w:val="00D00FFE"/>
    <w:rsid w:val="00D0287D"/>
    <w:rsid w:val="00D03D82"/>
    <w:rsid w:val="00D042E4"/>
    <w:rsid w:val="00D046A6"/>
    <w:rsid w:val="00D05487"/>
    <w:rsid w:val="00D07FA9"/>
    <w:rsid w:val="00D103B4"/>
    <w:rsid w:val="00D13265"/>
    <w:rsid w:val="00D21353"/>
    <w:rsid w:val="00D2191D"/>
    <w:rsid w:val="00D21D78"/>
    <w:rsid w:val="00D21D85"/>
    <w:rsid w:val="00D223E1"/>
    <w:rsid w:val="00D24344"/>
    <w:rsid w:val="00D24C39"/>
    <w:rsid w:val="00D26ABA"/>
    <w:rsid w:val="00D31AA9"/>
    <w:rsid w:val="00D334EE"/>
    <w:rsid w:val="00D33B4D"/>
    <w:rsid w:val="00D357AE"/>
    <w:rsid w:val="00D3668B"/>
    <w:rsid w:val="00D41FDA"/>
    <w:rsid w:val="00D4319D"/>
    <w:rsid w:val="00D45E71"/>
    <w:rsid w:val="00D53694"/>
    <w:rsid w:val="00D549D8"/>
    <w:rsid w:val="00D55E01"/>
    <w:rsid w:val="00D5689B"/>
    <w:rsid w:val="00D56D9E"/>
    <w:rsid w:val="00D57F64"/>
    <w:rsid w:val="00D61C33"/>
    <w:rsid w:val="00D649E7"/>
    <w:rsid w:val="00D6630F"/>
    <w:rsid w:val="00D70F2C"/>
    <w:rsid w:val="00D71A46"/>
    <w:rsid w:val="00D735DE"/>
    <w:rsid w:val="00D73894"/>
    <w:rsid w:val="00D74C93"/>
    <w:rsid w:val="00D7726D"/>
    <w:rsid w:val="00D84EFB"/>
    <w:rsid w:val="00D853F8"/>
    <w:rsid w:val="00D85F26"/>
    <w:rsid w:val="00D90348"/>
    <w:rsid w:val="00D91EDE"/>
    <w:rsid w:val="00D95A1B"/>
    <w:rsid w:val="00D96E9B"/>
    <w:rsid w:val="00D96EC9"/>
    <w:rsid w:val="00DA046F"/>
    <w:rsid w:val="00DA368D"/>
    <w:rsid w:val="00DA7CE3"/>
    <w:rsid w:val="00DB0F7A"/>
    <w:rsid w:val="00DB1EEE"/>
    <w:rsid w:val="00DB30C8"/>
    <w:rsid w:val="00DB41FE"/>
    <w:rsid w:val="00DB4BD8"/>
    <w:rsid w:val="00DB5E10"/>
    <w:rsid w:val="00DB6B2F"/>
    <w:rsid w:val="00DB6D0E"/>
    <w:rsid w:val="00DB79B8"/>
    <w:rsid w:val="00DC4B35"/>
    <w:rsid w:val="00DC5E83"/>
    <w:rsid w:val="00DC711C"/>
    <w:rsid w:val="00DD1278"/>
    <w:rsid w:val="00DD4AC4"/>
    <w:rsid w:val="00DD640E"/>
    <w:rsid w:val="00DE1489"/>
    <w:rsid w:val="00DE1A4A"/>
    <w:rsid w:val="00DE341D"/>
    <w:rsid w:val="00DE37DA"/>
    <w:rsid w:val="00DE563A"/>
    <w:rsid w:val="00DE5EF3"/>
    <w:rsid w:val="00DE63F7"/>
    <w:rsid w:val="00DE7E5E"/>
    <w:rsid w:val="00DF544A"/>
    <w:rsid w:val="00DF698A"/>
    <w:rsid w:val="00E0067A"/>
    <w:rsid w:val="00E00EAA"/>
    <w:rsid w:val="00E04954"/>
    <w:rsid w:val="00E05FA3"/>
    <w:rsid w:val="00E074C0"/>
    <w:rsid w:val="00E11858"/>
    <w:rsid w:val="00E13EC1"/>
    <w:rsid w:val="00E141C0"/>
    <w:rsid w:val="00E1510B"/>
    <w:rsid w:val="00E15113"/>
    <w:rsid w:val="00E23728"/>
    <w:rsid w:val="00E256B8"/>
    <w:rsid w:val="00E25C5A"/>
    <w:rsid w:val="00E25D13"/>
    <w:rsid w:val="00E314C6"/>
    <w:rsid w:val="00E3324C"/>
    <w:rsid w:val="00E337B6"/>
    <w:rsid w:val="00E34AF2"/>
    <w:rsid w:val="00E3705F"/>
    <w:rsid w:val="00E41524"/>
    <w:rsid w:val="00E45475"/>
    <w:rsid w:val="00E45AE9"/>
    <w:rsid w:val="00E46B9F"/>
    <w:rsid w:val="00E4734B"/>
    <w:rsid w:val="00E57D26"/>
    <w:rsid w:val="00E600AF"/>
    <w:rsid w:val="00E63645"/>
    <w:rsid w:val="00E6393A"/>
    <w:rsid w:val="00E63E9E"/>
    <w:rsid w:val="00E650A2"/>
    <w:rsid w:val="00E65D1E"/>
    <w:rsid w:val="00E6795B"/>
    <w:rsid w:val="00E67FF1"/>
    <w:rsid w:val="00E71369"/>
    <w:rsid w:val="00E71949"/>
    <w:rsid w:val="00E728E6"/>
    <w:rsid w:val="00E76FA0"/>
    <w:rsid w:val="00E80781"/>
    <w:rsid w:val="00E8136F"/>
    <w:rsid w:val="00E820F7"/>
    <w:rsid w:val="00E82169"/>
    <w:rsid w:val="00E84118"/>
    <w:rsid w:val="00E8439D"/>
    <w:rsid w:val="00E848D1"/>
    <w:rsid w:val="00E85827"/>
    <w:rsid w:val="00E918DF"/>
    <w:rsid w:val="00E93FA8"/>
    <w:rsid w:val="00E94284"/>
    <w:rsid w:val="00E97FEB"/>
    <w:rsid w:val="00EA1ED3"/>
    <w:rsid w:val="00EA5C4F"/>
    <w:rsid w:val="00EA7AEF"/>
    <w:rsid w:val="00EB10DC"/>
    <w:rsid w:val="00EB330D"/>
    <w:rsid w:val="00EB333F"/>
    <w:rsid w:val="00EB612E"/>
    <w:rsid w:val="00EB68E4"/>
    <w:rsid w:val="00EC0039"/>
    <w:rsid w:val="00EC17A4"/>
    <w:rsid w:val="00EC20C6"/>
    <w:rsid w:val="00EC2370"/>
    <w:rsid w:val="00EC28A1"/>
    <w:rsid w:val="00EC5037"/>
    <w:rsid w:val="00EC7427"/>
    <w:rsid w:val="00EC7EB7"/>
    <w:rsid w:val="00ED2E2E"/>
    <w:rsid w:val="00ED59BA"/>
    <w:rsid w:val="00EE1BD7"/>
    <w:rsid w:val="00EE45F5"/>
    <w:rsid w:val="00EE4825"/>
    <w:rsid w:val="00EE7CFD"/>
    <w:rsid w:val="00EF1BD4"/>
    <w:rsid w:val="00EF1EE3"/>
    <w:rsid w:val="00EF6484"/>
    <w:rsid w:val="00EF6B48"/>
    <w:rsid w:val="00EF6D10"/>
    <w:rsid w:val="00EF7604"/>
    <w:rsid w:val="00F003B7"/>
    <w:rsid w:val="00F0175B"/>
    <w:rsid w:val="00F032D4"/>
    <w:rsid w:val="00F06797"/>
    <w:rsid w:val="00F07A77"/>
    <w:rsid w:val="00F10121"/>
    <w:rsid w:val="00F11DD3"/>
    <w:rsid w:val="00F13274"/>
    <w:rsid w:val="00F135CE"/>
    <w:rsid w:val="00F14C92"/>
    <w:rsid w:val="00F17E88"/>
    <w:rsid w:val="00F23080"/>
    <w:rsid w:val="00F239C2"/>
    <w:rsid w:val="00F2456D"/>
    <w:rsid w:val="00F245CA"/>
    <w:rsid w:val="00F25AAF"/>
    <w:rsid w:val="00F26734"/>
    <w:rsid w:val="00F30547"/>
    <w:rsid w:val="00F30C49"/>
    <w:rsid w:val="00F31647"/>
    <w:rsid w:val="00F34BD7"/>
    <w:rsid w:val="00F35ED4"/>
    <w:rsid w:val="00F36534"/>
    <w:rsid w:val="00F402D3"/>
    <w:rsid w:val="00F44649"/>
    <w:rsid w:val="00F468CB"/>
    <w:rsid w:val="00F47667"/>
    <w:rsid w:val="00F54F6B"/>
    <w:rsid w:val="00F56DEC"/>
    <w:rsid w:val="00F61502"/>
    <w:rsid w:val="00F61AEB"/>
    <w:rsid w:val="00F621EE"/>
    <w:rsid w:val="00F6405A"/>
    <w:rsid w:val="00F6526C"/>
    <w:rsid w:val="00F66FBA"/>
    <w:rsid w:val="00F66FCA"/>
    <w:rsid w:val="00F673DE"/>
    <w:rsid w:val="00F717A6"/>
    <w:rsid w:val="00F75479"/>
    <w:rsid w:val="00F8413B"/>
    <w:rsid w:val="00F855D6"/>
    <w:rsid w:val="00F86FCC"/>
    <w:rsid w:val="00F90D3D"/>
    <w:rsid w:val="00F91D05"/>
    <w:rsid w:val="00F92FEA"/>
    <w:rsid w:val="00F94575"/>
    <w:rsid w:val="00F94E33"/>
    <w:rsid w:val="00F961AC"/>
    <w:rsid w:val="00F97272"/>
    <w:rsid w:val="00F973FF"/>
    <w:rsid w:val="00F97A5D"/>
    <w:rsid w:val="00FA1858"/>
    <w:rsid w:val="00FA377E"/>
    <w:rsid w:val="00FA613F"/>
    <w:rsid w:val="00FA6707"/>
    <w:rsid w:val="00FB1F49"/>
    <w:rsid w:val="00FB2370"/>
    <w:rsid w:val="00FB3385"/>
    <w:rsid w:val="00FB4AA8"/>
    <w:rsid w:val="00FB661D"/>
    <w:rsid w:val="00FC0B6C"/>
    <w:rsid w:val="00FC15BE"/>
    <w:rsid w:val="00FC268D"/>
    <w:rsid w:val="00FC2AB2"/>
    <w:rsid w:val="00FC350F"/>
    <w:rsid w:val="00FC3909"/>
    <w:rsid w:val="00FC47C9"/>
    <w:rsid w:val="00FC79B6"/>
    <w:rsid w:val="00FC7D1E"/>
    <w:rsid w:val="00FC7F46"/>
    <w:rsid w:val="00FD197B"/>
    <w:rsid w:val="00FD32D9"/>
    <w:rsid w:val="00FD5C39"/>
    <w:rsid w:val="00FE0261"/>
    <w:rsid w:val="00FE053A"/>
    <w:rsid w:val="00FE05BB"/>
    <w:rsid w:val="00FE205B"/>
    <w:rsid w:val="00FE25EA"/>
    <w:rsid w:val="00FE3385"/>
    <w:rsid w:val="00FE3407"/>
    <w:rsid w:val="00FE46C2"/>
    <w:rsid w:val="00FE653D"/>
    <w:rsid w:val="00FE7554"/>
    <w:rsid w:val="00FF17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9C0ED06-7744-47C7-8CB6-A01B2A0E7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7645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9301B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qFormat/>
    <w:rsid w:val="009301B2"/>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9301B2"/>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83040E"/>
    <w:pPr>
      <w:tabs>
        <w:tab w:val="right" w:leader="dot" w:pos="8416"/>
      </w:tabs>
      <w:ind w:leftChars="0" w:left="486" w:right="352" w:hangingChars="200" w:hanging="486"/>
    </w:pPr>
    <w:rPr>
      <w:rFonts w:hAnsi="標楷體"/>
      <w:noProof/>
      <w:sz w:val="24"/>
      <w:szCs w:val="24"/>
    </w:rPr>
  </w:style>
  <w:style w:type="paragraph" w:styleId="24">
    <w:name w:val="toc 2"/>
    <w:basedOn w:val="a"/>
    <w:next w:val="a"/>
    <w:autoRedefine/>
    <w:uiPriority w:val="39"/>
    <w:semiHidden/>
    <w:qFormat/>
    <w:pPr>
      <w:tabs>
        <w:tab w:val="right" w:leader="hyphen" w:pos="8490"/>
      </w:tabs>
      <w:ind w:leftChars="0" w:left="566" w:hangingChars="200" w:hanging="566"/>
    </w:pPr>
  </w:style>
  <w:style w:type="paragraph" w:styleId="ae">
    <w:name w:val="header"/>
    <w:basedOn w:val="a"/>
    <w:link w:val="af"/>
    <w:uiPriority w:val="99"/>
    <w:unhideWhenUsed/>
    <w:rsid w:val="004F2961"/>
    <w:pPr>
      <w:tabs>
        <w:tab w:val="center" w:pos="4153"/>
        <w:tab w:val="right" w:pos="8306"/>
      </w:tabs>
      <w:snapToGrid w:val="0"/>
    </w:pPr>
    <w:rPr>
      <w:sz w:val="20"/>
      <w:szCs w:val="20"/>
    </w:rPr>
  </w:style>
  <w:style w:type="character" w:customStyle="1" w:styleId="af">
    <w:name w:val="頁首 字元"/>
    <w:link w:val="ae"/>
    <w:uiPriority w:val="99"/>
    <w:rsid w:val="004F2961"/>
    <w:rPr>
      <w:rFonts w:ascii="標楷體" w:eastAsia="標楷體"/>
      <w:snapToGrid w:val="0"/>
      <w:kern w:val="2"/>
    </w:rPr>
  </w:style>
  <w:style w:type="paragraph" w:styleId="af0">
    <w:name w:val="footer"/>
    <w:basedOn w:val="a"/>
    <w:link w:val="af1"/>
    <w:uiPriority w:val="99"/>
    <w:unhideWhenUsed/>
    <w:rsid w:val="004F2961"/>
    <w:pPr>
      <w:tabs>
        <w:tab w:val="center" w:pos="4153"/>
        <w:tab w:val="right" w:pos="8306"/>
      </w:tabs>
      <w:snapToGrid w:val="0"/>
    </w:pPr>
    <w:rPr>
      <w:sz w:val="20"/>
      <w:szCs w:val="20"/>
    </w:rPr>
  </w:style>
  <w:style w:type="character" w:customStyle="1" w:styleId="af1">
    <w:name w:val="頁尾 字元"/>
    <w:link w:val="af0"/>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2">
    <w:name w:val="Balloon Text"/>
    <w:basedOn w:val="a"/>
    <w:link w:val="af3"/>
    <w:uiPriority w:val="99"/>
    <w:semiHidden/>
    <w:unhideWhenUsed/>
    <w:rsid w:val="00B859B3"/>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B859B3"/>
    <w:rPr>
      <w:rFonts w:ascii="Cambria" w:eastAsia="新細明體" w:hAnsi="Cambria" w:cs="Times New Roman"/>
      <w:snapToGrid w:val="0"/>
      <w:kern w:val="2"/>
      <w:sz w:val="18"/>
      <w:szCs w:val="18"/>
    </w:rPr>
  </w:style>
  <w:style w:type="character" w:customStyle="1" w:styleId="10">
    <w:name w:val="標題 1 字元"/>
    <w:link w:val="1"/>
    <w:uiPriority w:val="9"/>
    <w:rsid w:val="009301B2"/>
    <w:rPr>
      <w:rFonts w:ascii="Cambria" w:hAnsi="Cambria"/>
      <w:b/>
      <w:bCs/>
      <w:snapToGrid w:val="0"/>
      <w:kern w:val="52"/>
      <w:sz w:val="52"/>
      <w:szCs w:val="52"/>
    </w:rPr>
  </w:style>
  <w:style w:type="character" w:customStyle="1" w:styleId="20">
    <w:name w:val="標題 2 字元"/>
    <w:link w:val="2"/>
    <w:uiPriority w:val="9"/>
    <w:semiHidden/>
    <w:rsid w:val="009301B2"/>
    <w:rPr>
      <w:rFonts w:ascii="Cambria" w:hAnsi="Cambria"/>
      <w:b/>
      <w:bCs/>
      <w:snapToGrid w:val="0"/>
      <w:kern w:val="2"/>
      <w:sz w:val="48"/>
      <w:szCs w:val="48"/>
    </w:rPr>
  </w:style>
  <w:style w:type="character" w:customStyle="1" w:styleId="30">
    <w:name w:val="標題 3 字元"/>
    <w:link w:val="3"/>
    <w:uiPriority w:val="9"/>
    <w:semiHidden/>
    <w:rsid w:val="009301B2"/>
    <w:rPr>
      <w:rFonts w:ascii="Cambria" w:hAnsi="Cambria"/>
      <w:b/>
      <w:bCs/>
      <w:snapToGrid w:val="0"/>
      <w:kern w:val="2"/>
      <w:sz w:val="36"/>
      <w:szCs w:val="36"/>
    </w:rPr>
  </w:style>
  <w:style w:type="character" w:customStyle="1" w:styleId="a9">
    <w:name w:val="前言內文 字元"/>
    <w:link w:val="a8"/>
    <w:rsid w:val="009301B2"/>
    <w:rPr>
      <w:rFonts w:ascii="標楷體" w:eastAsia="標楷體"/>
      <w:snapToGrid w:val="0"/>
      <w:kern w:val="2"/>
      <w:sz w:val="28"/>
      <w:szCs w:val="28"/>
    </w:rPr>
  </w:style>
  <w:style w:type="character" w:customStyle="1" w:styleId="141">
    <w:name w:val="第二層(14號字) 字元1"/>
    <w:link w:val="14"/>
    <w:rsid w:val="009301B2"/>
    <w:rPr>
      <w:rFonts w:ascii="標楷體" w:eastAsia="標楷體"/>
      <w:b/>
      <w:snapToGrid w:val="0"/>
      <w:kern w:val="2"/>
      <w:sz w:val="28"/>
    </w:rPr>
  </w:style>
  <w:style w:type="character" w:customStyle="1" w:styleId="21">
    <w:name w:val="(一)(二)(三) 字元2"/>
    <w:link w:val="a4"/>
    <w:rsid w:val="009301B2"/>
    <w:rPr>
      <w:rFonts w:ascii="標楷體" w:eastAsia="標楷體"/>
      <w:snapToGrid w:val="0"/>
      <w:kern w:val="2"/>
      <w:sz w:val="28"/>
      <w:szCs w:val="28"/>
    </w:rPr>
  </w:style>
  <w:style w:type="character" w:customStyle="1" w:styleId="23">
    <w:name w:val="(一)下內文縮2 字元"/>
    <w:link w:val="22"/>
    <w:rsid w:val="009301B2"/>
    <w:rPr>
      <w:rFonts w:ascii="標楷體" w:eastAsia="標楷體"/>
      <w:snapToGrid w:val="0"/>
      <w:kern w:val="2"/>
      <w:sz w:val="28"/>
      <w:szCs w:val="28"/>
    </w:rPr>
  </w:style>
  <w:style w:type="character" w:customStyle="1" w:styleId="143">
    <w:name w:val="表格內文(14行高) 字元"/>
    <w:link w:val="142"/>
    <w:rsid w:val="009301B2"/>
    <w:rPr>
      <w:rFonts w:ascii="標楷體" w:eastAsia="標楷體"/>
      <w:snapToGrid w:val="0"/>
      <w:kern w:val="2"/>
      <w:sz w:val="24"/>
      <w:szCs w:val="28"/>
    </w:rPr>
  </w:style>
  <w:style w:type="character" w:customStyle="1" w:styleId="145">
    <w:name w:val="第二層(14號字) 字元"/>
    <w:rsid w:val="009301B2"/>
    <w:rPr>
      <w:rFonts w:ascii="標楷體" w:eastAsia="標楷體"/>
      <w:b/>
      <w:snapToGrid w:val="0"/>
      <w:kern w:val="2"/>
      <w:sz w:val="28"/>
    </w:rPr>
  </w:style>
  <w:style w:type="character" w:customStyle="1" w:styleId="af4">
    <w:name w:val="(一)(二)(三) 字元"/>
    <w:rsid w:val="009301B2"/>
    <w:rPr>
      <w:rFonts w:ascii="標楷體" w:eastAsia="標楷體"/>
      <w:snapToGrid w:val="0"/>
      <w:kern w:val="2"/>
      <w:sz w:val="28"/>
      <w:szCs w:val="28"/>
    </w:rPr>
  </w:style>
  <w:style w:type="paragraph" w:styleId="af5">
    <w:name w:val="footnote text"/>
    <w:basedOn w:val="a"/>
    <w:link w:val="af6"/>
    <w:rsid w:val="009301B2"/>
    <w:pPr>
      <w:snapToGrid w:val="0"/>
      <w:jc w:val="left"/>
    </w:pPr>
    <w:rPr>
      <w:sz w:val="20"/>
      <w:szCs w:val="20"/>
    </w:rPr>
  </w:style>
  <w:style w:type="character" w:customStyle="1" w:styleId="af6">
    <w:name w:val="註腳文字 字元"/>
    <w:link w:val="af5"/>
    <w:rsid w:val="009301B2"/>
    <w:rPr>
      <w:rFonts w:ascii="標楷體" w:eastAsia="標楷體"/>
      <w:snapToGrid w:val="0"/>
      <w:kern w:val="2"/>
    </w:rPr>
  </w:style>
  <w:style w:type="character" w:styleId="af7">
    <w:name w:val="footnote reference"/>
    <w:aliases w:val="FR,Ref,de nota al pie,註腳內容,Error-Fußnotenzeichen5,Error-Fußnotenzeichen6,Error-Fußnotenzeichen3"/>
    <w:unhideWhenUsed/>
    <w:rsid w:val="009301B2"/>
    <w:rPr>
      <w:vertAlign w:val="superscript"/>
    </w:rPr>
  </w:style>
  <w:style w:type="paragraph" w:styleId="af8">
    <w:name w:val="Body Text"/>
    <w:basedOn w:val="a"/>
    <w:rsid w:val="00A844E8"/>
    <w:pPr>
      <w:spacing w:line="240" w:lineRule="auto"/>
      <w:ind w:leftChars="0" w:left="0" w:firstLineChars="0" w:firstLine="0"/>
    </w:pPr>
    <w:rPr>
      <w:rFonts w:ascii="Times New Roman"/>
      <w:snapToGrid/>
      <w:sz w:val="32"/>
      <w:szCs w:val="24"/>
    </w:rPr>
  </w:style>
  <w:style w:type="paragraph" w:styleId="HTML">
    <w:name w:val="HTML Preformatted"/>
    <w:basedOn w:val="a"/>
    <w:link w:val="HTML0"/>
    <w:uiPriority w:val="99"/>
    <w:unhideWhenUsed/>
    <w:rsid w:val="009301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301B2"/>
    <w:rPr>
      <w:rFonts w:ascii="細明體" w:eastAsia="細明體" w:hAnsi="細明體" w:cs="細明體"/>
      <w:sz w:val="24"/>
      <w:szCs w:val="24"/>
    </w:rPr>
  </w:style>
  <w:style w:type="table" w:styleId="af9">
    <w:name w:val="Table Grid"/>
    <w:basedOn w:val="a1"/>
    <w:rsid w:val="009301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9"/>
    <w:uiPriority w:val="59"/>
    <w:rsid w:val="009301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uiPriority w:val="99"/>
    <w:unhideWhenUsed/>
    <w:rsid w:val="009301B2"/>
    <w:rPr>
      <w:strike w:val="0"/>
      <w:dstrike w:val="0"/>
      <w:color w:val="017CA5"/>
      <w:u w:val="none"/>
      <w:effect w:val="none"/>
    </w:rPr>
  </w:style>
  <w:style w:type="paragraph" w:styleId="afb">
    <w:name w:val="TOC Heading"/>
    <w:basedOn w:val="1"/>
    <w:next w:val="a"/>
    <w:uiPriority w:val="39"/>
    <w:qFormat/>
    <w:rsid w:val="009301B2"/>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2">
    <w:name w:val="toc 3"/>
    <w:basedOn w:val="a"/>
    <w:next w:val="a"/>
    <w:autoRedefine/>
    <w:uiPriority w:val="39"/>
    <w:semiHidden/>
    <w:unhideWhenUsed/>
    <w:qFormat/>
    <w:rsid w:val="009301B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c">
    <w:name w:val="Date"/>
    <w:basedOn w:val="a"/>
    <w:next w:val="a"/>
    <w:rsid w:val="00A844E8"/>
    <w:pPr>
      <w:spacing w:line="240" w:lineRule="auto"/>
      <w:ind w:leftChars="0" w:left="0" w:firstLineChars="0" w:firstLine="0"/>
      <w:jc w:val="right"/>
    </w:pPr>
    <w:rPr>
      <w:rFonts w:ascii="Times New Roman"/>
      <w:b/>
      <w:bCs/>
      <w:snapToGrid/>
      <w:sz w:val="36"/>
      <w:szCs w:val="24"/>
    </w:rPr>
  </w:style>
  <w:style w:type="paragraph" w:customStyle="1" w:styleId="afd">
    <w:name w:val="第二層"/>
    <w:basedOn w:val="a"/>
    <w:rsid w:val="00D24344"/>
    <w:pPr>
      <w:spacing w:line="240" w:lineRule="auto"/>
      <w:ind w:leftChars="0" w:left="0" w:firstLineChars="0" w:firstLine="0"/>
      <w:jc w:val="left"/>
    </w:pPr>
    <w:rPr>
      <w:rFonts w:ascii="Times New Roman" w:eastAsia="新細明體"/>
      <w:snapToGrid/>
      <w:szCs w:val="24"/>
    </w:rPr>
  </w:style>
  <w:style w:type="character" w:customStyle="1" w:styleId="a7">
    <w:name w:val="結論 字元"/>
    <w:link w:val="a6"/>
    <w:rsid w:val="00D334E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68414">
      <w:bodyDiv w:val="1"/>
      <w:marLeft w:val="0"/>
      <w:marRight w:val="0"/>
      <w:marTop w:val="0"/>
      <w:marBottom w:val="0"/>
      <w:divBdr>
        <w:top w:val="none" w:sz="0" w:space="0" w:color="auto"/>
        <w:left w:val="none" w:sz="0" w:space="0" w:color="auto"/>
        <w:bottom w:val="none" w:sz="0" w:space="0" w:color="auto"/>
        <w:right w:val="none" w:sz="0" w:space="0" w:color="auto"/>
      </w:divBdr>
    </w:div>
    <w:div w:id="28577094">
      <w:bodyDiv w:val="1"/>
      <w:marLeft w:val="0"/>
      <w:marRight w:val="0"/>
      <w:marTop w:val="0"/>
      <w:marBottom w:val="0"/>
      <w:divBdr>
        <w:top w:val="none" w:sz="0" w:space="0" w:color="auto"/>
        <w:left w:val="none" w:sz="0" w:space="0" w:color="auto"/>
        <w:bottom w:val="none" w:sz="0" w:space="0" w:color="auto"/>
        <w:right w:val="none" w:sz="0" w:space="0" w:color="auto"/>
      </w:divBdr>
    </w:div>
    <w:div w:id="62262919">
      <w:bodyDiv w:val="1"/>
      <w:marLeft w:val="0"/>
      <w:marRight w:val="0"/>
      <w:marTop w:val="0"/>
      <w:marBottom w:val="0"/>
      <w:divBdr>
        <w:top w:val="none" w:sz="0" w:space="0" w:color="auto"/>
        <w:left w:val="none" w:sz="0" w:space="0" w:color="auto"/>
        <w:bottom w:val="none" w:sz="0" w:space="0" w:color="auto"/>
        <w:right w:val="none" w:sz="0" w:space="0" w:color="auto"/>
      </w:divBdr>
    </w:div>
    <w:div w:id="79258469">
      <w:bodyDiv w:val="1"/>
      <w:marLeft w:val="0"/>
      <w:marRight w:val="0"/>
      <w:marTop w:val="0"/>
      <w:marBottom w:val="0"/>
      <w:divBdr>
        <w:top w:val="none" w:sz="0" w:space="0" w:color="auto"/>
        <w:left w:val="none" w:sz="0" w:space="0" w:color="auto"/>
        <w:bottom w:val="none" w:sz="0" w:space="0" w:color="auto"/>
        <w:right w:val="none" w:sz="0" w:space="0" w:color="auto"/>
      </w:divBdr>
    </w:div>
    <w:div w:id="87390902">
      <w:bodyDiv w:val="1"/>
      <w:marLeft w:val="0"/>
      <w:marRight w:val="0"/>
      <w:marTop w:val="0"/>
      <w:marBottom w:val="0"/>
      <w:divBdr>
        <w:top w:val="none" w:sz="0" w:space="0" w:color="auto"/>
        <w:left w:val="none" w:sz="0" w:space="0" w:color="auto"/>
        <w:bottom w:val="none" w:sz="0" w:space="0" w:color="auto"/>
        <w:right w:val="none" w:sz="0" w:space="0" w:color="auto"/>
      </w:divBdr>
    </w:div>
    <w:div w:id="95248041">
      <w:bodyDiv w:val="1"/>
      <w:marLeft w:val="0"/>
      <w:marRight w:val="0"/>
      <w:marTop w:val="0"/>
      <w:marBottom w:val="0"/>
      <w:divBdr>
        <w:top w:val="none" w:sz="0" w:space="0" w:color="auto"/>
        <w:left w:val="none" w:sz="0" w:space="0" w:color="auto"/>
        <w:bottom w:val="none" w:sz="0" w:space="0" w:color="auto"/>
        <w:right w:val="none" w:sz="0" w:space="0" w:color="auto"/>
      </w:divBdr>
    </w:div>
    <w:div w:id="122845867">
      <w:bodyDiv w:val="1"/>
      <w:marLeft w:val="0"/>
      <w:marRight w:val="0"/>
      <w:marTop w:val="0"/>
      <w:marBottom w:val="0"/>
      <w:divBdr>
        <w:top w:val="none" w:sz="0" w:space="0" w:color="auto"/>
        <w:left w:val="none" w:sz="0" w:space="0" w:color="auto"/>
        <w:bottom w:val="none" w:sz="0" w:space="0" w:color="auto"/>
        <w:right w:val="none" w:sz="0" w:space="0" w:color="auto"/>
      </w:divBdr>
    </w:div>
    <w:div w:id="123475962">
      <w:bodyDiv w:val="1"/>
      <w:marLeft w:val="0"/>
      <w:marRight w:val="0"/>
      <w:marTop w:val="0"/>
      <w:marBottom w:val="0"/>
      <w:divBdr>
        <w:top w:val="none" w:sz="0" w:space="0" w:color="auto"/>
        <w:left w:val="none" w:sz="0" w:space="0" w:color="auto"/>
        <w:bottom w:val="none" w:sz="0" w:space="0" w:color="auto"/>
        <w:right w:val="none" w:sz="0" w:space="0" w:color="auto"/>
      </w:divBdr>
    </w:div>
    <w:div w:id="134223270">
      <w:bodyDiv w:val="1"/>
      <w:marLeft w:val="0"/>
      <w:marRight w:val="0"/>
      <w:marTop w:val="0"/>
      <w:marBottom w:val="0"/>
      <w:divBdr>
        <w:top w:val="none" w:sz="0" w:space="0" w:color="auto"/>
        <w:left w:val="none" w:sz="0" w:space="0" w:color="auto"/>
        <w:bottom w:val="none" w:sz="0" w:space="0" w:color="auto"/>
        <w:right w:val="none" w:sz="0" w:space="0" w:color="auto"/>
      </w:divBdr>
    </w:div>
    <w:div w:id="139544345">
      <w:bodyDiv w:val="1"/>
      <w:marLeft w:val="0"/>
      <w:marRight w:val="0"/>
      <w:marTop w:val="0"/>
      <w:marBottom w:val="0"/>
      <w:divBdr>
        <w:top w:val="none" w:sz="0" w:space="0" w:color="auto"/>
        <w:left w:val="none" w:sz="0" w:space="0" w:color="auto"/>
        <w:bottom w:val="none" w:sz="0" w:space="0" w:color="auto"/>
        <w:right w:val="none" w:sz="0" w:space="0" w:color="auto"/>
      </w:divBdr>
    </w:div>
    <w:div w:id="145704135">
      <w:bodyDiv w:val="1"/>
      <w:marLeft w:val="0"/>
      <w:marRight w:val="0"/>
      <w:marTop w:val="0"/>
      <w:marBottom w:val="0"/>
      <w:divBdr>
        <w:top w:val="none" w:sz="0" w:space="0" w:color="auto"/>
        <w:left w:val="none" w:sz="0" w:space="0" w:color="auto"/>
        <w:bottom w:val="none" w:sz="0" w:space="0" w:color="auto"/>
        <w:right w:val="none" w:sz="0" w:space="0" w:color="auto"/>
      </w:divBdr>
    </w:div>
    <w:div w:id="159783644">
      <w:bodyDiv w:val="1"/>
      <w:marLeft w:val="0"/>
      <w:marRight w:val="0"/>
      <w:marTop w:val="0"/>
      <w:marBottom w:val="0"/>
      <w:divBdr>
        <w:top w:val="none" w:sz="0" w:space="0" w:color="auto"/>
        <w:left w:val="none" w:sz="0" w:space="0" w:color="auto"/>
        <w:bottom w:val="none" w:sz="0" w:space="0" w:color="auto"/>
        <w:right w:val="none" w:sz="0" w:space="0" w:color="auto"/>
      </w:divBdr>
    </w:div>
    <w:div w:id="191185147">
      <w:bodyDiv w:val="1"/>
      <w:marLeft w:val="0"/>
      <w:marRight w:val="0"/>
      <w:marTop w:val="0"/>
      <w:marBottom w:val="0"/>
      <w:divBdr>
        <w:top w:val="none" w:sz="0" w:space="0" w:color="auto"/>
        <w:left w:val="none" w:sz="0" w:space="0" w:color="auto"/>
        <w:bottom w:val="none" w:sz="0" w:space="0" w:color="auto"/>
        <w:right w:val="none" w:sz="0" w:space="0" w:color="auto"/>
      </w:divBdr>
    </w:div>
    <w:div w:id="223954032">
      <w:bodyDiv w:val="1"/>
      <w:marLeft w:val="0"/>
      <w:marRight w:val="0"/>
      <w:marTop w:val="0"/>
      <w:marBottom w:val="0"/>
      <w:divBdr>
        <w:top w:val="none" w:sz="0" w:space="0" w:color="auto"/>
        <w:left w:val="none" w:sz="0" w:space="0" w:color="auto"/>
        <w:bottom w:val="none" w:sz="0" w:space="0" w:color="auto"/>
        <w:right w:val="none" w:sz="0" w:space="0" w:color="auto"/>
      </w:divBdr>
    </w:div>
    <w:div w:id="228660805">
      <w:bodyDiv w:val="1"/>
      <w:marLeft w:val="0"/>
      <w:marRight w:val="0"/>
      <w:marTop w:val="0"/>
      <w:marBottom w:val="0"/>
      <w:divBdr>
        <w:top w:val="none" w:sz="0" w:space="0" w:color="auto"/>
        <w:left w:val="none" w:sz="0" w:space="0" w:color="auto"/>
        <w:bottom w:val="none" w:sz="0" w:space="0" w:color="auto"/>
        <w:right w:val="none" w:sz="0" w:space="0" w:color="auto"/>
      </w:divBdr>
    </w:div>
    <w:div w:id="230502170">
      <w:bodyDiv w:val="1"/>
      <w:marLeft w:val="0"/>
      <w:marRight w:val="0"/>
      <w:marTop w:val="0"/>
      <w:marBottom w:val="0"/>
      <w:divBdr>
        <w:top w:val="none" w:sz="0" w:space="0" w:color="auto"/>
        <w:left w:val="none" w:sz="0" w:space="0" w:color="auto"/>
        <w:bottom w:val="none" w:sz="0" w:space="0" w:color="auto"/>
        <w:right w:val="none" w:sz="0" w:space="0" w:color="auto"/>
      </w:divBdr>
    </w:div>
    <w:div w:id="252669341">
      <w:bodyDiv w:val="1"/>
      <w:marLeft w:val="0"/>
      <w:marRight w:val="0"/>
      <w:marTop w:val="0"/>
      <w:marBottom w:val="0"/>
      <w:divBdr>
        <w:top w:val="none" w:sz="0" w:space="0" w:color="auto"/>
        <w:left w:val="none" w:sz="0" w:space="0" w:color="auto"/>
        <w:bottom w:val="none" w:sz="0" w:space="0" w:color="auto"/>
        <w:right w:val="none" w:sz="0" w:space="0" w:color="auto"/>
      </w:divBdr>
    </w:div>
    <w:div w:id="254097314">
      <w:bodyDiv w:val="1"/>
      <w:marLeft w:val="0"/>
      <w:marRight w:val="0"/>
      <w:marTop w:val="0"/>
      <w:marBottom w:val="0"/>
      <w:divBdr>
        <w:top w:val="none" w:sz="0" w:space="0" w:color="auto"/>
        <w:left w:val="none" w:sz="0" w:space="0" w:color="auto"/>
        <w:bottom w:val="none" w:sz="0" w:space="0" w:color="auto"/>
        <w:right w:val="none" w:sz="0" w:space="0" w:color="auto"/>
      </w:divBdr>
    </w:div>
    <w:div w:id="299113208">
      <w:bodyDiv w:val="1"/>
      <w:marLeft w:val="0"/>
      <w:marRight w:val="0"/>
      <w:marTop w:val="0"/>
      <w:marBottom w:val="0"/>
      <w:divBdr>
        <w:top w:val="none" w:sz="0" w:space="0" w:color="auto"/>
        <w:left w:val="none" w:sz="0" w:space="0" w:color="auto"/>
        <w:bottom w:val="none" w:sz="0" w:space="0" w:color="auto"/>
        <w:right w:val="none" w:sz="0" w:space="0" w:color="auto"/>
      </w:divBdr>
    </w:div>
    <w:div w:id="316809046">
      <w:bodyDiv w:val="1"/>
      <w:marLeft w:val="0"/>
      <w:marRight w:val="0"/>
      <w:marTop w:val="0"/>
      <w:marBottom w:val="0"/>
      <w:divBdr>
        <w:top w:val="none" w:sz="0" w:space="0" w:color="auto"/>
        <w:left w:val="none" w:sz="0" w:space="0" w:color="auto"/>
        <w:bottom w:val="none" w:sz="0" w:space="0" w:color="auto"/>
        <w:right w:val="none" w:sz="0" w:space="0" w:color="auto"/>
      </w:divBdr>
    </w:div>
    <w:div w:id="316880147">
      <w:bodyDiv w:val="1"/>
      <w:marLeft w:val="0"/>
      <w:marRight w:val="0"/>
      <w:marTop w:val="0"/>
      <w:marBottom w:val="0"/>
      <w:divBdr>
        <w:top w:val="none" w:sz="0" w:space="0" w:color="auto"/>
        <w:left w:val="none" w:sz="0" w:space="0" w:color="auto"/>
        <w:bottom w:val="none" w:sz="0" w:space="0" w:color="auto"/>
        <w:right w:val="none" w:sz="0" w:space="0" w:color="auto"/>
      </w:divBdr>
    </w:div>
    <w:div w:id="335766284">
      <w:bodyDiv w:val="1"/>
      <w:marLeft w:val="0"/>
      <w:marRight w:val="0"/>
      <w:marTop w:val="0"/>
      <w:marBottom w:val="0"/>
      <w:divBdr>
        <w:top w:val="none" w:sz="0" w:space="0" w:color="auto"/>
        <w:left w:val="none" w:sz="0" w:space="0" w:color="auto"/>
        <w:bottom w:val="none" w:sz="0" w:space="0" w:color="auto"/>
        <w:right w:val="none" w:sz="0" w:space="0" w:color="auto"/>
      </w:divBdr>
    </w:div>
    <w:div w:id="370346215">
      <w:bodyDiv w:val="1"/>
      <w:marLeft w:val="0"/>
      <w:marRight w:val="0"/>
      <w:marTop w:val="0"/>
      <w:marBottom w:val="0"/>
      <w:divBdr>
        <w:top w:val="none" w:sz="0" w:space="0" w:color="auto"/>
        <w:left w:val="none" w:sz="0" w:space="0" w:color="auto"/>
        <w:bottom w:val="none" w:sz="0" w:space="0" w:color="auto"/>
        <w:right w:val="none" w:sz="0" w:space="0" w:color="auto"/>
      </w:divBdr>
    </w:div>
    <w:div w:id="373504438">
      <w:bodyDiv w:val="1"/>
      <w:marLeft w:val="0"/>
      <w:marRight w:val="0"/>
      <w:marTop w:val="0"/>
      <w:marBottom w:val="0"/>
      <w:divBdr>
        <w:top w:val="none" w:sz="0" w:space="0" w:color="auto"/>
        <w:left w:val="none" w:sz="0" w:space="0" w:color="auto"/>
        <w:bottom w:val="none" w:sz="0" w:space="0" w:color="auto"/>
        <w:right w:val="none" w:sz="0" w:space="0" w:color="auto"/>
      </w:divBdr>
    </w:div>
    <w:div w:id="384067949">
      <w:bodyDiv w:val="1"/>
      <w:marLeft w:val="0"/>
      <w:marRight w:val="0"/>
      <w:marTop w:val="0"/>
      <w:marBottom w:val="0"/>
      <w:divBdr>
        <w:top w:val="none" w:sz="0" w:space="0" w:color="auto"/>
        <w:left w:val="none" w:sz="0" w:space="0" w:color="auto"/>
        <w:bottom w:val="none" w:sz="0" w:space="0" w:color="auto"/>
        <w:right w:val="none" w:sz="0" w:space="0" w:color="auto"/>
      </w:divBdr>
    </w:div>
    <w:div w:id="501967819">
      <w:bodyDiv w:val="1"/>
      <w:marLeft w:val="0"/>
      <w:marRight w:val="0"/>
      <w:marTop w:val="0"/>
      <w:marBottom w:val="0"/>
      <w:divBdr>
        <w:top w:val="none" w:sz="0" w:space="0" w:color="auto"/>
        <w:left w:val="none" w:sz="0" w:space="0" w:color="auto"/>
        <w:bottom w:val="none" w:sz="0" w:space="0" w:color="auto"/>
        <w:right w:val="none" w:sz="0" w:space="0" w:color="auto"/>
      </w:divBdr>
    </w:div>
    <w:div w:id="513688964">
      <w:bodyDiv w:val="1"/>
      <w:marLeft w:val="0"/>
      <w:marRight w:val="0"/>
      <w:marTop w:val="0"/>
      <w:marBottom w:val="0"/>
      <w:divBdr>
        <w:top w:val="none" w:sz="0" w:space="0" w:color="auto"/>
        <w:left w:val="none" w:sz="0" w:space="0" w:color="auto"/>
        <w:bottom w:val="none" w:sz="0" w:space="0" w:color="auto"/>
        <w:right w:val="none" w:sz="0" w:space="0" w:color="auto"/>
      </w:divBdr>
    </w:div>
    <w:div w:id="530848079">
      <w:bodyDiv w:val="1"/>
      <w:marLeft w:val="0"/>
      <w:marRight w:val="0"/>
      <w:marTop w:val="0"/>
      <w:marBottom w:val="0"/>
      <w:divBdr>
        <w:top w:val="none" w:sz="0" w:space="0" w:color="auto"/>
        <w:left w:val="none" w:sz="0" w:space="0" w:color="auto"/>
        <w:bottom w:val="none" w:sz="0" w:space="0" w:color="auto"/>
        <w:right w:val="none" w:sz="0" w:space="0" w:color="auto"/>
      </w:divBdr>
    </w:div>
    <w:div w:id="579366077">
      <w:bodyDiv w:val="1"/>
      <w:marLeft w:val="0"/>
      <w:marRight w:val="0"/>
      <w:marTop w:val="0"/>
      <w:marBottom w:val="0"/>
      <w:divBdr>
        <w:top w:val="none" w:sz="0" w:space="0" w:color="auto"/>
        <w:left w:val="none" w:sz="0" w:space="0" w:color="auto"/>
        <w:bottom w:val="none" w:sz="0" w:space="0" w:color="auto"/>
        <w:right w:val="none" w:sz="0" w:space="0" w:color="auto"/>
      </w:divBdr>
    </w:div>
    <w:div w:id="586693278">
      <w:bodyDiv w:val="1"/>
      <w:marLeft w:val="0"/>
      <w:marRight w:val="0"/>
      <w:marTop w:val="0"/>
      <w:marBottom w:val="0"/>
      <w:divBdr>
        <w:top w:val="none" w:sz="0" w:space="0" w:color="auto"/>
        <w:left w:val="none" w:sz="0" w:space="0" w:color="auto"/>
        <w:bottom w:val="none" w:sz="0" w:space="0" w:color="auto"/>
        <w:right w:val="none" w:sz="0" w:space="0" w:color="auto"/>
      </w:divBdr>
    </w:div>
    <w:div w:id="590701318">
      <w:bodyDiv w:val="1"/>
      <w:marLeft w:val="0"/>
      <w:marRight w:val="0"/>
      <w:marTop w:val="0"/>
      <w:marBottom w:val="0"/>
      <w:divBdr>
        <w:top w:val="none" w:sz="0" w:space="0" w:color="auto"/>
        <w:left w:val="none" w:sz="0" w:space="0" w:color="auto"/>
        <w:bottom w:val="none" w:sz="0" w:space="0" w:color="auto"/>
        <w:right w:val="none" w:sz="0" w:space="0" w:color="auto"/>
      </w:divBdr>
    </w:div>
    <w:div w:id="632255503">
      <w:bodyDiv w:val="1"/>
      <w:marLeft w:val="0"/>
      <w:marRight w:val="0"/>
      <w:marTop w:val="0"/>
      <w:marBottom w:val="0"/>
      <w:divBdr>
        <w:top w:val="none" w:sz="0" w:space="0" w:color="auto"/>
        <w:left w:val="none" w:sz="0" w:space="0" w:color="auto"/>
        <w:bottom w:val="none" w:sz="0" w:space="0" w:color="auto"/>
        <w:right w:val="none" w:sz="0" w:space="0" w:color="auto"/>
      </w:divBdr>
    </w:div>
    <w:div w:id="691691682">
      <w:bodyDiv w:val="1"/>
      <w:marLeft w:val="0"/>
      <w:marRight w:val="0"/>
      <w:marTop w:val="0"/>
      <w:marBottom w:val="0"/>
      <w:divBdr>
        <w:top w:val="none" w:sz="0" w:space="0" w:color="auto"/>
        <w:left w:val="none" w:sz="0" w:space="0" w:color="auto"/>
        <w:bottom w:val="none" w:sz="0" w:space="0" w:color="auto"/>
        <w:right w:val="none" w:sz="0" w:space="0" w:color="auto"/>
      </w:divBdr>
    </w:div>
    <w:div w:id="712660005">
      <w:bodyDiv w:val="1"/>
      <w:marLeft w:val="0"/>
      <w:marRight w:val="0"/>
      <w:marTop w:val="0"/>
      <w:marBottom w:val="0"/>
      <w:divBdr>
        <w:top w:val="none" w:sz="0" w:space="0" w:color="auto"/>
        <w:left w:val="none" w:sz="0" w:space="0" w:color="auto"/>
        <w:bottom w:val="none" w:sz="0" w:space="0" w:color="auto"/>
        <w:right w:val="none" w:sz="0" w:space="0" w:color="auto"/>
      </w:divBdr>
    </w:div>
    <w:div w:id="725184741">
      <w:bodyDiv w:val="1"/>
      <w:marLeft w:val="0"/>
      <w:marRight w:val="0"/>
      <w:marTop w:val="0"/>
      <w:marBottom w:val="0"/>
      <w:divBdr>
        <w:top w:val="none" w:sz="0" w:space="0" w:color="auto"/>
        <w:left w:val="none" w:sz="0" w:space="0" w:color="auto"/>
        <w:bottom w:val="none" w:sz="0" w:space="0" w:color="auto"/>
        <w:right w:val="none" w:sz="0" w:space="0" w:color="auto"/>
      </w:divBdr>
    </w:div>
    <w:div w:id="728268017">
      <w:bodyDiv w:val="1"/>
      <w:marLeft w:val="0"/>
      <w:marRight w:val="0"/>
      <w:marTop w:val="0"/>
      <w:marBottom w:val="0"/>
      <w:divBdr>
        <w:top w:val="none" w:sz="0" w:space="0" w:color="auto"/>
        <w:left w:val="none" w:sz="0" w:space="0" w:color="auto"/>
        <w:bottom w:val="none" w:sz="0" w:space="0" w:color="auto"/>
        <w:right w:val="none" w:sz="0" w:space="0" w:color="auto"/>
      </w:divBdr>
    </w:div>
    <w:div w:id="821242317">
      <w:bodyDiv w:val="1"/>
      <w:marLeft w:val="0"/>
      <w:marRight w:val="0"/>
      <w:marTop w:val="0"/>
      <w:marBottom w:val="0"/>
      <w:divBdr>
        <w:top w:val="none" w:sz="0" w:space="0" w:color="auto"/>
        <w:left w:val="none" w:sz="0" w:space="0" w:color="auto"/>
        <w:bottom w:val="none" w:sz="0" w:space="0" w:color="auto"/>
        <w:right w:val="none" w:sz="0" w:space="0" w:color="auto"/>
      </w:divBdr>
    </w:div>
    <w:div w:id="838425628">
      <w:bodyDiv w:val="1"/>
      <w:marLeft w:val="0"/>
      <w:marRight w:val="0"/>
      <w:marTop w:val="0"/>
      <w:marBottom w:val="0"/>
      <w:divBdr>
        <w:top w:val="none" w:sz="0" w:space="0" w:color="auto"/>
        <w:left w:val="none" w:sz="0" w:space="0" w:color="auto"/>
        <w:bottom w:val="none" w:sz="0" w:space="0" w:color="auto"/>
        <w:right w:val="none" w:sz="0" w:space="0" w:color="auto"/>
      </w:divBdr>
    </w:div>
    <w:div w:id="842479613">
      <w:bodyDiv w:val="1"/>
      <w:marLeft w:val="0"/>
      <w:marRight w:val="0"/>
      <w:marTop w:val="0"/>
      <w:marBottom w:val="0"/>
      <w:divBdr>
        <w:top w:val="none" w:sz="0" w:space="0" w:color="auto"/>
        <w:left w:val="none" w:sz="0" w:space="0" w:color="auto"/>
        <w:bottom w:val="none" w:sz="0" w:space="0" w:color="auto"/>
        <w:right w:val="none" w:sz="0" w:space="0" w:color="auto"/>
      </w:divBdr>
    </w:div>
    <w:div w:id="906382722">
      <w:bodyDiv w:val="1"/>
      <w:marLeft w:val="0"/>
      <w:marRight w:val="0"/>
      <w:marTop w:val="0"/>
      <w:marBottom w:val="0"/>
      <w:divBdr>
        <w:top w:val="none" w:sz="0" w:space="0" w:color="auto"/>
        <w:left w:val="none" w:sz="0" w:space="0" w:color="auto"/>
        <w:bottom w:val="none" w:sz="0" w:space="0" w:color="auto"/>
        <w:right w:val="none" w:sz="0" w:space="0" w:color="auto"/>
      </w:divBdr>
    </w:div>
    <w:div w:id="926302759">
      <w:bodyDiv w:val="1"/>
      <w:marLeft w:val="0"/>
      <w:marRight w:val="0"/>
      <w:marTop w:val="0"/>
      <w:marBottom w:val="0"/>
      <w:divBdr>
        <w:top w:val="none" w:sz="0" w:space="0" w:color="auto"/>
        <w:left w:val="none" w:sz="0" w:space="0" w:color="auto"/>
        <w:bottom w:val="none" w:sz="0" w:space="0" w:color="auto"/>
        <w:right w:val="none" w:sz="0" w:space="0" w:color="auto"/>
      </w:divBdr>
    </w:div>
    <w:div w:id="941768721">
      <w:bodyDiv w:val="1"/>
      <w:marLeft w:val="0"/>
      <w:marRight w:val="0"/>
      <w:marTop w:val="0"/>
      <w:marBottom w:val="0"/>
      <w:divBdr>
        <w:top w:val="none" w:sz="0" w:space="0" w:color="auto"/>
        <w:left w:val="none" w:sz="0" w:space="0" w:color="auto"/>
        <w:bottom w:val="none" w:sz="0" w:space="0" w:color="auto"/>
        <w:right w:val="none" w:sz="0" w:space="0" w:color="auto"/>
      </w:divBdr>
    </w:div>
    <w:div w:id="952783689">
      <w:bodyDiv w:val="1"/>
      <w:marLeft w:val="0"/>
      <w:marRight w:val="0"/>
      <w:marTop w:val="0"/>
      <w:marBottom w:val="0"/>
      <w:divBdr>
        <w:top w:val="none" w:sz="0" w:space="0" w:color="auto"/>
        <w:left w:val="none" w:sz="0" w:space="0" w:color="auto"/>
        <w:bottom w:val="none" w:sz="0" w:space="0" w:color="auto"/>
        <w:right w:val="none" w:sz="0" w:space="0" w:color="auto"/>
      </w:divBdr>
    </w:div>
    <w:div w:id="975378146">
      <w:bodyDiv w:val="1"/>
      <w:marLeft w:val="0"/>
      <w:marRight w:val="0"/>
      <w:marTop w:val="0"/>
      <w:marBottom w:val="0"/>
      <w:divBdr>
        <w:top w:val="none" w:sz="0" w:space="0" w:color="auto"/>
        <w:left w:val="none" w:sz="0" w:space="0" w:color="auto"/>
        <w:bottom w:val="none" w:sz="0" w:space="0" w:color="auto"/>
        <w:right w:val="none" w:sz="0" w:space="0" w:color="auto"/>
      </w:divBdr>
    </w:div>
    <w:div w:id="1009717212">
      <w:bodyDiv w:val="1"/>
      <w:marLeft w:val="0"/>
      <w:marRight w:val="0"/>
      <w:marTop w:val="0"/>
      <w:marBottom w:val="0"/>
      <w:divBdr>
        <w:top w:val="none" w:sz="0" w:space="0" w:color="auto"/>
        <w:left w:val="none" w:sz="0" w:space="0" w:color="auto"/>
        <w:bottom w:val="none" w:sz="0" w:space="0" w:color="auto"/>
        <w:right w:val="none" w:sz="0" w:space="0" w:color="auto"/>
      </w:divBdr>
    </w:div>
    <w:div w:id="1088572845">
      <w:bodyDiv w:val="1"/>
      <w:marLeft w:val="0"/>
      <w:marRight w:val="0"/>
      <w:marTop w:val="0"/>
      <w:marBottom w:val="0"/>
      <w:divBdr>
        <w:top w:val="none" w:sz="0" w:space="0" w:color="auto"/>
        <w:left w:val="none" w:sz="0" w:space="0" w:color="auto"/>
        <w:bottom w:val="none" w:sz="0" w:space="0" w:color="auto"/>
        <w:right w:val="none" w:sz="0" w:space="0" w:color="auto"/>
      </w:divBdr>
    </w:div>
    <w:div w:id="1103263142">
      <w:bodyDiv w:val="1"/>
      <w:marLeft w:val="0"/>
      <w:marRight w:val="0"/>
      <w:marTop w:val="0"/>
      <w:marBottom w:val="0"/>
      <w:divBdr>
        <w:top w:val="none" w:sz="0" w:space="0" w:color="auto"/>
        <w:left w:val="none" w:sz="0" w:space="0" w:color="auto"/>
        <w:bottom w:val="none" w:sz="0" w:space="0" w:color="auto"/>
        <w:right w:val="none" w:sz="0" w:space="0" w:color="auto"/>
      </w:divBdr>
    </w:div>
    <w:div w:id="1138381007">
      <w:bodyDiv w:val="1"/>
      <w:marLeft w:val="0"/>
      <w:marRight w:val="0"/>
      <w:marTop w:val="0"/>
      <w:marBottom w:val="0"/>
      <w:divBdr>
        <w:top w:val="none" w:sz="0" w:space="0" w:color="auto"/>
        <w:left w:val="none" w:sz="0" w:space="0" w:color="auto"/>
        <w:bottom w:val="none" w:sz="0" w:space="0" w:color="auto"/>
        <w:right w:val="none" w:sz="0" w:space="0" w:color="auto"/>
      </w:divBdr>
    </w:div>
    <w:div w:id="1139305582">
      <w:bodyDiv w:val="1"/>
      <w:marLeft w:val="0"/>
      <w:marRight w:val="0"/>
      <w:marTop w:val="0"/>
      <w:marBottom w:val="0"/>
      <w:divBdr>
        <w:top w:val="none" w:sz="0" w:space="0" w:color="auto"/>
        <w:left w:val="none" w:sz="0" w:space="0" w:color="auto"/>
        <w:bottom w:val="none" w:sz="0" w:space="0" w:color="auto"/>
        <w:right w:val="none" w:sz="0" w:space="0" w:color="auto"/>
      </w:divBdr>
    </w:div>
    <w:div w:id="1238708873">
      <w:bodyDiv w:val="1"/>
      <w:marLeft w:val="0"/>
      <w:marRight w:val="0"/>
      <w:marTop w:val="0"/>
      <w:marBottom w:val="0"/>
      <w:divBdr>
        <w:top w:val="none" w:sz="0" w:space="0" w:color="auto"/>
        <w:left w:val="none" w:sz="0" w:space="0" w:color="auto"/>
        <w:bottom w:val="none" w:sz="0" w:space="0" w:color="auto"/>
        <w:right w:val="none" w:sz="0" w:space="0" w:color="auto"/>
      </w:divBdr>
    </w:div>
    <w:div w:id="1241672575">
      <w:bodyDiv w:val="1"/>
      <w:marLeft w:val="0"/>
      <w:marRight w:val="0"/>
      <w:marTop w:val="0"/>
      <w:marBottom w:val="0"/>
      <w:divBdr>
        <w:top w:val="none" w:sz="0" w:space="0" w:color="auto"/>
        <w:left w:val="none" w:sz="0" w:space="0" w:color="auto"/>
        <w:bottom w:val="none" w:sz="0" w:space="0" w:color="auto"/>
        <w:right w:val="none" w:sz="0" w:space="0" w:color="auto"/>
      </w:divBdr>
    </w:div>
    <w:div w:id="1282569166">
      <w:bodyDiv w:val="1"/>
      <w:marLeft w:val="0"/>
      <w:marRight w:val="0"/>
      <w:marTop w:val="0"/>
      <w:marBottom w:val="0"/>
      <w:divBdr>
        <w:top w:val="none" w:sz="0" w:space="0" w:color="auto"/>
        <w:left w:val="none" w:sz="0" w:space="0" w:color="auto"/>
        <w:bottom w:val="none" w:sz="0" w:space="0" w:color="auto"/>
        <w:right w:val="none" w:sz="0" w:space="0" w:color="auto"/>
      </w:divBdr>
    </w:div>
    <w:div w:id="1297102220">
      <w:bodyDiv w:val="1"/>
      <w:marLeft w:val="0"/>
      <w:marRight w:val="0"/>
      <w:marTop w:val="0"/>
      <w:marBottom w:val="0"/>
      <w:divBdr>
        <w:top w:val="none" w:sz="0" w:space="0" w:color="auto"/>
        <w:left w:val="none" w:sz="0" w:space="0" w:color="auto"/>
        <w:bottom w:val="none" w:sz="0" w:space="0" w:color="auto"/>
        <w:right w:val="none" w:sz="0" w:space="0" w:color="auto"/>
      </w:divBdr>
    </w:div>
    <w:div w:id="1302230116">
      <w:bodyDiv w:val="1"/>
      <w:marLeft w:val="0"/>
      <w:marRight w:val="0"/>
      <w:marTop w:val="0"/>
      <w:marBottom w:val="0"/>
      <w:divBdr>
        <w:top w:val="none" w:sz="0" w:space="0" w:color="auto"/>
        <w:left w:val="none" w:sz="0" w:space="0" w:color="auto"/>
        <w:bottom w:val="none" w:sz="0" w:space="0" w:color="auto"/>
        <w:right w:val="none" w:sz="0" w:space="0" w:color="auto"/>
      </w:divBdr>
    </w:div>
    <w:div w:id="1316568169">
      <w:bodyDiv w:val="1"/>
      <w:marLeft w:val="0"/>
      <w:marRight w:val="0"/>
      <w:marTop w:val="0"/>
      <w:marBottom w:val="0"/>
      <w:divBdr>
        <w:top w:val="none" w:sz="0" w:space="0" w:color="auto"/>
        <w:left w:val="none" w:sz="0" w:space="0" w:color="auto"/>
        <w:bottom w:val="none" w:sz="0" w:space="0" w:color="auto"/>
        <w:right w:val="none" w:sz="0" w:space="0" w:color="auto"/>
      </w:divBdr>
    </w:div>
    <w:div w:id="1324314921">
      <w:bodyDiv w:val="1"/>
      <w:marLeft w:val="0"/>
      <w:marRight w:val="0"/>
      <w:marTop w:val="0"/>
      <w:marBottom w:val="0"/>
      <w:divBdr>
        <w:top w:val="none" w:sz="0" w:space="0" w:color="auto"/>
        <w:left w:val="none" w:sz="0" w:space="0" w:color="auto"/>
        <w:bottom w:val="none" w:sz="0" w:space="0" w:color="auto"/>
        <w:right w:val="none" w:sz="0" w:space="0" w:color="auto"/>
      </w:divBdr>
    </w:div>
    <w:div w:id="1420953685">
      <w:bodyDiv w:val="1"/>
      <w:marLeft w:val="0"/>
      <w:marRight w:val="0"/>
      <w:marTop w:val="0"/>
      <w:marBottom w:val="0"/>
      <w:divBdr>
        <w:top w:val="none" w:sz="0" w:space="0" w:color="auto"/>
        <w:left w:val="none" w:sz="0" w:space="0" w:color="auto"/>
        <w:bottom w:val="none" w:sz="0" w:space="0" w:color="auto"/>
        <w:right w:val="none" w:sz="0" w:space="0" w:color="auto"/>
      </w:divBdr>
    </w:div>
    <w:div w:id="1432701666">
      <w:bodyDiv w:val="1"/>
      <w:marLeft w:val="0"/>
      <w:marRight w:val="0"/>
      <w:marTop w:val="0"/>
      <w:marBottom w:val="0"/>
      <w:divBdr>
        <w:top w:val="none" w:sz="0" w:space="0" w:color="auto"/>
        <w:left w:val="none" w:sz="0" w:space="0" w:color="auto"/>
        <w:bottom w:val="none" w:sz="0" w:space="0" w:color="auto"/>
        <w:right w:val="none" w:sz="0" w:space="0" w:color="auto"/>
      </w:divBdr>
    </w:div>
    <w:div w:id="1434863917">
      <w:bodyDiv w:val="1"/>
      <w:marLeft w:val="0"/>
      <w:marRight w:val="0"/>
      <w:marTop w:val="0"/>
      <w:marBottom w:val="0"/>
      <w:divBdr>
        <w:top w:val="none" w:sz="0" w:space="0" w:color="auto"/>
        <w:left w:val="none" w:sz="0" w:space="0" w:color="auto"/>
        <w:bottom w:val="none" w:sz="0" w:space="0" w:color="auto"/>
        <w:right w:val="none" w:sz="0" w:space="0" w:color="auto"/>
      </w:divBdr>
    </w:div>
    <w:div w:id="1485506495">
      <w:bodyDiv w:val="1"/>
      <w:marLeft w:val="0"/>
      <w:marRight w:val="0"/>
      <w:marTop w:val="0"/>
      <w:marBottom w:val="0"/>
      <w:divBdr>
        <w:top w:val="none" w:sz="0" w:space="0" w:color="auto"/>
        <w:left w:val="none" w:sz="0" w:space="0" w:color="auto"/>
        <w:bottom w:val="none" w:sz="0" w:space="0" w:color="auto"/>
        <w:right w:val="none" w:sz="0" w:space="0" w:color="auto"/>
      </w:divBdr>
    </w:div>
    <w:div w:id="1503813660">
      <w:bodyDiv w:val="1"/>
      <w:marLeft w:val="0"/>
      <w:marRight w:val="0"/>
      <w:marTop w:val="0"/>
      <w:marBottom w:val="0"/>
      <w:divBdr>
        <w:top w:val="none" w:sz="0" w:space="0" w:color="auto"/>
        <w:left w:val="none" w:sz="0" w:space="0" w:color="auto"/>
        <w:bottom w:val="none" w:sz="0" w:space="0" w:color="auto"/>
        <w:right w:val="none" w:sz="0" w:space="0" w:color="auto"/>
      </w:divBdr>
    </w:div>
    <w:div w:id="1515535375">
      <w:bodyDiv w:val="1"/>
      <w:marLeft w:val="0"/>
      <w:marRight w:val="0"/>
      <w:marTop w:val="0"/>
      <w:marBottom w:val="0"/>
      <w:divBdr>
        <w:top w:val="none" w:sz="0" w:space="0" w:color="auto"/>
        <w:left w:val="none" w:sz="0" w:space="0" w:color="auto"/>
        <w:bottom w:val="none" w:sz="0" w:space="0" w:color="auto"/>
        <w:right w:val="none" w:sz="0" w:space="0" w:color="auto"/>
      </w:divBdr>
    </w:div>
    <w:div w:id="1548487042">
      <w:bodyDiv w:val="1"/>
      <w:marLeft w:val="0"/>
      <w:marRight w:val="0"/>
      <w:marTop w:val="0"/>
      <w:marBottom w:val="0"/>
      <w:divBdr>
        <w:top w:val="none" w:sz="0" w:space="0" w:color="auto"/>
        <w:left w:val="none" w:sz="0" w:space="0" w:color="auto"/>
        <w:bottom w:val="none" w:sz="0" w:space="0" w:color="auto"/>
        <w:right w:val="none" w:sz="0" w:space="0" w:color="auto"/>
      </w:divBdr>
    </w:div>
    <w:div w:id="1554273522">
      <w:bodyDiv w:val="1"/>
      <w:marLeft w:val="0"/>
      <w:marRight w:val="0"/>
      <w:marTop w:val="0"/>
      <w:marBottom w:val="0"/>
      <w:divBdr>
        <w:top w:val="none" w:sz="0" w:space="0" w:color="auto"/>
        <w:left w:val="none" w:sz="0" w:space="0" w:color="auto"/>
        <w:bottom w:val="none" w:sz="0" w:space="0" w:color="auto"/>
        <w:right w:val="none" w:sz="0" w:space="0" w:color="auto"/>
      </w:divBdr>
    </w:div>
    <w:div w:id="1565289878">
      <w:bodyDiv w:val="1"/>
      <w:marLeft w:val="0"/>
      <w:marRight w:val="0"/>
      <w:marTop w:val="0"/>
      <w:marBottom w:val="0"/>
      <w:divBdr>
        <w:top w:val="none" w:sz="0" w:space="0" w:color="auto"/>
        <w:left w:val="none" w:sz="0" w:space="0" w:color="auto"/>
        <w:bottom w:val="none" w:sz="0" w:space="0" w:color="auto"/>
        <w:right w:val="none" w:sz="0" w:space="0" w:color="auto"/>
      </w:divBdr>
    </w:div>
    <w:div w:id="1577937450">
      <w:bodyDiv w:val="1"/>
      <w:marLeft w:val="0"/>
      <w:marRight w:val="0"/>
      <w:marTop w:val="0"/>
      <w:marBottom w:val="0"/>
      <w:divBdr>
        <w:top w:val="none" w:sz="0" w:space="0" w:color="auto"/>
        <w:left w:val="none" w:sz="0" w:space="0" w:color="auto"/>
        <w:bottom w:val="none" w:sz="0" w:space="0" w:color="auto"/>
        <w:right w:val="none" w:sz="0" w:space="0" w:color="auto"/>
      </w:divBdr>
    </w:div>
    <w:div w:id="1618367134">
      <w:bodyDiv w:val="1"/>
      <w:marLeft w:val="0"/>
      <w:marRight w:val="0"/>
      <w:marTop w:val="0"/>
      <w:marBottom w:val="0"/>
      <w:divBdr>
        <w:top w:val="none" w:sz="0" w:space="0" w:color="auto"/>
        <w:left w:val="none" w:sz="0" w:space="0" w:color="auto"/>
        <w:bottom w:val="none" w:sz="0" w:space="0" w:color="auto"/>
        <w:right w:val="none" w:sz="0" w:space="0" w:color="auto"/>
      </w:divBdr>
    </w:div>
    <w:div w:id="1635717771">
      <w:bodyDiv w:val="1"/>
      <w:marLeft w:val="0"/>
      <w:marRight w:val="0"/>
      <w:marTop w:val="0"/>
      <w:marBottom w:val="0"/>
      <w:divBdr>
        <w:top w:val="none" w:sz="0" w:space="0" w:color="auto"/>
        <w:left w:val="none" w:sz="0" w:space="0" w:color="auto"/>
        <w:bottom w:val="none" w:sz="0" w:space="0" w:color="auto"/>
        <w:right w:val="none" w:sz="0" w:space="0" w:color="auto"/>
      </w:divBdr>
    </w:div>
    <w:div w:id="1723210378">
      <w:bodyDiv w:val="1"/>
      <w:marLeft w:val="0"/>
      <w:marRight w:val="0"/>
      <w:marTop w:val="0"/>
      <w:marBottom w:val="0"/>
      <w:divBdr>
        <w:top w:val="none" w:sz="0" w:space="0" w:color="auto"/>
        <w:left w:val="none" w:sz="0" w:space="0" w:color="auto"/>
        <w:bottom w:val="none" w:sz="0" w:space="0" w:color="auto"/>
        <w:right w:val="none" w:sz="0" w:space="0" w:color="auto"/>
      </w:divBdr>
    </w:div>
    <w:div w:id="1737360442">
      <w:bodyDiv w:val="1"/>
      <w:marLeft w:val="0"/>
      <w:marRight w:val="0"/>
      <w:marTop w:val="0"/>
      <w:marBottom w:val="0"/>
      <w:divBdr>
        <w:top w:val="none" w:sz="0" w:space="0" w:color="auto"/>
        <w:left w:val="none" w:sz="0" w:space="0" w:color="auto"/>
        <w:bottom w:val="none" w:sz="0" w:space="0" w:color="auto"/>
        <w:right w:val="none" w:sz="0" w:space="0" w:color="auto"/>
      </w:divBdr>
    </w:div>
    <w:div w:id="1769698150">
      <w:bodyDiv w:val="1"/>
      <w:marLeft w:val="0"/>
      <w:marRight w:val="0"/>
      <w:marTop w:val="0"/>
      <w:marBottom w:val="0"/>
      <w:divBdr>
        <w:top w:val="none" w:sz="0" w:space="0" w:color="auto"/>
        <w:left w:val="none" w:sz="0" w:space="0" w:color="auto"/>
        <w:bottom w:val="none" w:sz="0" w:space="0" w:color="auto"/>
        <w:right w:val="none" w:sz="0" w:space="0" w:color="auto"/>
      </w:divBdr>
    </w:div>
    <w:div w:id="1773472592">
      <w:bodyDiv w:val="1"/>
      <w:marLeft w:val="0"/>
      <w:marRight w:val="0"/>
      <w:marTop w:val="0"/>
      <w:marBottom w:val="0"/>
      <w:divBdr>
        <w:top w:val="none" w:sz="0" w:space="0" w:color="auto"/>
        <w:left w:val="none" w:sz="0" w:space="0" w:color="auto"/>
        <w:bottom w:val="none" w:sz="0" w:space="0" w:color="auto"/>
        <w:right w:val="none" w:sz="0" w:space="0" w:color="auto"/>
      </w:divBdr>
    </w:div>
    <w:div w:id="1778719536">
      <w:bodyDiv w:val="1"/>
      <w:marLeft w:val="0"/>
      <w:marRight w:val="0"/>
      <w:marTop w:val="0"/>
      <w:marBottom w:val="0"/>
      <w:divBdr>
        <w:top w:val="none" w:sz="0" w:space="0" w:color="auto"/>
        <w:left w:val="none" w:sz="0" w:space="0" w:color="auto"/>
        <w:bottom w:val="none" w:sz="0" w:space="0" w:color="auto"/>
        <w:right w:val="none" w:sz="0" w:space="0" w:color="auto"/>
      </w:divBdr>
    </w:div>
    <w:div w:id="1802503235">
      <w:bodyDiv w:val="1"/>
      <w:marLeft w:val="0"/>
      <w:marRight w:val="0"/>
      <w:marTop w:val="0"/>
      <w:marBottom w:val="0"/>
      <w:divBdr>
        <w:top w:val="none" w:sz="0" w:space="0" w:color="auto"/>
        <w:left w:val="none" w:sz="0" w:space="0" w:color="auto"/>
        <w:bottom w:val="none" w:sz="0" w:space="0" w:color="auto"/>
        <w:right w:val="none" w:sz="0" w:space="0" w:color="auto"/>
      </w:divBdr>
    </w:div>
    <w:div w:id="1805929653">
      <w:bodyDiv w:val="1"/>
      <w:marLeft w:val="0"/>
      <w:marRight w:val="0"/>
      <w:marTop w:val="0"/>
      <w:marBottom w:val="0"/>
      <w:divBdr>
        <w:top w:val="none" w:sz="0" w:space="0" w:color="auto"/>
        <w:left w:val="none" w:sz="0" w:space="0" w:color="auto"/>
        <w:bottom w:val="none" w:sz="0" w:space="0" w:color="auto"/>
        <w:right w:val="none" w:sz="0" w:space="0" w:color="auto"/>
      </w:divBdr>
    </w:div>
    <w:div w:id="1830442766">
      <w:bodyDiv w:val="1"/>
      <w:marLeft w:val="0"/>
      <w:marRight w:val="0"/>
      <w:marTop w:val="0"/>
      <w:marBottom w:val="0"/>
      <w:divBdr>
        <w:top w:val="none" w:sz="0" w:space="0" w:color="auto"/>
        <w:left w:val="none" w:sz="0" w:space="0" w:color="auto"/>
        <w:bottom w:val="none" w:sz="0" w:space="0" w:color="auto"/>
        <w:right w:val="none" w:sz="0" w:space="0" w:color="auto"/>
      </w:divBdr>
    </w:div>
    <w:div w:id="1876499115">
      <w:bodyDiv w:val="1"/>
      <w:marLeft w:val="0"/>
      <w:marRight w:val="0"/>
      <w:marTop w:val="0"/>
      <w:marBottom w:val="0"/>
      <w:divBdr>
        <w:top w:val="none" w:sz="0" w:space="0" w:color="auto"/>
        <w:left w:val="none" w:sz="0" w:space="0" w:color="auto"/>
        <w:bottom w:val="none" w:sz="0" w:space="0" w:color="auto"/>
        <w:right w:val="none" w:sz="0" w:space="0" w:color="auto"/>
      </w:divBdr>
    </w:div>
    <w:div w:id="1895390191">
      <w:bodyDiv w:val="1"/>
      <w:marLeft w:val="0"/>
      <w:marRight w:val="0"/>
      <w:marTop w:val="0"/>
      <w:marBottom w:val="0"/>
      <w:divBdr>
        <w:top w:val="none" w:sz="0" w:space="0" w:color="auto"/>
        <w:left w:val="none" w:sz="0" w:space="0" w:color="auto"/>
        <w:bottom w:val="none" w:sz="0" w:space="0" w:color="auto"/>
        <w:right w:val="none" w:sz="0" w:space="0" w:color="auto"/>
      </w:divBdr>
    </w:div>
    <w:div w:id="1909922207">
      <w:bodyDiv w:val="1"/>
      <w:marLeft w:val="0"/>
      <w:marRight w:val="0"/>
      <w:marTop w:val="0"/>
      <w:marBottom w:val="0"/>
      <w:divBdr>
        <w:top w:val="none" w:sz="0" w:space="0" w:color="auto"/>
        <w:left w:val="none" w:sz="0" w:space="0" w:color="auto"/>
        <w:bottom w:val="none" w:sz="0" w:space="0" w:color="auto"/>
        <w:right w:val="none" w:sz="0" w:space="0" w:color="auto"/>
      </w:divBdr>
    </w:div>
    <w:div w:id="1957562546">
      <w:bodyDiv w:val="1"/>
      <w:marLeft w:val="0"/>
      <w:marRight w:val="0"/>
      <w:marTop w:val="0"/>
      <w:marBottom w:val="0"/>
      <w:divBdr>
        <w:top w:val="none" w:sz="0" w:space="0" w:color="auto"/>
        <w:left w:val="none" w:sz="0" w:space="0" w:color="auto"/>
        <w:bottom w:val="none" w:sz="0" w:space="0" w:color="auto"/>
        <w:right w:val="none" w:sz="0" w:space="0" w:color="auto"/>
      </w:divBdr>
    </w:div>
    <w:div w:id="1973486262">
      <w:bodyDiv w:val="1"/>
      <w:marLeft w:val="0"/>
      <w:marRight w:val="0"/>
      <w:marTop w:val="0"/>
      <w:marBottom w:val="0"/>
      <w:divBdr>
        <w:top w:val="none" w:sz="0" w:space="0" w:color="auto"/>
        <w:left w:val="none" w:sz="0" w:space="0" w:color="auto"/>
        <w:bottom w:val="none" w:sz="0" w:space="0" w:color="auto"/>
        <w:right w:val="none" w:sz="0" w:space="0" w:color="auto"/>
      </w:divBdr>
    </w:div>
    <w:div w:id="1997294499">
      <w:bodyDiv w:val="1"/>
      <w:marLeft w:val="0"/>
      <w:marRight w:val="0"/>
      <w:marTop w:val="0"/>
      <w:marBottom w:val="0"/>
      <w:divBdr>
        <w:top w:val="none" w:sz="0" w:space="0" w:color="auto"/>
        <w:left w:val="none" w:sz="0" w:space="0" w:color="auto"/>
        <w:bottom w:val="none" w:sz="0" w:space="0" w:color="auto"/>
        <w:right w:val="none" w:sz="0" w:space="0" w:color="auto"/>
      </w:divBdr>
    </w:div>
    <w:div w:id="2051103023">
      <w:bodyDiv w:val="1"/>
      <w:marLeft w:val="0"/>
      <w:marRight w:val="0"/>
      <w:marTop w:val="0"/>
      <w:marBottom w:val="0"/>
      <w:divBdr>
        <w:top w:val="none" w:sz="0" w:space="0" w:color="auto"/>
        <w:left w:val="none" w:sz="0" w:space="0" w:color="auto"/>
        <w:bottom w:val="none" w:sz="0" w:space="0" w:color="auto"/>
        <w:right w:val="none" w:sz="0" w:space="0" w:color="auto"/>
      </w:divBdr>
    </w:div>
    <w:div w:id="21401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49EC7-76B3-4070-984A-695857E05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389</Words>
  <Characters>2223</Characters>
  <Application>Microsoft Office Word</Application>
  <DocSecurity>0</DocSecurity>
  <Lines>18</Lines>
  <Paragraphs>5</Paragraphs>
  <ScaleCrop>false</ScaleCrop>
  <Company/>
  <LinksUpToDate>false</LinksUpToDate>
  <CharactersWithSpaces>2607</CharactersWithSpaces>
  <SharedDoc>false</SharedDoc>
  <HLinks>
    <vt:vector size="36" baseType="variant">
      <vt:variant>
        <vt:i4>1376305</vt:i4>
      </vt:variant>
      <vt:variant>
        <vt:i4>32</vt:i4>
      </vt:variant>
      <vt:variant>
        <vt:i4>0</vt:i4>
      </vt:variant>
      <vt:variant>
        <vt:i4>5</vt:i4>
      </vt:variant>
      <vt:variant>
        <vt:lpwstr/>
      </vt:variant>
      <vt:variant>
        <vt:lpwstr>_Toc180589864</vt:lpwstr>
      </vt:variant>
      <vt:variant>
        <vt:i4>1376305</vt:i4>
      </vt:variant>
      <vt:variant>
        <vt:i4>26</vt:i4>
      </vt:variant>
      <vt:variant>
        <vt:i4>0</vt:i4>
      </vt:variant>
      <vt:variant>
        <vt:i4>5</vt:i4>
      </vt:variant>
      <vt:variant>
        <vt:lpwstr/>
      </vt:variant>
      <vt:variant>
        <vt:lpwstr>_Toc180589863</vt:lpwstr>
      </vt:variant>
      <vt:variant>
        <vt:i4>1376305</vt:i4>
      </vt:variant>
      <vt:variant>
        <vt:i4>20</vt:i4>
      </vt:variant>
      <vt:variant>
        <vt:i4>0</vt:i4>
      </vt:variant>
      <vt:variant>
        <vt:i4>5</vt:i4>
      </vt:variant>
      <vt:variant>
        <vt:lpwstr/>
      </vt:variant>
      <vt:variant>
        <vt:lpwstr>_Toc180589862</vt:lpwstr>
      </vt:variant>
      <vt:variant>
        <vt:i4>1376305</vt:i4>
      </vt:variant>
      <vt:variant>
        <vt:i4>14</vt:i4>
      </vt:variant>
      <vt:variant>
        <vt:i4>0</vt:i4>
      </vt:variant>
      <vt:variant>
        <vt:i4>5</vt:i4>
      </vt:variant>
      <vt:variant>
        <vt:lpwstr/>
      </vt:variant>
      <vt:variant>
        <vt:lpwstr>_Toc180589861</vt:lpwstr>
      </vt:variant>
      <vt:variant>
        <vt:i4>1376305</vt:i4>
      </vt:variant>
      <vt:variant>
        <vt:i4>8</vt:i4>
      </vt:variant>
      <vt:variant>
        <vt:i4>0</vt:i4>
      </vt:variant>
      <vt:variant>
        <vt:i4>5</vt:i4>
      </vt:variant>
      <vt:variant>
        <vt:lpwstr/>
      </vt:variant>
      <vt:variant>
        <vt:lpwstr>_Toc180589860</vt:lpwstr>
      </vt:variant>
      <vt:variant>
        <vt:i4>1441841</vt:i4>
      </vt:variant>
      <vt:variant>
        <vt:i4>2</vt:i4>
      </vt:variant>
      <vt:variant>
        <vt:i4>0</vt:i4>
      </vt:variant>
      <vt:variant>
        <vt:i4>5</vt:i4>
      </vt:variant>
      <vt:variant>
        <vt:lpwstr/>
      </vt:variant>
      <vt:variant>
        <vt:lpwstr>_Toc180589859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2024-10-23T07:31:00Z</cp:lastPrinted>
  <dcterms:created xsi:type="dcterms:W3CDTF">2024-10-28T07:02:00Z</dcterms:created>
  <dcterms:modified xsi:type="dcterms:W3CDTF">2024-10-28T07:02:00Z</dcterms:modified>
</cp:coreProperties>
</file>