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1B2" w:rsidRDefault="004F3367" w:rsidP="009301B2">
      <w:pPr>
        <w:pStyle w:val="ab"/>
        <w:jc w:val="left"/>
        <w:rPr>
          <w:rFonts w:hAnsi="標楷體" w:hint="eastAsia"/>
        </w:rPr>
      </w:pPr>
      <w:bookmarkStart w:id="0" w:name="_GoBack"/>
      <w:bookmarkEnd w:id="0"/>
      <w:r w:rsidRPr="004F3367">
        <w:rPr>
          <w:rFonts w:hAnsi="標楷體" w:hint="eastAsia"/>
        </w:rPr>
        <w:t>教育部所屬機構作業基金</w:t>
      </w:r>
      <w:r w:rsidR="009301B2" w:rsidRPr="0064421B">
        <w:rPr>
          <w:rFonts w:hAnsi="標楷體" w:hint="eastAsia"/>
        </w:rPr>
        <w:t>1</w:t>
      </w:r>
      <w:r w:rsidR="00D735DE">
        <w:rPr>
          <w:rFonts w:hAnsi="標楷體" w:hint="eastAsia"/>
        </w:rPr>
        <w:t>1</w:t>
      </w:r>
      <w:r w:rsidR="009A71E4">
        <w:rPr>
          <w:rFonts w:hAnsi="標楷體"/>
        </w:rPr>
        <w:t>4</w:t>
      </w:r>
      <w:r w:rsidR="009301B2" w:rsidRPr="0064421B">
        <w:rPr>
          <w:rFonts w:hAnsi="標楷體" w:hint="eastAsia"/>
        </w:rPr>
        <w:t>年度預算評估報告</w:t>
      </w:r>
    </w:p>
    <w:p w:rsidR="006C64A8" w:rsidRDefault="004F3367" w:rsidP="006C64A8">
      <w:pPr>
        <w:pStyle w:val="a8"/>
        <w:ind w:firstLine="566"/>
        <w:rPr>
          <w:snapToGrid/>
        </w:rPr>
      </w:pPr>
      <w:r w:rsidRPr="004F3367">
        <w:rPr>
          <w:rFonts w:hint="eastAsia"/>
          <w:snapToGrid/>
          <w:color w:val="000000"/>
        </w:rPr>
        <w:t>教育部所屬機構作業基金</w:t>
      </w:r>
      <w:r>
        <w:rPr>
          <w:rStyle w:val="af7"/>
          <w:snapToGrid/>
          <w:color w:val="000000"/>
        </w:rPr>
        <w:footnoteReference w:id="1"/>
      </w:r>
      <w:r w:rsidR="006C64A8" w:rsidRPr="006C64A8">
        <w:rPr>
          <w:rFonts w:hint="eastAsia"/>
          <w:snapToGrid/>
          <w:color w:val="000000"/>
        </w:rPr>
        <w:t>(以下簡稱</w:t>
      </w:r>
      <w:r>
        <w:rPr>
          <w:rFonts w:hint="eastAsia"/>
          <w:snapToGrid/>
        </w:rPr>
        <w:t>教育部所屬基金</w:t>
      </w:r>
      <w:r w:rsidR="006C64A8" w:rsidRPr="006C64A8">
        <w:rPr>
          <w:rFonts w:hint="eastAsia"/>
          <w:snapToGrid/>
        </w:rPr>
        <w:t>)</w:t>
      </w:r>
      <w:r w:rsidR="00A61E8E">
        <w:rPr>
          <w:rFonts w:hint="eastAsia"/>
          <w:snapToGrid/>
        </w:rPr>
        <w:t>包含</w:t>
      </w:r>
      <w:r w:rsidR="00A61E8E" w:rsidRPr="00886325">
        <w:rPr>
          <w:rFonts w:hAnsi="標楷體" w:hint="eastAsia"/>
        </w:rPr>
        <w:t>國立自然科學博物館</w:t>
      </w:r>
      <w:r w:rsidR="00A61E8E">
        <w:rPr>
          <w:rFonts w:hAnsi="標楷體" w:hint="eastAsia"/>
        </w:rPr>
        <w:t>(</w:t>
      </w:r>
      <w:r w:rsidR="00A61E8E" w:rsidRPr="00A61E8E">
        <w:rPr>
          <w:rFonts w:hAnsi="標楷體" w:hint="eastAsia"/>
        </w:rPr>
        <w:t>以下簡稱</w:t>
      </w:r>
      <w:r w:rsidR="00A61E8E" w:rsidRPr="00E80781">
        <w:rPr>
          <w:rFonts w:hAnsi="標楷體" w:hint="eastAsia"/>
        </w:rPr>
        <w:t>科博館</w:t>
      </w:r>
      <w:r w:rsidR="00A61E8E">
        <w:rPr>
          <w:rFonts w:hAnsi="標楷體" w:hint="eastAsia"/>
        </w:rPr>
        <w:t>)、</w:t>
      </w:r>
      <w:r w:rsidR="00A61E8E" w:rsidRPr="00A61E8E">
        <w:rPr>
          <w:rFonts w:hAnsi="標楷體" w:hint="eastAsia"/>
        </w:rPr>
        <w:t>國立科學工藝博物館(以下簡稱科工館)</w:t>
      </w:r>
      <w:r w:rsidR="00A61E8E">
        <w:rPr>
          <w:rFonts w:hAnsi="標楷體" w:hint="eastAsia"/>
        </w:rPr>
        <w:t>、</w:t>
      </w:r>
      <w:r w:rsidR="00A61E8E" w:rsidRPr="00A61E8E">
        <w:rPr>
          <w:rFonts w:hAnsi="標楷體" w:hint="eastAsia"/>
        </w:rPr>
        <w:t>國立海洋生物博物館(以下簡稱海生館)</w:t>
      </w:r>
      <w:r w:rsidR="00A61E8E">
        <w:rPr>
          <w:rFonts w:hAnsi="標楷體" w:hint="eastAsia"/>
        </w:rPr>
        <w:t>、</w:t>
      </w:r>
      <w:r w:rsidR="00A61E8E" w:rsidRPr="00A61E8E">
        <w:rPr>
          <w:rFonts w:hAnsi="標楷體" w:hint="eastAsia"/>
        </w:rPr>
        <w:t>國立臺灣科學教育館(以下簡稱科教館)</w:t>
      </w:r>
      <w:r w:rsidR="00A61E8E">
        <w:rPr>
          <w:rFonts w:hAnsi="標楷體" w:hint="eastAsia"/>
        </w:rPr>
        <w:t>、</w:t>
      </w:r>
      <w:r w:rsidR="00A61E8E" w:rsidRPr="008F3D17">
        <w:rPr>
          <w:rFonts w:hAnsi="標楷體" w:hint="eastAsia"/>
        </w:rPr>
        <w:t>國立臺灣圖書館</w:t>
      </w:r>
      <w:r w:rsidR="00A61E8E">
        <w:rPr>
          <w:rFonts w:hAnsi="標楷體" w:hint="eastAsia"/>
        </w:rPr>
        <w:t>(</w:t>
      </w:r>
      <w:r w:rsidR="00A61E8E" w:rsidRPr="00A61E8E">
        <w:rPr>
          <w:rFonts w:hAnsi="標楷體" w:hint="eastAsia"/>
        </w:rPr>
        <w:t>以下簡稱</w:t>
      </w:r>
      <w:r w:rsidR="00A61E8E" w:rsidRPr="006D31A8">
        <w:rPr>
          <w:rFonts w:hAnsi="標楷體" w:hint="eastAsia"/>
        </w:rPr>
        <w:t>臺灣圖書館</w:t>
      </w:r>
      <w:r w:rsidR="00A61E8E">
        <w:rPr>
          <w:rFonts w:hAnsi="標楷體" w:hint="eastAsia"/>
        </w:rPr>
        <w:t>)</w:t>
      </w:r>
      <w:r w:rsidR="00A61E8E" w:rsidRPr="006D31A8">
        <w:rPr>
          <w:rFonts w:hAnsi="標楷體" w:hint="eastAsia"/>
        </w:rPr>
        <w:t>及</w:t>
      </w:r>
      <w:r w:rsidR="00A61E8E" w:rsidRPr="008F3D17">
        <w:rPr>
          <w:rFonts w:hAnsi="標楷體" w:hint="eastAsia"/>
        </w:rPr>
        <w:t>國立海洋科技博物館</w:t>
      </w:r>
      <w:r w:rsidR="00A61E8E">
        <w:rPr>
          <w:rFonts w:hAnsi="標楷體" w:hint="eastAsia"/>
        </w:rPr>
        <w:t>(</w:t>
      </w:r>
      <w:r w:rsidR="00A61E8E" w:rsidRPr="00A61E8E">
        <w:rPr>
          <w:rFonts w:hAnsi="標楷體" w:hint="eastAsia"/>
        </w:rPr>
        <w:t>以下簡稱</w:t>
      </w:r>
      <w:r w:rsidR="00A61E8E" w:rsidRPr="006D31A8">
        <w:rPr>
          <w:rFonts w:hAnsi="標楷體" w:hint="eastAsia"/>
        </w:rPr>
        <w:t>海科館</w:t>
      </w:r>
      <w:r w:rsidR="00A61E8E">
        <w:rPr>
          <w:rFonts w:hAnsi="標楷體" w:hint="eastAsia"/>
        </w:rPr>
        <w:t>)等6個機構之分基金，</w:t>
      </w:r>
      <w:r w:rsidR="006C64A8" w:rsidRPr="006C64A8">
        <w:rPr>
          <w:rFonts w:hint="eastAsia"/>
          <w:snapToGrid/>
        </w:rPr>
        <w:t>1</w:t>
      </w:r>
      <w:r w:rsidR="00D735DE">
        <w:rPr>
          <w:rFonts w:hint="eastAsia"/>
          <w:snapToGrid/>
        </w:rPr>
        <w:t>1</w:t>
      </w:r>
      <w:r w:rsidR="009A71E4">
        <w:rPr>
          <w:snapToGrid/>
        </w:rPr>
        <w:t>4</w:t>
      </w:r>
      <w:r w:rsidR="006C64A8" w:rsidRPr="006C64A8">
        <w:rPr>
          <w:rFonts w:hint="eastAsia"/>
          <w:snapToGrid/>
        </w:rPr>
        <w:t>年度預算案編列業務收入</w:t>
      </w:r>
      <w:r w:rsidR="005723E2">
        <w:rPr>
          <w:snapToGrid/>
        </w:rPr>
        <w:t>2</w:t>
      </w:r>
      <w:r w:rsidR="00A02E06">
        <w:rPr>
          <w:snapToGrid/>
        </w:rPr>
        <w:t>1</w:t>
      </w:r>
      <w:r w:rsidR="006C64A8" w:rsidRPr="006C64A8">
        <w:rPr>
          <w:rFonts w:hint="eastAsia"/>
          <w:snapToGrid/>
        </w:rPr>
        <w:t>億</w:t>
      </w:r>
      <w:r w:rsidR="00A02E06">
        <w:rPr>
          <w:snapToGrid/>
        </w:rPr>
        <w:t>2,781</w:t>
      </w:r>
      <w:r w:rsidR="006C64A8" w:rsidRPr="006C64A8">
        <w:rPr>
          <w:rFonts w:hint="eastAsia"/>
          <w:snapToGrid/>
        </w:rPr>
        <w:t>萬</w:t>
      </w:r>
      <w:r w:rsidR="00A02E06">
        <w:rPr>
          <w:snapToGrid/>
        </w:rPr>
        <w:t>4</w:t>
      </w:r>
      <w:r w:rsidR="006C64A8" w:rsidRPr="006C64A8">
        <w:rPr>
          <w:rFonts w:hint="eastAsia"/>
          <w:snapToGrid/>
        </w:rPr>
        <w:t>千元，業務成本與費用2</w:t>
      </w:r>
      <w:r w:rsidR="00A02E06">
        <w:rPr>
          <w:snapToGrid/>
        </w:rPr>
        <w:t>8</w:t>
      </w:r>
      <w:r w:rsidR="006C64A8" w:rsidRPr="006C64A8">
        <w:rPr>
          <w:rFonts w:hint="eastAsia"/>
          <w:snapToGrid/>
        </w:rPr>
        <w:t>億</w:t>
      </w:r>
      <w:r w:rsidR="00A02E06">
        <w:rPr>
          <w:snapToGrid/>
        </w:rPr>
        <w:t>2,028</w:t>
      </w:r>
      <w:r w:rsidR="006C64A8" w:rsidRPr="006C64A8">
        <w:rPr>
          <w:rFonts w:hint="eastAsia"/>
          <w:snapToGrid/>
        </w:rPr>
        <w:t>萬</w:t>
      </w:r>
      <w:r w:rsidR="00A02E06">
        <w:rPr>
          <w:snapToGrid/>
        </w:rPr>
        <w:t>8</w:t>
      </w:r>
      <w:r w:rsidR="006C64A8" w:rsidRPr="006C64A8">
        <w:rPr>
          <w:rFonts w:hint="eastAsia"/>
          <w:snapToGrid/>
        </w:rPr>
        <w:t>千元，業務外收入</w:t>
      </w:r>
      <w:r w:rsidR="00A02E06">
        <w:rPr>
          <w:snapToGrid/>
        </w:rPr>
        <w:t>2</w:t>
      </w:r>
      <w:r w:rsidR="006C64A8" w:rsidRPr="006C64A8">
        <w:rPr>
          <w:rFonts w:hint="eastAsia"/>
          <w:snapToGrid/>
        </w:rPr>
        <w:t>億</w:t>
      </w:r>
      <w:r w:rsidR="00A02E06">
        <w:rPr>
          <w:snapToGrid/>
        </w:rPr>
        <w:t>395</w:t>
      </w:r>
      <w:r w:rsidR="006C64A8" w:rsidRPr="006C64A8">
        <w:rPr>
          <w:rFonts w:hint="eastAsia"/>
          <w:snapToGrid/>
        </w:rPr>
        <w:t>萬</w:t>
      </w:r>
      <w:r w:rsidR="005723E2">
        <w:rPr>
          <w:snapToGrid/>
        </w:rPr>
        <w:t>4</w:t>
      </w:r>
      <w:r w:rsidR="006C64A8" w:rsidRPr="006C64A8">
        <w:rPr>
          <w:rFonts w:hint="eastAsia"/>
          <w:snapToGrid/>
        </w:rPr>
        <w:t>千元，業務外費用</w:t>
      </w:r>
      <w:r w:rsidR="00691852">
        <w:rPr>
          <w:snapToGrid/>
        </w:rPr>
        <w:t>1,</w:t>
      </w:r>
      <w:r w:rsidR="00A02E06">
        <w:rPr>
          <w:snapToGrid/>
        </w:rPr>
        <w:t>587</w:t>
      </w:r>
      <w:r w:rsidR="006C64A8" w:rsidRPr="006C64A8">
        <w:rPr>
          <w:rFonts w:hint="eastAsia"/>
          <w:snapToGrid/>
        </w:rPr>
        <w:t>萬</w:t>
      </w:r>
      <w:r w:rsidR="00A02E06">
        <w:rPr>
          <w:rFonts w:hint="eastAsia"/>
          <w:snapToGrid/>
        </w:rPr>
        <w:t>5千</w:t>
      </w:r>
      <w:r w:rsidR="006C64A8" w:rsidRPr="006C64A8">
        <w:rPr>
          <w:rFonts w:hint="eastAsia"/>
          <w:snapToGrid/>
        </w:rPr>
        <w:t>元，收支相抵後短絀</w:t>
      </w:r>
      <w:r w:rsidR="00CF7F74">
        <w:rPr>
          <w:rFonts w:hint="eastAsia"/>
          <w:snapToGrid/>
        </w:rPr>
        <w:t>5</w:t>
      </w:r>
      <w:r w:rsidR="006C64A8" w:rsidRPr="006C64A8">
        <w:rPr>
          <w:rFonts w:hint="eastAsia"/>
          <w:snapToGrid/>
        </w:rPr>
        <w:t>億</w:t>
      </w:r>
      <w:r w:rsidR="00A02E06">
        <w:rPr>
          <w:snapToGrid/>
        </w:rPr>
        <w:t>439</w:t>
      </w:r>
      <w:r w:rsidR="006C64A8" w:rsidRPr="006C64A8">
        <w:rPr>
          <w:rFonts w:hint="eastAsia"/>
          <w:snapToGrid/>
        </w:rPr>
        <w:t>萬</w:t>
      </w:r>
      <w:r w:rsidR="00A02E06">
        <w:rPr>
          <w:snapToGrid/>
        </w:rPr>
        <w:t>5</w:t>
      </w:r>
      <w:r w:rsidR="00691852">
        <w:rPr>
          <w:rFonts w:hint="eastAsia"/>
          <w:snapToGrid/>
        </w:rPr>
        <w:t>千</w:t>
      </w:r>
      <w:r w:rsidR="006C64A8" w:rsidRPr="006C64A8">
        <w:rPr>
          <w:rFonts w:hint="eastAsia"/>
          <w:snapToGrid/>
        </w:rPr>
        <w:t>元，較1</w:t>
      </w:r>
      <w:r w:rsidR="00691852">
        <w:rPr>
          <w:rFonts w:hint="eastAsia"/>
          <w:snapToGrid/>
        </w:rPr>
        <w:t>1</w:t>
      </w:r>
      <w:r w:rsidR="00A02E06">
        <w:rPr>
          <w:snapToGrid/>
        </w:rPr>
        <w:t>3</w:t>
      </w:r>
      <w:r w:rsidR="006C64A8" w:rsidRPr="006C64A8">
        <w:rPr>
          <w:rFonts w:hint="eastAsia"/>
          <w:snapToGrid/>
        </w:rPr>
        <w:t>年度</w:t>
      </w:r>
      <w:r w:rsidR="006C64A8" w:rsidRPr="00EC0039">
        <w:rPr>
          <w:rFonts w:hint="eastAsia"/>
          <w:snapToGrid/>
        </w:rPr>
        <w:t>預算</w:t>
      </w:r>
      <w:r w:rsidR="00BA10F2">
        <w:rPr>
          <w:rFonts w:hint="eastAsia"/>
          <w:snapToGrid/>
        </w:rPr>
        <w:t>案</w:t>
      </w:r>
      <w:r w:rsidR="00691852">
        <w:rPr>
          <w:rFonts w:hint="eastAsia"/>
          <w:snapToGrid/>
        </w:rPr>
        <w:t>減少</w:t>
      </w:r>
      <w:r w:rsidR="006C64A8" w:rsidRPr="006C64A8">
        <w:rPr>
          <w:rFonts w:hint="eastAsia"/>
          <w:snapToGrid/>
        </w:rPr>
        <w:t>短絀</w:t>
      </w:r>
      <w:r w:rsidR="00A02E06">
        <w:rPr>
          <w:snapToGrid/>
        </w:rPr>
        <w:t>798</w:t>
      </w:r>
      <w:r w:rsidR="00691852">
        <w:rPr>
          <w:rFonts w:hint="eastAsia"/>
          <w:snapToGrid/>
        </w:rPr>
        <w:t>萬</w:t>
      </w:r>
      <w:r w:rsidR="00A02E06">
        <w:rPr>
          <w:snapToGrid/>
        </w:rPr>
        <w:t>1</w:t>
      </w:r>
      <w:r w:rsidR="00CF7F74">
        <w:rPr>
          <w:rFonts w:hint="eastAsia"/>
          <w:snapToGrid/>
          <w:lang w:eastAsia="zh-HK"/>
        </w:rPr>
        <w:t>千元</w:t>
      </w:r>
      <w:r w:rsidR="006C64A8" w:rsidRPr="006C64A8">
        <w:rPr>
          <w:rFonts w:hint="eastAsia"/>
          <w:snapToGrid/>
        </w:rPr>
        <w:t>（</w:t>
      </w:r>
      <w:r w:rsidR="00206C1A" w:rsidRPr="00206C1A">
        <w:rPr>
          <w:rFonts w:hint="eastAsia"/>
          <w:snapToGrid/>
        </w:rPr>
        <w:t>短絀</w:t>
      </w:r>
      <w:r w:rsidR="00691852">
        <w:rPr>
          <w:rFonts w:hint="eastAsia"/>
          <w:snapToGrid/>
        </w:rPr>
        <w:t>減</w:t>
      </w:r>
      <w:r w:rsidR="006C64A8" w:rsidRPr="006C64A8">
        <w:rPr>
          <w:rFonts w:hint="eastAsia"/>
          <w:snapToGrid/>
        </w:rPr>
        <w:t>幅</w:t>
      </w:r>
      <w:r w:rsidR="00A02E06">
        <w:rPr>
          <w:snapToGrid/>
        </w:rPr>
        <w:t>1.56</w:t>
      </w:r>
      <w:r w:rsidR="006C64A8" w:rsidRPr="006C64A8">
        <w:rPr>
          <w:rFonts w:hint="eastAsia"/>
          <w:snapToGrid/>
        </w:rPr>
        <w:t>%）。謹就</w:t>
      </w:r>
      <w:r w:rsidRPr="004F3367">
        <w:rPr>
          <w:rFonts w:hint="eastAsia"/>
          <w:snapToGrid/>
        </w:rPr>
        <w:t>教育部所屬基金</w:t>
      </w:r>
      <w:r w:rsidR="006C64A8" w:rsidRPr="006C64A8">
        <w:rPr>
          <w:rFonts w:hint="eastAsia"/>
          <w:snapToGrid/>
        </w:rPr>
        <w:t>1</w:t>
      </w:r>
      <w:r w:rsidR="00D735DE">
        <w:rPr>
          <w:rFonts w:hint="eastAsia"/>
          <w:snapToGrid/>
        </w:rPr>
        <w:t>1</w:t>
      </w:r>
      <w:r w:rsidR="00A02E06">
        <w:rPr>
          <w:snapToGrid/>
        </w:rPr>
        <w:t>4</w:t>
      </w:r>
      <w:r w:rsidR="006C64A8" w:rsidRPr="006C64A8">
        <w:rPr>
          <w:rFonts w:hint="eastAsia"/>
          <w:snapToGrid/>
        </w:rPr>
        <w:t>年度預算案評估如下：</w:t>
      </w:r>
    </w:p>
    <w:p w:rsidR="00C16304" w:rsidRDefault="00C16304" w:rsidP="00C16304">
      <w:pPr>
        <w:pStyle w:val="144"/>
        <w:ind w:left="567" w:hanging="567"/>
        <w:rPr>
          <w:rFonts w:hAnsi="標楷體" w:hint="eastAsia"/>
        </w:rPr>
      </w:pPr>
      <w:bookmarkStart w:id="1" w:name="_Toc308184164"/>
      <w:bookmarkStart w:id="2" w:name="_Toc53592942"/>
      <w:bookmarkStart w:id="3" w:name="_Toc180589864"/>
      <w:r>
        <w:rPr>
          <w:rFonts w:hAnsi="標楷體" w:hint="eastAsia"/>
        </w:rPr>
        <w:t>六、</w:t>
      </w:r>
      <w:bookmarkEnd w:id="2"/>
      <w:r w:rsidR="007C62CE">
        <w:rPr>
          <w:rFonts w:hAnsi="標楷體" w:hint="eastAsia"/>
        </w:rPr>
        <w:t>海生</w:t>
      </w:r>
      <w:r w:rsidR="00496DDE" w:rsidRPr="00496DDE">
        <w:rPr>
          <w:rFonts w:hAnsi="標楷體" w:hint="eastAsia"/>
        </w:rPr>
        <w:t>館</w:t>
      </w:r>
      <w:r w:rsidR="007C62CE">
        <w:rPr>
          <w:rFonts w:hAnsi="標楷體" w:hint="eastAsia"/>
        </w:rPr>
        <w:t>及科教館近年</w:t>
      </w:r>
      <w:r w:rsidR="00496DDE" w:rsidRPr="00496DDE">
        <w:rPr>
          <w:rFonts w:hAnsi="標楷體" w:hint="eastAsia"/>
        </w:rPr>
        <w:t>資本支出預算</w:t>
      </w:r>
      <w:r w:rsidR="00676459">
        <w:rPr>
          <w:rFonts w:hAnsi="標楷體" w:hint="eastAsia"/>
        </w:rPr>
        <w:t>之</w:t>
      </w:r>
      <w:r w:rsidR="00496DDE" w:rsidRPr="00496DDE">
        <w:rPr>
          <w:rFonts w:hAnsi="標楷體" w:hint="eastAsia"/>
        </w:rPr>
        <w:t>執行未臻理想，允宜加強督導考核，研謀改善措施，以發揮資源預期效能</w:t>
      </w:r>
      <w:bookmarkEnd w:id="3"/>
    </w:p>
    <w:p w:rsidR="00C16304" w:rsidRDefault="00496DDE" w:rsidP="00C16304">
      <w:pPr>
        <w:ind w:left="566" w:firstLine="566"/>
        <w:rPr>
          <w:rFonts w:hAnsi="標楷體"/>
        </w:rPr>
      </w:pPr>
      <w:r w:rsidRPr="00496DDE">
        <w:rPr>
          <w:rFonts w:hAnsi="標楷體" w:hint="eastAsia"/>
        </w:rPr>
        <w:t>教育部所屬基金</w:t>
      </w:r>
      <w:r w:rsidR="00C16304" w:rsidRPr="00974FF2">
        <w:rPr>
          <w:rFonts w:hAnsi="標楷體" w:hint="eastAsia"/>
        </w:rPr>
        <w:t>1</w:t>
      </w:r>
      <w:r w:rsidR="00C16304">
        <w:rPr>
          <w:rFonts w:hAnsi="標楷體" w:hint="eastAsia"/>
        </w:rPr>
        <w:t>1</w:t>
      </w:r>
      <w:r>
        <w:rPr>
          <w:rFonts w:hAnsi="標楷體"/>
        </w:rPr>
        <w:t>4</w:t>
      </w:r>
      <w:r w:rsidR="00C16304">
        <w:rPr>
          <w:rFonts w:hAnsi="標楷體" w:hint="eastAsia"/>
        </w:rPr>
        <w:t>年度於固定資產建設改良擴充編列分年性項目</w:t>
      </w:r>
      <w:r>
        <w:rPr>
          <w:rFonts w:hAnsi="標楷體"/>
        </w:rPr>
        <w:t>9,470</w:t>
      </w:r>
      <w:r w:rsidR="00C16304">
        <w:rPr>
          <w:rFonts w:hAnsi="標楷體" w:hint="eastAsia"/>
        </w:rPr>
        <w:t>萬元</w:t>
      </w:r>
      <w:r w:rsidR="00676459">
        <w:rPr>
          <w:rFonts w:hAnsi="標楷體" w:hint="eastAsia"/>
        </w:rPr>
        <w:t>、</w:t>
      </w:r>
      <w:r w:rsidR="00C16304">
        <w:rPr>
          <w:rFonts w:hAnsi="標楷體" w:hint="eastAsia"/>
        </w:rPr>
        <w:t>一次性項目</w:t>
      </w:r>
      <w:r>
        <w:rPr>
          <w:rFonts w:hAnsi="標楷體"/>
        </w:rPr>
        <w:t>2</w:t>
      </w:r>
      <w:r>
        <w:rPr>
          <w:rFonts w:hAnsi="標楷體" w:hint="eastAsia"/>
        </w:rPr>
        <w:t>億9</w:t>
      </w:r>
      <w:r>
        <w:rPr>
          <w:rFonts w:hAnsi="標楷體"/>
        </w:rPr>
        <w:t>,219</w:t>
      </w:r>
      <w:r w:rsidR="00C16304">
        <w:rPr>
          <w:rFonts w:hAnsi="標楷體" w:hint="eastAsia"/>
        </w:rPr>
        <w:t>萬</w:t>
      </w:r>
      <w:r>
        <w:rPr>
          <w:rFonts w:hAnsi="標楷體" w:hint="eastAsia"/>
        </w:rPr>
        <w:t>8仟</w:t>
      </w:r>
      <w:r w:rsidR="00C16304">
        <w:rPr>
          <w:rFonts w:hAnsi="標楷體" w:hint="eastAsia"/>
        </w:rPr>
        <w:t>元，合計</w:t>
      </w:r>
      <w:r>
        <w:rPr>
          <w:rFonts w:hAnsi="標楷體" w:hint="eastAsia"/>
        </w:rPr>
        <w:t>3億</w:t>
      </w:r>
      <w:r>
        <w:rPr>
          <w:rFonts w:hAnsi="標楷體"/>
        </w:rPr>
        <w:t>8,689</w:t>
      </w:r>
      <w:r w:rsidR="00C16304">
        <w:rPr>
          <w:rFonts w:hAnsi="標楷體" w:hint="eastAsia"/>
        </w:rPr>
        <w:t>萬</w:t>
      </w:r>
      <w:r>
        <w:rPr>
          <w:rFonts w:hAnsi="標楷體"/>
        </w:rPr>
        <w:t>8</w:t>
      </w:r>
      <w:r w:rsidR="00C16304">
        <w:rPr>
          <w:rFonts w:hAnsi="標楷體" w:hint="eastAsia"/>
        </w:rPr>
        <w:t>千元</w:t>
      </w:r>
      <w:r w:rsidR="00676459">
        <w:rPr>
          <w:rFonts w:hAnsi="標楷體" w:hint="eastAsia"/>
        </w:rPr>
        <w:t>；</w:t>
      </w:r>
      <w:r w:rsidR="00757294">
        <w:rPr>
          <w:rFonts w:hAnsi="標楷體" w:hint="eastAsia"/>
        </w:rPr>
        <w:t>其中海生館及科教館編列一次性項目分別為</w:t>
      </w:r>
      <w:r w:rsidR="00757294" w:rsidRPr="00757294">
        <w:rPr>
          <w:rFonts w:hAnsi="標楷體"/>
        </w:rPr>
        <w:t>3</w:t>
      </w:r>
      <w:r w:rsidR="00757294">
        <w:rPr>
          <w:rFonts w:hAnsi="標楷體"/>
        </w:rPr>
        <w:t>,</w:t>
      </w:r>
      <w:r w:rsidR="00757294" w:rsidRPr="00757294">
        <w:rPr>
          <w:rFonts w:hAnsi="標楷體"/>
        </w:rPr>
        <w:t>038</w:t>
      </w:r>
      <w:r w:rsidR="00757294">
        <w:rPr>
          <w:rFonts w:hAnsi="標楷體" w:hint="eastAsia"/>
        </w:rPr>
        <w:t>萬</w:t>
      </w:r>
      <w:r w:rsidR="00757294" w:rsidRPr="00757294">
        <w:rPr>
          <w:rFonts w:hAnsi="標楷體"/>
        </w:rPr>
        <w:t>7</w:t>
      </w:r>
      <w:r w:rsidR="00757294">
        <w:rPr>
          <w:rFonts w:hAnsi="標楷體" w:hint="eastAsia"/>
        </w:rPr>
        <w:t>千元及</w:t>
      </w:r>
      <w:r w:rsidR="00757294" w:rsidRPr="00757294">
        <w:rPr>
          <w:rFonts w:hAnsi="標楷體"/>
        </w:rPr>
        <w:t>4</w:t>
      </w:r>
      <w:r w:rsidR="00757294">
        <w:rPr>
          <w:rFonts w:hAnsi="標楷體"/>
        </w:rPr>
        <w:t>,</w:t>
      </w:r>
      <w:r w:rsidR="00757294" w:rsidRPr="00757294">
        <w:rPr>
          <w:rFonts w:hAnsi="標楷體"/>
        </w:rPr>
        <w:t>471</w:t>
      </w:r>
      <w:r w:rsidR="00757294">
        <w:rPr>
          <w:rFonts w:hAnsi="標楷體" w:hint="eastAsia"/>
        </w:rPr>
        <w:t>萬</w:t>
      </w:r>
      <w:r w:rsidR="00757294" w:rsidRPr="00757294">
        <w:rPr>
          <w:rFonts w:hAnsi="標楷體"/>
        </w:rPr>
        <w:t>2</w:t>
      </w:r>
      <w:r w:rsidR="00757294">
        <w:rPr>
          <w:rFonts w:hAnsi="標楷體" w:hint="eastAsia"/>
        </w:rPr>
        <w:t>千元。</w:t>
      </w:r>
      <w:r w:rsidR="00C16304">
        <w:rPr>
          <w:rFonts w:hAnsi="標楷體" w:hint="eastAsia"/>
        </w:rPr>
        <w:t>經查：</w:t>
      </w:r>
    </w:p>
    <w:p w:rsidR="007C62CE" w:rsidRPr="007C62CE" w:rsidRDefault="007C62CE" w:rsidP="007C62CE">
      <w:pPr>
        <w:pStyle w:val="a4"/>
        <w:ind w:left="849" w:hanging="283"/>
        <w:rPr>
          <w:b/>
        </w:rPr>
      </w:pPr>
      <w:r w:rsidRPr="007C62CE">
        <w:rPr>
          <w:rFonts w:hint="eastAsia"/>
          <w:b/>
        </w:rPr>
        <w:t>(一</w:t>
      </w:r>
      <w:r w:rsidRPr="007C62CE">
        <w:rPr>
          <w:b/>
        </w:rPr>
        <w:t>)</w:t>
      </w:r>
      <w:r w:rsidRPr="007C62CE">
        <w:rPr>
          <w:rFonts w:hint="eastAsia"/>
          <w:b/>
        </w:rPr>
        <w:t>海生館及科教館近年資本支出預算執行進度未臻理想</w:t>
      </w:r>
    </w:p>
    <w:p w:rsidR="007C62CE" w:rsidRDefault="00C71EEE" w:rsidP="007C62CE">
      <w:pPr>
        <w:pStyle w:val="22"/>
        <w:ind w:left="850" w:firstLine="566"/>
      </w:pPr>
      <w:r w:rsidRPr="00C71EEE">
        <w:rPr>
          <w:rFonts w:hint="eastAsia"/>
        </w:rPr>
        <w:t>依附屬單位預算執行要點第12點</w:t>
      </w:r>
      <w:r w:rsidR="00676459">
        <w:rPr>
          <w:rFonts w:hint="eastAsia"/>
        </w:rPr>
        <w:t>(九</w:t>
      </w:r>
      <w:r w:rsidR="00676459">
        <w:t>)</w:t>
      </w:r>
      <w:r w:rsidRPr="00C71EEE">
        <w:rPr>
          <w:rFonts w:hint="eastAsia"/>
        </w:rPr>
        <w:t>規定：「中央政府各業權基金為配合擴大內需，維持經濟穩定成長，對已奉核定之購建固定資產計畫，應儘量提前辦理，執行進度落後者，應予追蹤管制，加強推動；……。」</w:t>
      </w:r>
    </w:p>
    <w:p w:rsidR="007C62CE" w:rsidRDefault="00C71EEE" w:rsidP="007C62CE">
      <w:pPr>
        <w:pStyle w:val="22"/>
        <w:ind w:left="850" w:firstLine="566"/>
        <w:rPr>
          <w:rFonts w:hAnsi="標楷體"/>
        </w:rPr>
      </w:pPr>
      <w:r>
        <w:rPr>
          <w:rFonts w:hint="eastAsia"/>
        </w:rPr>
        <w:t>由該</w:t>
      </w:r>
      <w:r w:rsidRPr="00C71EEE">
        <w:rPr>
          <w:rFonts w:hint="eastAsia"/>
        </w:rPr>
        <w:t>基金</w:t>
      </w:r>
      <w:r>
        <w:rPr>
          <w:rFonts w:hint="eastAsia"/>
        </w:rPr>
        <w:t>各館所1</w:t>
      </w:r>
      <w:r>
        <w:t>08</w:t>
      </w:r>
      <w:r>
        <w:rPr>
          <w:rFonts w:hint="eastAsia"/>
        </w:rPr>
        <w:t>至</w:t>
      </w:r>
      <w:r w:rsidRPr="00C71EEE">
        <w:rPr>
          <w:rFonts w:hint="eastAsia"/>
        </w:rPr>
        <w:t>112年度固定資產建設改良擴充計畫(下稱資本支出)執行</w:t>
      </w:r>
      <w:r>
        <w:rPr>
          <w:rFonts w:hint="eastAsia"/>
        </w:rPr>
        <w:t>率</w:t>
      </w:r>
      <w:r w:rsidR="004F4FC5">
        <w:rPr>
          <w:rFonts w:hint="eastAsia"/>
        </w:rPr>
        <w:t>(</w:t>
      </w:r>
      <w:r w:rsidR="004F4FC5" w:rsidRPr="004F4FC5">
        <w:rPr>
          <w:rFonts w:hint="eastAsia"/>
        </w:rPr>
        <w:t>資本支出決算數</w:t>
      </w:r>
      <w:r w:rsidR="004F4FC5">
        <w:rPr>
          <w:rFonts w:hint="eastAsia"/>
        </w:rPr>
        <w:t>/</w:t>
      </w:r>
      <w:r w:rsidRPr="00C71EEE">
        <w:rPr>
          <w:rFonts w:hint="eastAsia"/>
        </w:rPr>
        <w:t>可用預算數</w:t>
      </w:r>
      <w:r w:rsidR="004F4FC5">
        <w:t>)</w:t>
      </w:r>
      <w:r w:rsidR="004F4FC5">
        <w:rPr>
          <w:rFonts w:hint="eastAsia"/>
        </w:rPr>
        <w:t>觀</w:t>
      </w:r>
      <w:r w:rsidR="004F4FC5">
        <w:rPr>
          <w:rFonts w:hint="eastAsia"/>
        </w:rPr>
        <w:lastRenderedPageBreak/>
        <w:t>之</w:t>
      </w:r>
      <w:r w:rsidRPr="00C71EEE">
        <w:rPr>
          <w:rFonts w:hint="eastAsia"/>
        </w:rPr>
        <w:t>，</w:t>
      </w:r>
      <w:r w:rsidR="007C62CE">
        <w:rPr>
          <w:rFonts w:hint="eastAsia"/>
        </w:rPr>
        <w:t>1</w:t>
      </w:r>
      <w:r w:rsidR="007C62CE">
        <w:t>12</w:t>
      </w:r>
      <w:r w:rsidR="007C62CE">
        <w:rPr>
          <w:rFonts w:hint="eastAsia"/>
        </w:rPr>
        <w:t>年度</w:t>
      </w:r>
      <w:r w:rsidRPr="00C71EEE">
        <w:rPr>
          <w:rFonts w:hint="eastAsia"/>
        </w:rPr>
        <w:t>各館所未達可用預算數80</w:t>
      </w:r>
      <w:r w:rsidR="007C62CE">
        <w:t>%</w:t>
      </w:r>
      <w:r w:rsidRPr="00C71EEE">
        <w:rPr>
          <w:rFonts w:hint="eastAsia"/>
        </w:rPr>
        <w:t>者，計有海生館及科教館等2個分基金，分別為25.32</w:t>
      </w:r>
      <w:r w:rsidR="007C62CE">
        <w:rPr>
          <w:rFonts w:hint="eastAsia"/>
        </w:rPr>
        <w:t>%</w:t>
      </w:r>
      <w:r w:rsidRPr="00C71EEE">
        <w:rPr>
          <w:rFonts w:hint="eastAsia"/>
        </w:rPr>
        <w:t>、75.74</w:t>
      </w:r>
      <w:r w:rsidR="007C62CE">
        <w:rPr>
          <w:rFonts w:hint="eastAsia"/>
        </w:rPr>
        <w:t>%</w:t>
      </w:r>
      <w:r w:rsidRPr="00C71EEE">
        <w:rPr>
          <w:rFonts w:hint="eastAsia"/>
        </w:rPr>
        <w:t>（表</w:t>
      </w:r>
      <w:r w:rsidR="007C62CE">
        <w:rPr>
          <w:rFonts w:hint="eastAsia"/>
        </w:rPr>
        <w:t>1</w:t>
      </w:r>
      <w:r w:rsidRPr="00C71EEE">
        <w:rPr>
          <w:rFonts w:hint="eastAsia"/>
        </w:rPr>
        <w:t>），海生館執行進度未臻理想原因，主要係國立社教機構環境優化服務躍升計畫之典藏展示教育大樓工程案，因環境影響說明書審查費時、位於恆春半島較為偏遠，工程數次流標所致；科教館執行進度未臻理想原因，主要係臺北科學藝術園區整體發展計畫之兒童展廳展件採購案，因配合B1土建工程時程，較預計時程延後。另</w:t>
      </w:r>
      <w:r w:rsidR="007C62CE">
        <w:rPr>
          <w:rFonts w:hint="eastAsia"/>
        </w:rPr>
        <w:t>查</w:t>
      </w:r>
      <w:r w:rsidRPr="00C71EEE">
        <w:rPr>
          <w:rFonts w:hint="eastAsia"/>
        </w:rPr>
        <w:t>海生館</w:t>
      </w:r>
      <w:r w:rsidR="003B7342">
        <w:rPr>
          <w:rFonts w:hint="eastAsia"/>
        </w:rPr>
        <w:t>已</w:t>
      </w:r>
      <w:r w:rsidRPr="00C71EEE">
        <w:rPr>
          <w:rFonts w:hint="eastAsia"/>
        </w:rPr>
        <w:t>連續3</w:t>
      </w:r>
      <w:r w:rsidR="007C62CE" w:rsidRPr="007C62CE">
        <w:rPr>
          <w:rFonts w:hint="eastAsia"/>
        </w:rPr>
        <w:t>(110至112)</w:t>
      </w:r>
      <w:r w:rsidRPr="00C71EEE">
        <w:rPr>
          <w:rFonts w:hint="eastAsia"/>
        </w:rPr>
        <w:t>年度、</w:t>
      </w:r>
      <w:r w:rsidR="003B7342" w:rsidRPr="003B7342">
        <w:rPr>
          <w:rFonts w:hint="eastAsia"/>
        </w:rPr>
        <w:t>科教館已</w:t>
      </w:r>
      <w:r w:rsidR="003B7342">
        <w:rPr>
          <w:rFonts w:hint="eastAsia"/>
        </w:rPr>
        <w:t>連續</w:t>
      </w:r>
      <w:r w:rsidRPr="00C71EEE">
        <w:rPr>
          <w:rFonts w:hint="eastAsia"/>
        </w:rPr>
        <w:t>2</w:t>
      </w:r>
      <w:r w:rsidR="007C62CE" w:rsidRPr="007C62CE">
        <w:rPr>
          <w:rFonts w:hint="eastAsia"/>
        </w:rPr>
        <w:t>(11</w:t>
      </w:r>
      <w:r w:rsidR="007C62CE">
        <w:t>1</w:t>
      </w:r>
      <w:r w:rsidR="007C62CE" w:rsidRPr="007C62CE">
        <w:rPr>
          <w:rFonts w:hint="eastAsia"/>
        </w:rPr>
        <w:t>至112)</w:t>
      </w:r>
      <w:r w:rsidRPr="00C71EEE">
        <w:rPr>
          <w:rFonts w:hint="eastAsia"/>
        </w:rPr>
        <w:t>年度均未達8</w:t>
      </w:r>
      <w:r w:rsidR="007C62CE">
        <w:rPr>
          <w:rFonts w:hint="eastAsia"/>
        </w:rPr>
        <w:t>0</w:t>
      </w:r>
      <w:r w:rsidR="007C62CE">
        <w:t>%</w:t>
      </w:r>
      <w:r w:rsidR="007C62CE">
        <w:rPr>
          <w:rFonts w:hAnsi="標楷體" w:hint="eastAsia"/>
        </w:rPr>
        <w:t>，</w:t>
      </w:r>
      <w:r w:rsidR="007C62CE" w:rsidRPr="007C62CE">
        <w:rPr>
          <w:rFonts w:hAnsi="標楷體" w:hint="eastAsia"/>
        </w:rPr>
        <w:t>資本支出預算執行進度未盡理想</w:t>
      </w:r>
      <w:r w:rsidR="007C62CE">
        <w:rPr>
          <w:rFonts w:hAnsi="標楷體" w:hint="eastAsia"/>
        </w:rPr>
        <w:t>。</w:t>
      </w:r>
    </w:p>
    <w:p w:rsidR="000C4599" w:rsidRDefault="000C4599" w:rsidP="007C62CE">
      <w:pPr>
        <w:pStyle w:val="22"/>
        <w:ind w:left="850" w:firstLine="566"/>
        <w:rPr>
          <w:rFonts w:hAnsi="標楷體" w:hint="eastAsia"/>
        </w:rPr>
      </w:pPr>
    </w:p>
    <w:p w:rsidR="00181F21" w:rsidRDefault="00C16304" w:rsidP="0085067F">
      <w:pPr>
        <w:spacing w:line="0" w:lineRule="atLeast"/>
        <w:ind w:leftChars="0" w:left="709" w:hangingChars="250" w:hanging="709"/>
        <w:rPr>
          <w:rFonts w:hAnsi="標楷體"/>
          <w:b/>
        </w:rPr>
      </w:pPr>
      <w:r>
        <w:rPr>
          <w:rFonts w:hAnsi="標楷體" w:hint="eastAsia"/>
          <w:b/>
          <w:lang w:eastAsia="zh-HK"/>
        </w:rPr>
        <w:t>表</w:t>
      </w:r>
      <w:r w:rsidR="007C62CE">
        <w:rPr>
          <w:rFonts w:hAnsi="標楷體"/>
          <w:b/>
          <w:lang w:eastAsia="zh-HK"/>
        </w:rPr>
        <w:t>1</w:t>
      </w:r>
      <w:r w:rsidR="00181F21">
        <w:rPr>
          <w:rFonts w:hAnsi="標楷體"/>
          <w:b/>
          <w:lang w:eastAsia="zh-HK"/>
        </w:rPr>
        <w:t xml:space="preserve">  </w:t>
      </w:r>
      <w:r w:rsidR="00181F21" w:rsidRPr="00181F21">
        <w:rPr>
          <w:rFonts w:hAnsi="標楷體" w:hint="eastAsia"/>
          <w:b/>
        </w:rPr>
        <w:t>1</w:t>
      </w:r>
      <w:r w:rsidR="007C62CE">
        <w:rPr>
          <w:rFonts w:hAnsi="標楷體"/>
          <w:b/>
        </w:rPr>
        <w:t>08</w:t>
      </w:r>
      <w:r w:rsidR="007C62CE">
        <w:rPr>
          <w:rFonts w:hAnsi="標楷體" w:hint="eastAsia"/>
          <w:b/>
        </w:rPr>
        <w:t>至1</w:t>
      </w:r>
      <w:r w:rsidR="007C62CE">
        <w:rPr>
          <w:rFonts w:hAnsi="標楷體"/>
          <w:b/>
        </w:rPr>
        <w:t>13</w:t>
      </w:r>
      <w:r w:rsidR="007C62CE">
        <w:rPr>
          <w:rFonts w:hAnsi="標楷體" w:hint="eastAsia"/>
          <w:b/>
        </w:rPr>
        <w:t>年</w:t>
      </w:r>
      <w:r w:rsidR="00181F21" w:rsidRPr="00181F21">
        <w:rPr>
          <w:rFonts w:hAnsi="標楷體" w:hint="eastAsia"/>
          <w:b/>
        </w:rPr>
        <w:t>度</w:t>
      </w:r>
      <w:r w:rsidR="007C62CE">
        <w:rPr>
          <w:rFonts w:hAnsi="標楷體" w:hint="eastAsia"/>
          <w:b/>
        </w:rPr>
        <w:t>教育部所屬基金</w:t>
      </w:r>
      <w:r w:rsidR="007C62CE" w:rsidRPr="007C62CE">
        <w:rPr>
          <w:rFonts w:hAnsi="標楷體" w:hint="eastAsia"/>
          <w:b/>
        </w:rPr>
        <w:t>各館所資本支出執行率</w:t>
      </w:r>
      <w:r w:rsidR="007F401B">
        <w:rPr>
          <w:rFonts w:hAnsi="標楷體" w:hint="eastAsia"/>
          <w:b/>
        </w:rPr>
        <w:t>情形表</w:t>
      </w:r>
      <w:r>
        <w:rPr>
          <w:rFonts w:hAnsi="標楷體" w:hint="eastAsia"/>
          <w:b/>
        </w:rPr>
        <w:t xml:space="preserve"> </w:t>
      </w:r>
    </w:p>
    <w:p w:rsidR="00C16304" w:rsidRDefault="00C16304" w:rsidP="00181F21">
      <w:pPr>
        <w:spacing w:line="0" w:lineRule="atLeast"/>
        <w:ind w:leftChars="0" w:left="709" w:hangingChars="250" w:hanging="709"/>
        <w:jc w:val="right"/>
        <w:rPr>
          <w:rFonts w:hAnsi="標楷體" w:hint="eastAsia"/>
          <w:sz w:val="24"/>
          <w:szCs w:val="24"/>
        </w:rPr>
      </w:pPr>
      <w:r>
        <w:rPr>
          <w:rFonts w:hAnsi="標楷體" w:hint="eastAsia"/>
          <w:b/>
        </w:rPr>
        <w:t xml:space="preserve">                         </w:t>
      </w:r>
      <w:r w:rsidR="00B84C2A">
        <w:rPr>
          <w:rFonts w:hAnsi="標楷體"/>
          <w:b/>
        </w:rPr>
        <w:t xml:space="preserve">  </w:t>
      </w:r>
      <w:r>
        <w:rPr>
          <w:rFonts w:hAnsi="標楷體" w:hint="eastAsia"/>
          <w:b/>
        </w:rPr>
        <w:t xml:space="preserve">   </w:t>
      </w:r>
      <w:r w:rsidRPr="0064421B">
        <w:rPr>
          <w:rFonts w:hAnsi="標楷體" w:hint="eastAsia"/>
          <w:sz w:val="24"/>
          <w:szCs w:val="24"/>
        </w:rPr>
        <w:t>單位：</w:t>
      </w:r>
      <w:r w:rsidR="007C62CE">
        <w:rPr>
          <w:rFonts w:hAnsi="標楷體" w:hint="eastAsia"/>
          <w:sz w:val="24"/>
          <w:szCs w:val="24"/>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9"/>
        <w:gridCol w:w="1050"/>
        <w:gridCol w:w="1050"/>
        <w:gridCol w:w="1049"/>
        <w:gridCol w:w="1049"/>
        <w:gridCol w:w="1049"/>
        <w:gridCol w:w="1044"/>
      </w:tblGrid>
      <w:tr w:rsidR="007C62CE" w:rsidRPr="007C62CE" w:rsidTr="000C4599">
        <w:trPr>
          <w:trHeight w:val="322"/>
          <w:tblHeader/>
        </w:trPr>
        <w:tc>
          <w:tcPr>
            <w:tcW w:w="1325" w:type="pct"/>
            <w:shd w:val="clear" w:color="auto" w:fill="auto"/>
            <w:noWrap/>
            <w:vAlign w:val="center"/>
            <w:hideMark/>
          </w:tcPr>
          <w:p w:rsidR="007C62CE" w:rsidRPr="007C62CE" w:rsidRDefault="007C62CE" w:rsidP="007C62CE">
            <w:pPr>
              <w:pStyle w:val="142"/>
              <w:jc w:val="center"/>
              <w:rPr>
                <w:snapToGrid/>
              </w:rPr>
            </w:pPr>
            <w:r w:rsidRPr="007C62CE">
              <w:rPr>
                <w:rFonts w:hint="eastAsia"/>
                <w:snapToGrid/>
              </w:rPr>
              <w:t>機構別</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108</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109</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110</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111</w:t>
            </w:r>
          </w:p>
        </w:tc>
        <w:tc>
          <w:tcPr>
            <w:tcW w:w="613"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112</w:t>
            </w:r>
          </w:p>
        </w:tc>
        <w:tc>
          <w:tcPr>
            <w:tcW w:w="610" w:type="pct"/>
            <w:shd w:val="clear" w:color="auto" w:fill="auto"/>
            <w:noWrap/>
            <w:vAlign w:val="center"/>
            <w:hideMark/>
          </w:tcPr>
          <w:p w:rsidR="007C62CE" w:rsidRPr="007C62CE" w:rsidRDefault="007C62CE" w:rsidP="007C62CE">
            <w:pPr>
              <w:pStyle w:val="142"/>
              <w:jc w:val="center"/>
              <w:rPr>
                <w:rFonts w:hint="eastAsia"/>
                <w:snapToGrid/>
              </w:rPr>
            </w:pPr>
            <w:r w:rsidRPr="007C62CE">
              <w:rPr>
                <w:rFonts w:hint="eastAsia"/>
                <w:snapToGrid/>
              </w:rPr>
              <w:t>113</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國立自然科學博物館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93.53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100.00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99.93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95.13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99.85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58.52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國立科學工藝博物館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99.63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92.01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95.43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97.21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92.69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40.21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b/>
                <w:snapToGrid/>
              </w:rPr>
            </w:pPr>
            <w:r w:rsidRPr="007C62CE">
              <w:rPr>
                <w:rFonts w:hint="eastAsia"/>
                <w:b/>
                <w:snapToGrid/>
              </w:rPr>
              <w:t>國立海洋生物博物館</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100.00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91.72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54.49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43.16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25.32 </w:t>
            </w:r>
          </w:p>
        </w:tc>
        <w:tc>
          <w:tcPr>
            <w:tcW w:w="610"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25.52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b/>
                <w:snapToGrid/>
              </w:rPr>
            </w:pPr>
            <w:r w:rsidRPr="007C62CE">
              <w:rPr>
                <w:rFonts w:hint="eastAsia"/>
                <w:b/>
                <w:snapToGrid/>
              </w:rPr>
              <w:t>國立臺灣科學教育館</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77.31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65.19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99.63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69.20 </w:t>
            </w:r>
          </w:p>
        </w:tc>
        <w:tc>
          <w:tcPr>
            <w:tcW w:w="613"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75.74 </w:t>
            </w:r>
          </w:p>
        </w:tc>
        <w:tc>
          <w:tcPr>
            <w:tcW w:w="610" w:type="pct"/>
            <w:shd w:val="clear" w:color="auto" w:fill="auto"/>
            <w:noWrap/>
            <w:vAlign w:val="center"/>
            <w:hideMark/>
          </w:tcPr>
          <w:p w:rsidR="007C62CE" w:rsidRPr="007C62CE" w:rsidRDefault="007C62CE" w:rsidP="007C62CE">
            <w:pPr>
              <w:pStyle w:val="142"/>
              <w:jc w:val="right"/>
              <w:rPr>
                <w:rFonts w:hint="eastAsia"/>
                <w:b/>
                <w:snapToGrid/>
              </w:rPr>
            </w:pPr>
            <w:r w:rsidRPr="007C62CE">
              <w:rPr>
                <w:rFonts w:hint="eastAsia"/>
                <w:b/>
                <w:snapToGrid/>
              </w:rPr>
              <w:t xml:space="preserve">49.27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國立臺灣圖書館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98.87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99.44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72.23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81.13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80.17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22.60 </w:t>
            </w:r>
          </w:p>
        </w:tc>
      </w:tr>
      <w:tr w:rsidR="007C62CE" w:rsidRPr="007C62CE" w:rsidTr="007C62CE">
        <w:trPr>
          <w:trHeight w:val="322"/>
        </w:trPr>
        <w:tc>
          <w:tcPr>
            <w:tcW w:w="1325" w:type="pct"/>
            <w:shd w:val="clear" w:color="auto" w:fill="auto"/>
            <w:noWrap/>
            <w:vAlign w:val="center"/>
            <w:hideMark/>
          </w:tcPr>
          <w:p w:rsidR="007C62CE" w:rsidRPr="007C62CE" w:rsidRDefault="007C62CE" w:rsidP="007C62CE">
            <w:pPr>
              <w:pStyle w:val="142"/>
              <w:rPr>
                <w:rFonts w:hint="eastAsia"/>
                <w:snapToGrid/>
              </w:rPr>
            </w:pPr>
            <w:r w:rsidRPr="007C62CE">
              <w:rPr>
                <w:rFonts w:hint="eastAsia"/>
                <w:snapToGrid/>
              </w:rPr>
              <w:t>國立海洋科技博物館</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65.00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75.00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100.00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95.00 </w:t>
            </w:r>
          </w:p>
        </w:tc>
        <w:tc>
          <w:tcPr>
            <w:tcW w:w="613"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82.00 </w:t>
            </w:r>
          </w:p>
        </w:tc>
        <w:tc>
          <w:tcPr>
            <w:tcW w:w="610" w:type="pct"/>
            <w:shd w:val="clear" w:color="auto" w:fill="auto"/>
            <w:noWrap/>
            <w:vAlign w:val="center"/>
            <w:hideMark/>
          </w:tcPr>
          <w:p w:rsidR="007C62CE" w:rsidRPr="007C62CE" w:rsidRDefault="007C62CE" w:rsidP="007C62CE">
            <w:pPr>
              <w:pStyle w:val="142"/>
              <w:jc w:val="right"/>
              <w:rPr>
                <w:rFonts w:hint="eastAsia"/>
                <w:snapToGrid/>
              </w:rPr>
            </w:pPr>
            <w:r w:rsidRPr="007C62CE">
              <w:rPr>
                <w:rFonts w:hint="eastAsia"/>
                <w:snapToGrid/>
              </w:rPr>
              <w:t xml:space="preserve">28.00 </w:t>
            </w:r>
          </w:p>
        </w:tc>
      </w:tr>
    </w:tbl>
    <w:p w:rsidR="00676459" w:rsidRPr="00676459" w:rsidRDefault="00676459" w:rsidP="00676459">
      <w:pPr>
        <w:spacing w:line="280" w:lineRule="exact"/>
        <w:ind w:leftChars="0" w:left="851" w:hangingChars="350" w:hanging="851"/>
        <w:jc w:val="left"/>
        <w:rPr>
          <w:rFonts w:hAnsi="標楷體" w:hint="eastAsia"/>
          <w:sz w:val="24"/>
        </w:rPr>
      </w:pPr>
      <w:r w:rsidRPr="00676459">
        <w:rPr>
          <w:rFonts w:hAnsi="標楷體" w:hint="eastAsia"/>
          <w:sz w:val="24"/>
          <w:lang w:eastAsia="zh-HK"/>
        </w:rPr>
        <w:t>說</w:t>
      </w:r>
      <w:r w:rsidRPr="00676459">
        <w:rPr>
          <w:rFonts w:hAnsi="標楷體" w:hint="eastAsia"/>
          <w:sz w:val="24"/>
        </w:rPr>
        <w:t xml:space="preserve">    </w:t>
      </w:r>
      <w:r w:rsidRPr="00676459">
        <w:rPr>
          <w:rFonts w:hAnsi="標楷體" w:hint="eastAsia"/>
          <w:sz w:val="24"/>
          <w:lang w:eastAsia="zh-HK"/>
        </w:rPr>
        <w:t>明： 1</w:t>
      </w:r>
      <w:r w:rsidRPr="00676459">
        <w:rPr>
          <w:rFonts w:hAnsi="標楷體" w:hint="eastAsia"/>
          <w:sz w:val="24"/>
        </w:rPr>
        <w:t>1</w:t>
      </w:r>
      <w:r w:rsidRPr="00676459">
        <w:rPr>
          <w:rFonts w:hAnsi="標楷體"/>
          <w:sz w:val="24"/>
        </w:rPr>
        <w:t>3</w:t>
      </w:r>
      <w:r w:rsidRPr="00676459">
        <w:rPr>
          <w:rFonts w:hAnsi="標楷體" w:hint="eastAsia"/>
          <w:sz w:val="24"/>
          <w:lang w:eastAsia="zh-HK"/>
        </w:rPr>
        <w:t>年度為截至</w:t>
      </w:r>
      <w:r w:rsidRPr="00676459">
        <w:rPr>
          <w:rFonts w:hAnsi="標楷體" w:hint="eastAsia"/>
          <w:sz w:val="24"/>
        </w:rPr>
        <w:t>7</w:t>
      </w:r>
      <w:r w:rsidRPr="00676459">
        <w:rPr>
          <w:rFonts w:hAnsi="標楷體" w:hint="eastAsia"/>
          <w:sz w:val="24"/>
          <w:lang w:eastAsia="zh-HK"/>
        </w:rPr>
        <w:t>月底止。</w:t>
      </w:r>
    </w:p>
    <w:p w:rsidR="007C62CE" w:rsidRDefault="007C62CE" w:rsidP="007C62CE">
      <w:pPr>
        <w:pStyle w:val="142"/>
      </w:pPr>
      <w:r w:rsidRPr="0064421B">
        <w:rPr>
          <w:rFonts w:hint="eastAsia"/>
        </w:rPr>
        <w:t>資料來源</w:t>
      </w:r>
      <w:r>
        <w:rPr>
          <w:rFonts w:hint="eastAsia"/>
        </w:rPr>
        <w:t>：</w:t>
      </w:r>
      <w:r w:rsidRPr="007C62CE">
        <w:rPr>
          <w:rFonts w:hint="eastAsia"/>
        </w:rPr>
        <w:t>整理自教育部所屬基金各分基金提供資料。</w:t>
      </w:r>
    </w:p>
    <w:p w:rsidR="007C62CE" w:rsidRPr="007C62CE" w:rsidRDefault="007C62CE" w:rsidP="007C62CE">
      <w:pPr>
        <w:pStyle w:val="a4"/>
        <w:ind w:left="849" w:hanging="283"/>
        <w:rPr>
          <w:b/>
        </w:rPr>
      </w:pPr>
      <w:r w:rsidRPr="007C62CE">
        <w:rPr>
          <w:rFonts w:hint="eastAsia"/>
          <w:b/>
        </w:rPr>
        <w:t>(二</w:t>
      </w:r>
      <w:r w:rsidRPr="007C62CE">
        <w:rPr>
          <w:b/>
        </w:rPr>
        <w:t>)</w:t>
      </w:r>
      <w:r w:rsidRPr="007C62CE">
        <w:rPr>
          <w:rFonts w:hint="eastAsia"/>
          <w:b/>
        </w:rPr>
        <w:t>截至1</w:t>
      </w:r>
      <w:r w:rsidRPr="007C62CE">
        <w:rPr>
          <w:b/>
        </w:rPr>
        <w:t>13</w:t>
      </w:r>
      <w:r w:rsidRPr="007C62CE">
        <w:rPr>
          <w:rFonts w:hint="eastAsia"/>
          <w:b/>
        </w:rPr>
        <w:t>年7月底海生館及科教館部</w:t>
      </w:r>
      <w:r>
        <w:rPr>
          <w:rFonts w:hint="eastAsia"/>
          <w:b/>
        </w:rPr>
        <w:t>分</w:t>
      </w:r>
      <w:r w:rsidR="00757294" w:rsidRPr="00757294">
        <w:rPr>
          <w:rFonts w:hint="eastAsia"/>
          <w:b/>
        </w:rPr>
        <w:t>資本支出</w:t>
      </w:r>
      <w:r>
        <w:rPr>
          <w:rFonts w:hint="eastAsia"/>
          <w:b/>
        </w:rPr>
        <w:t>項目</w:t>
      </w:r>
      <w:r w:rsidRPr="007C62CE">
        <w:rPr>
          <w:rFonts w:hint="eastAsia"/>
          <w:b/>
        </w:rPr>
        <w:t>進度仍落後</w:t>
      </w:r>
      <w:r w:rsidRPr="007C62CE">
        <w:rPr>
          <w:rFonts w:hAnsi="標楷體" w:hint="eastAsia"/>
          <w:b/>
        </w:rPr>
        <w:t>，允宜加強督導考核，研謀改善措施，以發揮資源預期效能</w:t>
      </w:r>
    </w:p>
    <w:p w:rsidR="007C62CE" w:rsidRDefault="007C62CE" w:rsidP="00A87D9A">
      <w:pPr>
        <w:pStyle w:val="22"/>
        <w:ind w:left="850" w:firstLine="566"/>
      </w:pPr>
      <w:r w:rsidRPr="007C62CE">
        <w:rPr>
          <w:rFonts w:hint="eastAsia"/>
        </w:rPr>
        <w:t>海生館及科教館</w:t>
      </w:r>
      <w:r>
        <w:t>113</w:t>
      </w:r>
      <w:r>
        <w:rPr>
          <w:rFonts w:hint="eastAsia"/>
        </w:rPr>
        <w:t>年截至7月底資本支出執行</w:t>
      </w:r>
      <w:r w:rsidR="00676459">
        <w:rPr>
          <w:rFonts w:hint="eastAsia"/>
        </w:rPr>
        <w:t>數占可用預算數比</w:t>
      </w:r>
      <w:r>
        <w:rPr>
          <w:rFonts w:hint="eastAsia"/>
        </w:rPr>
        <w:t>率分別為2</w:t>
      </w:r>
      <w:r>
        <w:t>5.52%</w:t>
      </w:r>
      <w:r>
        <w:rPr>
          <w:rFonts w:hint="eastAsia"/>
        </w:rPr>
        <w:t>及4</w:t>
      </w:r>
      <w:r>
        <w:t>9.27%</w:t>
      </w:r>
      <w:r w:rsidR="007F13B4">
        <w:t>(</w:t>
      </w:r>
      <w:r w:rsidR="007F13B4">
        <w:rPr>
          <w:rFonts w:hint="eastAsia"/>
        </w:rPr>
        <w:t>詳表1</w:t>
      </w:r>
      <w:r w:rsidR="007F13B4">
        <w:t>)</w:t>
      </w:r>
      <w:r w:rsidR="007F13B4">
        <w:rPr>
          <w:rFonts w:hAnsi="標楷體" w:hint="eastAsia"/>
        </w:rPr>
        <w:t>。據</w:t>
      </w:r>
      <w:r>
        <w:rPr>
          <w:rFonts w:hAnsi="標楷體" w:hint="eastAsia"/>
        </w:rPr>
        <w:t>海生館提供資料</w:t>
      </w:r>
      <w:r w:rsidR="007F13B4">
        <w:rPr>
          <w:rFonts w:hAnsi="標楷體" w:hint="eastAsia"/>
        </w:rPr>
        <w:t>，</w:t>
      </w:r>
      <w:r w:rsidR="00F8413B" w:rsidRPr="00F8413B">
        <w:rPr>
          <w:rFonts w:hAnsi="標楷體" w:hint="eastAsia"/>
        </w:rPr>
        <w:t>國立社教機構環境優化服務躍升計畫之典藏展示教育大樓工程案</w:t>
      </w:r>
      <w:r w:rsidR="007F13B4">
        <w:rPr>
          <w:rFonts w:hAnsi="標楷體" w:hint="eastAsia"/>
        </w:rPr>
        <w:t>，原訂計畫期程為1</w:t>
      </w:r>
      <w:r w:rsidR="007F13B4">
        <w:rPr>
          <w:rFonts w:hAnsi="標楷體"/>
        </w:rPr>
        <w:t>10</w:t>
      </w:r>
      <w:r w:rsidR="007F13B4">
        <w:rPr>
          <w:rFonts w:hAnsi="標楷體" w:hint="eastAsia"/>
        </w:rPr>
        <w:t>至1</w:t>
      </w:r>
      <w:r w:rsidR="007F13B4">
        <w:rPr>
          <w:rFonts w:hAnsi="標楷體"/>
        </w:rPr>
        <w:t>13</w:t>
      </w:r>
      <w:r w:rsidR="007F13B4">
        <w:rPr>
          <w:rFonts w:hAnsi="標楷體" w:hint="eastAsia"/>
        </w:rPr>
        <w:t>年度，因進度未如預期已</w:t>
      </w:r>
      <w:r w:rsidR="007F13B4" w:rsidRPr="007F13B4">
        <w:rPr>
          <w:rFonts w:hAnsi="標楷體" w:hint="eastAsia"/>
        </w:rPr>
        <w:t>於113年5月27日</w:t>
      </w:r>
      <w:r w:rsidR="007F13B4">
        <w:rPr>
          <w:rFonts w:hAnsi="標楷體" w:hint="eastAsia"/>
        </w:rPr>
        <w:t>向行政院申請展延期程至1</w:t>
      </w:r>
      <w:r w:rsidR="007F13B4">
        <w:rPr>
          <w:rFonts w:hAnsi="標楷體"/>
        </w:rPr>
        <w:t>15</w:t>
      </w:r>
      <w:r w:rsidR="007F13B4">
        <w:rPr>
          <w:rFonts w:hAnsi="標楷體" w:hint="eastAsia"/>
        </w:rPr>
        <w:t>年度</w:t>
      </w:r>
      <w:r w:rsidR="007F13B4">
        <w:rPr>
          <w:rStyle w:val="af7"/>
          <w:rFonts w:hAnsi="標楷體"/>
        </w:rPr>
        <w:footnoteReference w:id="2"/>
      </w:r>
      <w:r w:rsidR="007F13B4">
        <w:rPr>
          <w:rFonts w:hAnsi="標楷體" w:hint="eastAsia"/>
        </w:rPr>
        <w:t>，截至</w:t>
      </w:r>
      <w:r w:rsidR="007F13B4">
        <w:rPr>
          <w:rFonts w:hAnsi="標楷體" w:hint="eastAsia"/>
        </w:rPr>
        <w:lastRenderedPageBreak/>
        <w:t>1</w:t>
      </w:r>
      <w:r w:rsidR="007F13B4">
        <w:rPr>
          <w:rFonts w:hAnsi="標楷體"/>
        </w:rPr>
        <w:t>13</w:t>
      </w:r>
      <w:r w:rsidR="007F13B4">
        <w:rPr>
          <w:rFonts w:hAnsi="標楷體" w:hint="eastAsia"/>
        </w:rPr>
        <w:t>年9月2</w:t>
      </w:r>
      <w:r w:rsidR="007F13B4">
        <w:rPr>
          <w:rFonts w:hAnsi="標楷體"/>
        </w:rPr>
        <w:t>4</w:t>
      </w:r>
      <w:r w:rsidR="007F13B4">
        <w:rPr>
          <w:rFonts w:hAnsi="標楷體" w:hint="eastAsia"/>
        </w:rPr>
        <w:t>日尚未經核定</w:t>
      </w:r>
      <w:r w:rsidR="00676459">
        <w:rPr>
          <w:rFonts w:hAnsi="標楷體" w:hint="eastAsia"/>
        </w:rPr>
        <w:t>；</w:t>
      </w:r>
      <w:r w:rsidR="007F13B4">
        <w:rPr>
          <w:rFonts w:hint="eastAsia"/>
        </w:rPr>
        <w:t>而科教館</w:t>
      </w:r>
      <w:r w:rsidR="007A51C4">
        <w:rPr>
          <w:rFonts w:hint="eastAsia"/>
        </w:rPr>
        <w:t>辦理</w:t>
      </w:r>
      <w:r w:rsidR="007A51C4" w:rsidRPr="007A51C4">
        <w:rPr>
          <w:rFonts w:hint="eastAsia"/>
        </w:rPr>
        <w:t>臺北科學藝術園區整體發展計畫</w:t>
      </w:r>
      <w:r w:rsidR="004C238B">
        <w:rPr>
          <w:rStyle w:val="af7"/>
        </w:rPr>
        <w:footnoteReference w:id="3"/>
      </w:r>
      <w:r w:rsidR="007A51C4">
        <w:rPr>
          <w:rFonts w:hint="eastAsia"/>
        </w:rPr>
        <w:t>截至1</w:t>
      </w:r>
      <w:r w:rsidR="007A51C4">
        <w:t>13</w:t>
      </w:r>
      <w:r w:rsidR="007A51C4">
        <w:rPr>
          <w:rFonts w:hint="eastAsia"/>
        </w:rPr>
        <w:t>年7月底部分細項</w:t>
      </w:r>
      <w:r w:rsidR="007A51C4" w:rsidRPr="007A51C4">
        <w:rPr>
          <w:rFonts w:hint="eastAsia"/>
        </w:rPr>
        <w:t>執行進度落後</w:t>
      </w:r>
      <w:r w:rsidR="007A51C4">
        <w:rPr>
          <w:rFonts w:hint="eastAsia"/>
        </w:rPr>
        <w:t>(詳表2</w:t>
      </w:r>
      <w:r w:rsidR="007A51C4">
        <w:t>)</w:t>
      </w:r>
      <w:r w:rsidR="00676459">
        <w:rPr>
          <w:rFonts w:hAnsi="標楷體" w:hint="eastAsia"/>
        </w:rPr>
        <w:t>。</w:t>
      </w:r>
      <w:r w:rsidRPr="00C71EEE">
        <w:rPr>
          <w:rFonts w:hint="eastAsia"/>
        </w:rPr>
        <w:t>允宜賡續加強督導考核，促請</w:t>
      </w:r>
      <w:r w:rsidRPr="007C62CE">
        <w:rPr>
          <w:rFonts w:hint="eastAsia"/>
        </w:rPr>
        <w:t>海生館及科教館</w:t>
      </w:r>
      <w:r w:rsidRPr="00C71EEE">
        <w:rPr>
          <w:rFonts w:hint="eastAsia"/>
        </w:rPr>
        <w:t>研謀改善措施</w:t>
      </w:r>
      <w:r w:rsidR="00676459">
        <w:rPr>
          <w:rFonts w:hint="eastAsia"/>
        </w:rPr>
        <w:t>並</w:t>
      </w:r>
      <w:r w:rsidRPr="00C71EEE">
        <w:rPr>
          <w:rFonts w:hint="eastAsia"/>
        </w:rPr>
        <w:t>積極執行，以發揮資源預期效能。</w:t>
      </w:r>
    </w:p>
    <w:p w:rsidR="007A51C4" w:rsidRDefault="007A51C4" w:rsidP="007A51C4">
      <w:pPr>
        <w:ind w:left="566" w:firstLine="566"/>
      </w:pPr>
      <w:r>
        <w:rPr>
          <w:rFonts w:hint="eastAsia"/>
        </w:rPr>
        <w:t>綜上</w:t>
      </w:r>
      <w:r>
        <w:rPr>
          <w:rFonts w:hAnsi="標楷體" w:hint="eastAsia"/>
        </w:rPr>
        <w:t>，</w:t>
      </w:r>
      <w:r w:rsidR="00A87D9A" w:rsidRPr="00A87D9A">
        <w:rPr>
          <w:rFonts w:hAnsi="標楷體" w:hint="eastAsia"/>
        </w:rPr>
        <w:t>海生館及科教館近年資本支出預算</w:t>
      </w:r>
      <w:r w:rsidR="00676459">
        <w:rPr>
          <w:rFonts w:hAnsi="標楷體" w:hint="eastAsia"/>
        </w:rPr>
        <w:t>之</w:t>
      </w:r>
      <w:r w:rsidR="00A87D9A" w:rsidRPr="00A87D9A">
        <w:rPr>
          <w:rFonts w:hAnsi="標楷體" w:hint="eastAsia"/>
        </w:rPr>
        <w:t>執行未臻理想</w:t>
      </w:r>
      <w:r w:rsidR="00A87D9A">
        <w:rPr>
          <w:rFonts w:hAnsi="標楷體" w:hint="eastAsia"/>
        </w:rPr>
        <w:t>，</w:t>
      </w:r>
      <w:r w:rsidR="00A87D9A" w:rsidRPr="00A87D9A">
        <w:rPr>
          <w:rFonts w:hAnsi="標楷體" w:hint="eastAsia"/>
        </w:rPr>
        <w:t>截至113年7月底部分資本支出項目進度仍落後，允宜加強督導考核，研謀改善措施，以發揮資源預期效能</w:t>
      </w:r>
    </w:p>
    <w:p w:rsidR="007A51C4" w:rsidRDefault="007A51C4" w:rsidP="007C62CE">
      <w:pPr>
        <w:ind w:left="566" w:firstLine="566"/>
      </w:pPr>
    </w:p>
    <w:p w:rsidR="000C4599" w:rsidRDefault="000C4599" w:rsidP="007C62CE">
      <w:pPr>
        <w:ind w:left="566" w:firstLine="566"/>
      </w:pPr>
    </w:p>
    <w:p w:rsidR="000C4599" w:rsidRDefault="000C4599" w:rsidP="007C62CE">
      <w:pPr>
        <w:ind w:left="566" w:firstLine="566"/>
        <w:rPr>
          <w:rFonts w:hint="eastAsia"/>
        </w:rPr>
      </w:pPr>
    </w:p>
    <w:p w:rsidR="007C62CE" w:rsidRPr="007A51C4" w:rsidRDefault="007A51C4" w:rsidP="00FA377E">
      <w:pPr>
        <w:spacing w:line="0" w:lineRule="atLeast"/>
        <w:ind w:leftChars="0" w:left="794" w:firstLineChars="0" w:hanging="794"/>
      </w:pPr>
      <w:r>
        <w:rPr>
          <w:rFonts w:hAnsi="標楷體" w:hint="eastAsia"/>
          <w:b/>
          <w:lang w:eastAsia="zh-HK"/>
        </w:rPr>
        <w:t>表</w:t>
      </w:r>
      <w:r>
        <w:rPr>
          <w:rFonts w:hAnsi="標楷體"/>
          <w:b/>
          <w:lang w:eastAsia="zh-HK"/>
        </w:rPr>
        <w:t>2</w:t>
      </w:r>
      <w:r>
        <w:rPr>
          <w:rFonts w:hAnsi="標楷體" w:hint="eastAsia"/>
          <w:b/>
        </w:rPr>
        <w:t xml:space="preserve">  科教館辦理</w:t>
      </w:r>
      <w:r>
        <w:rPr>
          <w:rFonts w:hAnsi="標楷體" w:hint="eastAsia"/>
          <w:b/>
          <w:lang w:eastAsia="zh-HK"/>
        </w:rPr>
        <w:t>臺</w:t>
      </w:r>
      <w:r w:rsidRPr="002F33D0">
        <w:rPr>
          <w:rFonts w:hAnsi="標楷體" w:hint="eastAsia"/>
          <w:b/>
        </w:rPr>
        <w:t>北科學藝術園區整體發展計畫</w:t>
      </w:r>
      <w:r>
        <w:rPr>
          <w:rFonts w:hAnsi="標楷體" w:hint="eastAsia"/>
          <w:b/>
        </w:rPr>
        <w:t>，</w:t>
      </w:r>
      <w:r w:rsidRPr="007A51C4">
        <w:rPr>
          <w:rFonts w:hAnsi="標楷體" w:hint="eastAsia"/>
          <w:b/>
        </w:rPr>
        <w:t>截至11</w:t>
      </w:r>
      <w:r>
        <w:rPr>
          <w:rFonts w:hAnsi="標楷體"/>
          <w:b/>
        </w:rPr>
        <w:t>3</w:t>
      </w:r>
      <w:r w:rsidRPr="007A51C4">
        <w:rPr>
          <w:rFonts w:hAnsi="標楷體" w:hint="eastAsia"/>
          <w:b/>
        </w:rPr>
        <w:t>年7月底</w:t>
      </w:r>
      <w:r>
        <w:rPr>
          <w:rFonts w:hAnsi="標楷體" w:hint="eastAsia"/>
          <w:b/>
        </w:rPr>
        <w:t>執行進度落後細項計畫</w:t>
      </w:r>
      <w:r w:rsidR="00676459">
        <w:rPr>
          <w:rFonts w:hAnsi="標楷體" w:hint="eastAsia"/>
          <w:b/>
        </w:rPr>
        <w:t>概況</w:t>
      </w:r>
      <w:r w:rsidR="005A7303">
        <w:rPr>
          <w:rFonts w:hAnsi="標楷體" w:hint="eastAsia"/>
          <w:b/>
        </w:rPr>
        <w:t>表</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805"/>
        <w:gridCol w:w="1271"/>
        <w:gridCol w:w="851"/>
        <w:gridCol w:w="4784"/>
      </w:tblGrid>
      <w:tr w:rsidR="007A51C4" w:rsidRPr="007A51C4" w:rsidTr="004C238B">
        <w:trPr>
          <w:jc w:val="center"/>
        </w:trPr>
        <w:tc>
          <w:tcPr>
            <w:tcW w:w="1805" w:type="dxa"/>
            <w:shd w:val="clear" w:color="auto" w:fill="auto"/>
            <w:vAlign w:val="center"/>
          </w:tcPr>
          <w:p w:rsidR="007A51C4" w:rsidRPr="007A51C4" w:rsidRDefault="007A51C4" w:rsidP="004C238B">
            <w:pPr>
              <w:pStyle w:val="142"/>
              <w:jc w:val="center"/>
              <w:rPr>
                <w:rFonts w:ascii="Times New Roman" w:eastAsia="新細明體"/>
                <w:snapToGrid/>
                <w:sz w:val="18"/>
                <w:szCs w:val="20"/>
              </w:rPr>
            </w:pPr>
            <w:r w:rsidRPr="007A51C4">
              <w:rPr>
                <w:rFonts w:hint="eastAsia"/>
                <w:snapToGrid/>
              </w:rPr>
              <w:t>計畫名稱</w:t>
            </w:r>
          </w:p>
        </w:tc>
        <w:tc>
          <w:tcPr>
            <w:tcW w:w="1271" w:type="dxa"/>
            <w:shd w:val="clear" w:color="auto" w:fill="auto"/>
            <w:vAlign w:val="center"/>
          </w:tcPr>
          <w:p w:rsidR="007A51C4" w:rsidRPr="00A87D9A" w:rsidRDefault="007A51C4" w:rsidP="004C238B">
            <w:pPr>
              <w:pStyle w:val="142"/>
              <w:jc w:val="center"/>
              <w:rPr>
                <w:rFonts w:ascii="Times New Roman" w:eastAsia="新細明體"/>
                <w:snapToGrid/>
                <w:spacing w:val="-14"/>
                <w:sz w:val="18"/>
                <w:szCs w:val="20"/>
              </w:rPr>
            </w:pPr>
            <w:r w:rsidRPr="00A87D9A">
              <w:rPr>
                <w:rFonts w:hint="eastAsia"/>
                <w:snapToGrid/>
                <w:spacing w:val="-14"/>
              </w:rPr>
              <w:t>截至11</w:t>
            </w:r>
            <w:r w:rsidRPr="00A87D9A">
              <w:rPr>
                <w:snapToGrid/>
                <w:spacing w:val="-14"/>
              </w:rPr>
              <w:t>3</w:t>
            </w:r>
            <w:r w:rsidRPr="00A87D9A">
              <w:rPr>
                <w:rFonts w:hint="eastAsia"/>
                <w:snapToGrid/>
                <w:spacing w:val="-14"/>
              </w:rPr>
              <w:t>年7月進度</w:t>
            </w:r>
          </w:p>
        </w:tc>
        <w:tc>
          <w:tcPr>
            <w:tcW w:w="851" w:type="dxa"/>
            <w:shd w:val="clear" w:color="auto" w:fill="auto"/>
            <w:vAlign w:val="center"/>
          </w:tcPr>
          <w:p w:rsidR="007A51C4" w:rsidRPr="007A51C4" w:rsidRDefault="007A51C4" w:rsidP="004C238B">
            <w:pPr>
              <w:pStyle w:val="142"/>
              <w:jc w:val="center"/>
              <w:rPr>
                <w:rFonts w:ascii="Times New Roman" w:eastAsia="新細明體"/>
                <w:snapToGrid/>
                <w:sz w:val="18"/>
                <w:szCs w:val="20"/>
              </w:rPr>
            </w:pPr>
            <w:r w:rsidRPr="007A51C4">
              <w:rPr>
                <w:rFonts w:hint="eastAsia"/>
                <w:snapToGrid/>
              </w:rPr>
              <w:t>是否落後</w:t>
            </w:r>
          </w:p>
        </w:tc>
        <w:tc>
          <w:tcPr>
            <w:tcW w:w="4784" w:type="dxa"/>
            <w:shd w:val="clear" w:color="auto" w:fill="auto"/>
            <w:vAlign w:val="center"/>
          </w:tcPr>
          <w:p w:rsidR="007A51C4" w:rsidRPr="007A51C4" w:rsidRDefault="007A51C4" w:rsidP="004C238B">
            <w:pPr>
              <w:pStyle w:val="142"/>
              <w:jc w:val="center"/>
              <w:rPr>
                <w:rFonts w:ascii="Times New Roman" w:eastAsia="新細明體"/>
                <w:snapToGrid/>
                <w:sz w:val="18"/>
                <w:szCs w:val="20"/>
              </w:rPr>
            </w:pPr>
            <w:r w:rsidRPr="007A51C4">
              <w:rPr>
                <w:rFonts w:hint="eastAsia"/>
                <w:snapToGrid/>
                <w:lang w:eastAsia="zh-HK"/>
              </w:rPr>
              <w:t>相關管控或改善措施</w:t>
            </w:r>
          </w:p>
        </w:tc>
      </w:tr>
      <w:tr w:rsidR="007A51C4" w:rsidRPr="007A51C4" w:rsidTr="004C238B">
        <w:trPr>
          <w:jc w:val="center"/>
        </w:trPr>
        <w:tc>
          <w:tcPr>
            <w:tcW w:w="1805" w:type="dxa"/>
            <w:shd w:val="clear" w:color="auto" w:fill="auto"/>
            <w:vAlign w:val="center"/>
          </w:tcPr>
          <w:p w:rsidR="007A51C4" w:rsidRPr="007A51C4" w:rsidRDefault="007A51C4" w:rsidP="00FA377E">
            <w:pPr>
              <w:pStyle w:val="142"/>
              <w:jc w:val="center"/>
              <w:rPr>
                <w:rFonts w:ascii="Times New Roman" w:eastAsia="新細明體"/>
                <w:snapToGrid/>
              </w:rPr>
            </w:pPr>
            <w:r w:rsidRPr="007A51C4">
              <w:rPr>
                <w:rFonts w:hint="eastAsia"/>
                <w:snapToGrid/>
              </w:rPr>
              <w:t>原型工場擴建及戶外展演空間建置工程</w:t>
            </w:r>
          </w:p>
        </w:tc>
        <w:tc>
          <w:tcPr>
            <w:tcW w:w="1271" w:type="dxa"/>
            <w:shd w:val="clear" w:color="auto" w:fill="auto"/>
            <w:vAlign w:val="center"/>
          </w:tcPr>
          <w:p w:rsidR="007A51C4" w:rsidRPr="007A51C4" w:rsidRDefault="007A51C4" w:rsidP="00FA377E">
            <w:pPr>
              <w:pStyle w:val="142"/>
              <w:jc w:val="center"/>
              <w:rPr>
                <w:rFonts w:ascii="Times New Roman" w:eastAsia="新細明體"/>
                <w:snapToGrid/>
              </w:rPr>
            </w:pPr>
            <w:r w:rsidRPr="007A51C4">
              <w:rPr>
                <w:snapToGrid/>
                <w:lang w:eastAsia="zh-HK"/>
              </w:rPr>
              <w:t>施工中</w:t>
            </w:r>
          </w:p>
        </w:tc>
        <w:tc>
          <w:tcPr>
            <w:tcW w:w="851" w:type="dxa"/>
            <w:shd w:val="clear" w:color="auto" w:fill="auto"/>
            <w:vAlign w:val="center"/>
          </w:tcPr>
          <w:p w:rsidR="007A51C4" w:rsidRPr="007A51C4" w:rsidRDefault="007A51C4" w:rsidP="00FA377E">
            <w:pPr>
              <w:pStyle w:val="142"/>
              <w:jc w:val="center"/>
              <w:rPr>
                <w:rFonts w:ascii="Times New Roman" w:eastAsia="新細明體"/>
                <w:snapToGrid/>
              </w:rPr>
            </w:pPr>
            <w:r w:rsidRPr="007A51C4">
              <w:rPr>
                <w:snapToGrid/>
              </w:rPr>
              <w:t>是</w:t>
            </w:r>
          </w:p>
        </w:tc>
        <w:tc>
          <w:tcPr>
            <w:tcW w:w="4784" w:type="dxa"/>
            <w:shd w:val="clear" w:color="auto" w:fill="auto"/>
            <w:vAlign w:val="center"/>
          </w:tcPr>
          <w:p w:rsidR="007A51C4" w:rsidRPr="007A51C4" w:rsidRDefault="007A51C4" w:rsidP="004C238B">
            <w:pPr>
              <w:pStyle w:val="142"/>
              <w:ind w:left="243" w:hangingChars="100" w:hanging="243"/>
              <w:jc w:val="both"/>
              <w:rPr>
                <w:rFonts w:ascii="Calibri" w:eastAsia="新細明體" w:hAnsi="Courier New" w:cs="Courier New" w:hint="eastAsia"/>
                <w:snapToGrid/>
              </w:rPr>
            </w:pPr>
            <w:r w:rsidRPr="007A51C4">
              <w:rPr>
                <w:rFonts w:hint="eastAsia"/>
                <w:snapToGrid/>
              </w:rPr>
              <w:t>1.</w:t>
            </w:r>
            <w:r w:rsidR="004C238B">
              <w:rPr>
                <w:rFonts w:hint="eastAsia"/>
                <w:snapToGrid/>
              </w:rPr>
              <w:t>該</w:t>
            </w:r>
            <w:r w:rsidRPr="007A51C4">
              <w:rPr>
                <w:rFonts w:cs="Courier New"/>
                <w:snapToGrid/>
              </w:rPr>
              <w:t>案</w:t>
            </w:r>
            <w:r w:rsidRPr="007A51C4">
              <w:rPr>
                <w:rFonts w:cs="Courier New" w:hint="eastAsia"/>
                <w:snapToGrid/>
              </w:rPr>
              <w:t>工區位於</w:t>
            </w:r>
            <w:r w:rsidRPr="007A51C4">
              <w:rPr>
                <w:rFonts w:cs="Courier New"/>
                <w:snapToGrid/>
              </w:rPr>
              <w:t>B1</w:t>
            </w:r>
            <w:r w:rsidRPr="007A51C4">
              <w:rPr>
                <w:rFonts w:cs="Courier New" w:hint="eastAsia"/>
                <w:snapToGrid/>
              </w:rPr>
              <w:t>館內通往戶外主要通道範圍；而服務躍升計畫</w:t>
            </w:r>
            <w:r w:rsidRPr="007A51C4">
              <w:rPr>
                <w:rFonts w:cs="Courier New"/>
                <w:snapToGrid/>
              </w:rPr>
              <w:t>B1</w:t>
            </w:r>
            <w:r w:rsidRPr="007A51C4">
              <w:rPr>
                <w:rFonts w:cs="Courier New" w:hint="eastAsia"/>
                <w:snapToGrid/>
              </w:rPr>
              <w:t>大劇場及</w:t>
            </w:r>
            <w:r w:rsidRPr="007A51C4">
              <w:rPr>
                <w:rFonts w:cs="Courier New"/>
                <w:snapToGrid/>
              </w:rPr>
              <w:t>9</w:t>
            </w:r>
            <w:r w:rsidRPr="007A51C4">
              <w:rPr>
                <w:rFonts w:cs="Courier New" w:hint="eastAsia"/>
                <w:snapToGrid/>
              </w:rPr>
              <w:t>樓會議廳工程施工拆卸之廢棄物、設備進料需經此通道進出，為避免</w:t>
            </w:r>
            <w:r w:rsidR="004C238B">
              <w:rPr>
                <w:rFonts w:cs="Courier New" w:hint="eastAsia"/>
                <w:snapToGrid/>
              </w:rPr>
              <w:t>該</w:t>
            </w:r>
            <w:r w:rsidRPr="007A51C4">
              <w:rPr>
                <w:rFonts w:cs="Courier New" w:hint="eastAsia"/>
                <w:snapToGrid/>
              </w:rPr>
              <w:t>案施工後設施等遭破壞，需整合另兩項工程，策略性延後發包開工。</w:t>
            </w:r>
          </w:p>
          <w:p w:rsidR="007A51C4" w:rsidRPr="007A51C4" w:rsidRDefault="007A51C4" w:rsidP="004C238B">
            <w:pPr>
              <w:pStyle w:val="142"/>
              <w:ind w:left="243" w:hangingChars="100" w:hanging="243"/>
              <w:jc w:val="both"/>
              <w:rPr>
                <w:snapToGrid/>
                <w:lang w:eastAsia="zh-HK"/>
              </w:rPr>
            </w:pPr>
            <w:r w:rsidRPr="007A51C4">
              <w:rPr>
                <w:rFonts w:hint="eastAsia"/>
                <w:snapToGrid/>
              </w:rPr>
              <w:t>2.</w:t>
            </w:r>
            <w:r w:rsidRPr="007A51C4">
              <w:rPr>
                <w:snapToGrid/>
                <w:lang w:eastAsia="zh-HK"/>
              </w:rPr>
              <w:t>配合物價上漲進行</w:t>
            </w:r>
            <w:r w:rsidRPr="007A51C4">
              <w:rPr>
                <w:snapToGrid/>
              </w:rPr>
              <w:t>多次</w:t>
            </w:r>
            <w:r w:rsidRPr="007A51C4">
              <w:rPr>
                <w:snapToGrid/>
                <w:lang w:eastAsia="zh-HK"/>
              </w:rPr>
              <w:t>招標文件</w:t>
            </w:r>
            <w:r w:rsidRPr="007A51C4">
              <w:rPr>
                <w:snapToGrid/>
              </w:rPr>
              <w:t>及招標策略</w:t>
            </w:r>
            <w:r w:rsidRPr="007A51C4">
              <w:rPr>
                <w:snapToGrid/>
                <w:lang w:eastAsia="zh-HK"/>
              </w:rPr>
              <w:t>調整，</w:t>
            </w:r>
            <w:r w:rsidRPr="007A51C4">
              <w:rPr>
                <w:snapToGrid/>
              </w:rPr>
              <w:t>工程階段定期會議追蹤進度</w:t>
            </w:r>
            <w:r w:rsidRPr="007A51C4">
              <w:rPr>
                <w:snapToGrid/>
                <w:lang w:eastAsia="zh-HK"/>
              </w:rPr>
              <w:t>。</w:t>
            </w:r>
          </w:p>
          <w:p w:rsidR="007A51C4" w:rsidRPr="007A51C4" w:rsidRDefault="007A51C4" w:rsidP="004C238B">
            <w:pPr>
              <w:pStyle w:val="142"/>
              <w:rPr>
                <w:rFonts w:ascii="Times New Roman" w:eastAsia="新細明體" w:hint="eastAsia"/>
                <w:snapToGrid/>
              </w:rPr>
            </w:pPr>
            <w:r w:rsidRPr="007A51C4">
              <w:rPr>
                <w:rFonts w:hint="eastAsia"/>
                <w:snapToGrid/>
                <w:lang w:eastAsia="zh-HK"/>
              </w:rPr>
              <w:t>3.已發包，目前進度為戶外廣場施作。</w:t>
            </w:r>
          </w:p>
        </w:tc>
      </w:tr>
      <w:tr w:rsidR="007A51C4" w:rsidRPr="007A51C4" w:rsidTr="004C238B">
        <w:trPr>
          <w:jc w:val="center"/>
        </w:trPr>
        <w:tc>
          <w:tcPr>
            <w:tcW w:w="1805" w:type="dxa"/>
            <w:shd w:val="clear" w:color="auto" w:fill="auto"/>
            <w:vAlign w:val="center"/>
          </w:tcPr>
          <w:p w:rsidR="007A51C4" w:rsidRPr="007A51C4" w:rsidRDefault="007A51C4" w:rsidP="00FA377E">
            <w:pPr>
              <w:pStyle w:val="142"/>
              <w:ind w:rightChars="-37" w:right="-105"/>
              <w:jc w:val="center"/>
              <w:rPr>
                <w:rFonts w:ascii="Times New Roman" w:eastAsia="新細明體"/>
                <w:snapToGrid/>
              </w:rPr>
            </w:pPr>
            <w:r w:rsidRPr="007A51C4">
              <w:rPr>
                <w:rFonts w:hint="eastAsia"/>
                <w:snapToGrid/>
              </w:rPr>
              <w:t>兒童展廳Luckey Climber採購案</w:t>
            </w:r>
          </w:p>
        </w:tc>
        <w:tc>
          <w:tcPr>
            <w:tcW w:w="1271" w:type="dxa"/>
            <w:shd w:val="clear" w:color="auto" w:fill="auto"/>
            <w:vAlign w:val="center"/>
          </w:tcPr>
          <w:p w:rsidR="007A51C4" w:rsidRPr="007A51C4" w:rsidRDefault="007A51C4" w:rsidP="00FA377E">
            <w:pPr>
              <w:pStyle w:val="142"/>
              <w:jc w:val="center"/>
              <w:rPr>
                <w:snapToGrid/>
                <w:lang w:eastAsia="zh-HK"/>
              </w:rPr>
            </w:pPr>
            <w:r w:rsidRPr="007A51C4">
              <w:rPr>
                <w:rFonts w:hint="eastAsia"/>
                <w:snapToGrid/>
              </w:rPr>
              <w:t>執行中</w:t>
            </w:r>
          </w:p>
        </w:tc>
        <w:tc>
          <w:tcPr>
            <w:tcW w:w="851" w:type="dxa"/>
            <w:shd w:val="clear" w:color="auto" w:fill="auto"/>
            <w:vAlign w:val="center"/>
          </w:tcPr>
          <w:p w:rsidR="007A51C4" w:rsidRPr="007A51C4" w:rsidRDefault="007A51C4" w:rsidP="00FA377E">
            <w:pPr>
              <w:pStyle w:val="142"/>
              <w:jc w:val="center"/>
              <w:rPr>
                <w:snapToGrid/>
                <w:lang w:eastAsia="zh-HK"/>
              </w:rPr>
            </w:pPr>
            <w:r w:rsidRPr="007A51C4">
              <w:rPr>
                <w:rFonts w:hint="eastAsia"/>
                <w:snapToGrid/>
              </w:rPr>
              <w:t>是</w:t>
            </w:r>
          </w:p>
        </w:tc>
        <w:tc>
          <w:tcPr>
            <w:tcW w:w="4784" w:type="dxa"/>
            <w:shd w:val="clear" w:color="auto" w:fill="auto"/>
            <w:vAlign w:val="center"/>
          </w:tcPr>
          <w:p w:rsidR="007A51C4" w:rsidRPr="007A51C4" w:rsidRDefault="007A51C4" w:rsidP="00757294">
            <w:pPr>
              <w:pStyle w:val="142"/>
              <w:rPr>
                <w:snapToGrid/>
                <w:lang w:eastAsia="zh-HK"/>
              </w:rPr>
            </w:pPr>
            <w:r w:rsidRPr="007A51C4">
              <w:rPr>
                <w:rFonts w:hint="eastAsia"/>
                <w:snapToGrid/>
              </w:rPr>
              <w:t>因地下一樓土建工程延遲，</w:t>
            </w:r>
            <w:r w:rsidR="00757294">
              <w:rPr>
                <w:rFonts w:hint="eastAsia"/>
                <w:snapToGrid/>
              </w:rPr>
              <w:t>該</w:t>
            </w:r>
            <w:r w:rsidRPr="007A51C4">
              <w:rPr>
                <w:rFonts w:hint="eastAsia"/>
                <w:snapToGrid/>
              </w:rPr>
              <w:t>案依更新時程執行推進，預計114年1月製造展件元素、2</w:t>
            </w:r>
            <w:r w:rsidR="004C238B">
              <w:rPr>
                <w:rFonts w:hint="eastAsia"/>
                <w:snapToGrid/>
              </w:rPr>
              <w:t>至</w:t>
            </w:r>
            <w:r w:rsidRPr="007A51C4">
              <w:rPr>
                <w:rFonts w:hint="eastAsia"/>
                <w:snapToGrid/>
              </w:rPr>
              <w:t>3月國際船運、4</w:t>
            </w:r>
            <w:r w:rsidR="004C238B">
              <w:rPr>
                <w:rFonts w:hint="eastAsia"/>
                <w:snapToGrid/>
              </w:rPr>
              <w:t>至</w:t>
            </w:r>
            <w:r w:rsidRPr="007A51C4">
              <w:rPr>
                <w:rFonts w:hint="eastAsia"/>
                <w:snapToGrid/>
              </w:rPr>
              <w:t>5月進場安裝完成。</w:t>
            </w:r>
          </w:p>
        </w:tc>
      </w:tr>
    </w:tbl>
    <w:p w:rsidR="007A51C4" w:rsidRDefault="007A51C4" w:rsidP="007A51C4">
      <w:pPr>
        <w:pStyle w:val="142"/>
        <w:ind w:leftChars="-50" w:left="972" w:hangingChars="458" w:hanging="1114"/>
        <w:jc w:val="both"/>
        <w:rPr>
          <w:rFonts w:hAnsi="標楷體"/>
        </w:rPr>
      </w:pPr>
      <w:r w:rsidRPr="00F25AAF">
        <w:rPr>
          <w:rFonts w:hint="eastAsia"/>
        </w:rPr>
        <w:t>資料來源</w:t>
      </w:r>
      <w:r>
        <w:rPr>
          <w:rFonts w:hAnsi="標楷體" w:hint="eastAsia"/>
        </w:rPr>
        <w:t>：</w:t>
      </w:r>
      <w:r>
        <w:rPr>
          <w:rFonts w:hint="eastAsia"/>
        </w:rPr>
        <w:t>科</w:t>
      </w:r>
      <w:r>
        <w:rPr>
          <w:rFonts w:hint="eastAsia"/>
          <w:lang w:eastAsia="zh-HK"/>
        </w:rPr>
        <w:t>教</w:t>
      </w:r>
      <w:r>
        <w:rPr>
          <w:rFonts w:hint="eastAsia"/>
        </w:rPr>
        <w:t>館</w:t>
      </w:r>
      <w:r>
        <w:rPr>
          <w:rFonts w:hAnsi="標楷體" w:hint="eastAsia"/>
        </w:rPr>
        <w:t>提供。</w:t>
      </w:r>
    </w:p>
    <w:p w:rsidR="003419EC" w:rsidRPr="00E3705F" w:rsidRDefault="009922B5" w:rsidP="00137EA5">
      <w:pPr>
        <w:ind w:left="566" w:firstLine="446"/>
        <w:jc w:val="right"/>
        <w:rPr>
          <w:rFonts w:hAnsi="標楷體" w:hint="eastAsia"/>
          <w:sz w:val="22"/>
          <w:szCs w:val="22"/>
        </w:rPr>
      </w:pPr>
      <w:r w:rsidRPr="0064421B">
        <w:rPr>
          <w:rFonts w:hAnsi="標楷體" w:hint="eastAsia"/>
          <w:sz w:val="22"/>
          <w:szCs w:val="22"/>
        </w:rPr>
        <w:t>（分機：19</w:t>
      </w:r>
      <w:r>
        <w:rPr>
          <w:rFonts w:hAnsi="標楷體" w:hint="eastAsia"/>
          <w:sz w:val="22"/>
          <w:szCs w:val="22"/>
        </w:rPr>
        <w:t>20</w:t>
      </w:r>
      <w:r w:rsidRPr="0064421B">
        <w:rPr>
          <w:rFonts w:hAnsi="標楷體" w:hint="eastAsia"/>
          <w:sz w:val="22"/>
          <w:szCs w:val="22"/>
        </w:rPr>
        <w:t xml:space="preserve"> </w:t>
      </w:r>
      <w:r>
        <w:rPr>
          <w:rFonts w:hAnsi="標楷體" w:hint="eastAsia"/>
          <w:sz w:val="22"/>
          <w:szCs w:val="22"/>
        </w:rPr>
        <w:t>廖來第</w:t>
      </w:r>
      <w:r w:rsidRPr="0064421B">
        <w:rPr>
          <w:rFonts w:hAnsi="標楷體" w:hint="eastAsia"/>
          <w:sz w:val="22"/>
          <w:szCs w:val="22"/>
        </w:rPr>
        <w:t>）</w:t>
      </w:r>
      <w:bookmarkEnd w:id="1"/>
    </w:p>
    <w:sectPr w:rsidR="003419EC" w:rsidRPr="00E3705F" w:rsidSect="00BB48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3D4" w:rsidRDefault="007603D4" w:rsidP="00B126F2">
      <w:pPr>
        <w:spacing w:line="240" w:lineRule="auto"/>
        <w:ind w:left="560" w:firstLine="560"/>
      </w:pPr>
      <w:r>
        <w:separator/>
      </w:r>
    </w:p>
  </w:endnote>
  <w:endnote w:type="continuationSeparator" w:id="0">
    <w:p w:rsidR="007603D4" w:rsidRDefault="007603D4" w:rsidP="00B126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B13211">
    <w:pPr>
      <w:pStyle w:val="af0"/>
      <w:ind w:leftChars="0" w:left="566" w:firstLineChars="0" w:firstLine="406"/>
      <w:jc w:val="center"/>
    </w:pPr>
    <w:r>
      <w:fldChar w:fldCharType="begin"/>
    </w:r>
    <w:r>
      <w:instrText>PAGE   \* MERGEFORMAT</w:instrText>
    </w:r>
    <w:r>
      <w:fldChar w:fldCharType="separate"/>
    </w:r>
    <w:r w:rsidR="00C62889" w:rsidRPr="00C6288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3D4" w:rsidRDefault="007603D4" w:rsidP="0016188D">
      <w:pPr>
        <w:spacing w:line="240" w:lineRule="auto"/>
        <w:ind w:left="560" w:firstLine="560"/>
      </w:pPr>
      <w:r>
        <w:separator/>
      </w:r>
    </w:p>
  </w:footnote>
  <w:footnote w:type="continuationSeparator" w:id="0">
    <w:p w:rsidR="007603D4" w:rsidRDefault="007603D4" w:rsidP="00B126F2">
      <w:pPr>
        <w:spacing w:line="240" w:lineRule="auto"/>
        <w:ind w:left="560" w:firstLine="560"/>
      </w:pPr>
      <w:r>
        <w:continuationSeparator/>
      </w:r>
    </w:p>
  </w:footnote>
  <w:footnote w:id="1">
    <w:p w:rsidR="00A2162F" w:rsidRPr="004F3367" w:rsidRDefault="00A2162F" w:rsidP="003B467E">
      <w:pPr>
        <w:pStyle w:val="142"/>
        <w:ind w:left="61" w:hangingChars="25" w:hanging="61"/>
        <w:jc w:val="both"/>
        <w:rPr>
          <w:rFonts w:hint="eastAsia"/>
        </w:rPr>
      </w:pPr>
      <w:r>
        <w:rPr>
          <w:rStyle w:val="af7"/>
        </w:rPr>
        <w:footnoteRef/>
      </w:r>
      <w:r>
        <w:rPr>
          <w:rFonts w:hint="eastAsia"/>
        </w:rPr>
        <w:t>按教育部96年度成立</w:t>
      </w:r>
      <w:r>
        <w:rPr>
          <w:rFonts w:hAnsi="標楷體" w:hint="eastAsia"/>
        </w:rPr>
        <w:t>「國立社教機構作業基金」，復配合107年11月28日制定公布並施行之「</w:t>
      </w:r>
      <w:r w:rsidRPr="004F3367">
        <w:rPr>
          <w:rFonts w:hAnsi="標楷體" w:hint="eastAsia"/>
        </w:rPr>
        <w:t>教育部所屬機構作業基金</w:t>
      </w:r>
      <w:r>
        <w:rPr>
          <w:rFonts w:hAnsi="標楷體" w:hint="eastAsia"/>
        </w:rPr>
        <w:t>設置條例」，自109年度起更名為</w:t>
      </w:r>
      <w:r w:rsidRPr="004F3367">
        <w:rPr>
          <w:rFonts w:hAnsi="標楷體" w:hint="eastAsia"/>
        </w:rPr>
        <w:t>教育部所屬機構作業基金</w:t>
      </w:r>
      <w:r>
        <w:rPr>
          <w:rFonts w:hAnsi="標楷體" w:hint="eastAsia"/>
        </w:rPr>
        <w:t>。</w:t>
      </w:r>
    </w:p>
  </w:footnote>
  <w:footnote w:id="2">
    <w:p w:rsidR="007F13B4" w:rsidRDefault="007F13B4" w:rsidP="004C238B">
      <w:pPr>
        <w:pStyle w:val="142"/>
        <w:ind w:left="61" w:hangingChars="25" w:hanging="61"/>
        <w:jc w:val="both"/>
        <w:rPr>
          <w:rFonts w:hint="eastAsia"/>
        </w:rPr>
      </w:pPr>
      <w:r>
        <w:rPr>
          <w:rStyle w:val="af7"/>
        </w:rPr>
        <w:footnoteRef/>
      </w:r>
      <w:r>
        <w:rPr>
          <w:rFonts w:hint="eastAsia"/>
        </w:rPr>
        <w:t>據海生館表示</w:t>
      </w:r>
      <w:r>
        <w:rPr>
          <w:rFonts w:hAnsi="標楷體" w:hint="eastAsia"/>
        </w:rPr>
        <w:t>，</w:t>
      </w:r>
      <w:r>
        <w:rPr>
          <w:rFonts w:hint="eastAsia"/>
        </w:rPr>
        <w:t>教育部於1</w:t>
      </w:r>
      <w:r>
        <w:t>13</w:t>
      </w:r>
      <w:r>
        <w:rPr>
          <w:rFonts w:hint="eastAsia"/>
        </w:rPr>
        <w:t>年5月</w:t>
      </w:r>
      <w:r>
        <w:t>27</w:t>
      </w:r>
      <w:r>
        <w:rPr>
          <w:rFonts w:hint="eastAsia"/>
        </w:rPr>
        <w:t>日以臺教社(三</w:t>
      </w:r>
      <w:r>
        <w:t>)</w:t>
      </w:r>
      <w:r>
        <w:rPr>
          <w:rFonts w:hint="eastAsia"/>
        </w:rPr>
        <w:t>字第1</w:t>
      </w:r>
      <w:r>
        <w:t>130042212</w:t>
      </w:r>
      <w:r>
        <w:rPr>
          <w:rFonts w:hint="eastAsia"/>
        </w:rPr>
        <w:t>號函送</w:t>
      </w:r>
      <w:r w:rsidRPr="007F13B4">
        <w:rPr>
          <w:rFonts w:hint="eastAsia"/>
        </w:rPr>
        <w:t>國立社教機構環境優化服務躍升計畫</w:t>
      </w:r>
      <w:r>
        <w:rPr>
          <w:rFonts w:hint="eastAsia"/>
        </w:rPr>
        <w:t>修正期程草案</w:t>
      </w:r>
      <w:r>
        <w:rPr>
          <w:rFonts w:hAnsi="標楷體" w:hint="eastAsia"/>
        </w:rPr>
        <w:t>，</w:t>
      </w:r>
      <w:r>
        <w:rPr>
          <w:rFonts w:hint="eastAsia"/>
        </w:rPr>
        <w:t>截至1</w:t>
      </w:r>
      <w:r>
        <w:t>13</w:t>
      </w:r>
      <w:r>
        <w:rPr>
          <w:rFonts w:hint="eastAsia"/>
        </w:rPr>
        <w:t>年9月2</w:t>
      </w:r>
      <w:r>
        <w:t>4</w:t>
      </w:r>
      <w:r>
        <w:rPr>
          <w:rFonts w:hint="eastAsia"/>
        </w:rPr>
        <w:t>日行政院尚未核定</w:t>
      </w:r>
      <w:r>
        <w:rPr>
          <w:rFonts w:hAnsi="標楷體" w:hint="eastAsia"/>
        </w:rPr>
        <w:t>。</w:t>
      </w:r>
    </w:p>
  </w:footnote>
  <w:footnote w:id="3">
    <w:p w:rsidR="004C238B" w:rsidRDefault="004C238B" w:rsidP="004C238B">
      <w:pPr>
        <w:pStyle w:val="142"/>
        <w:ind w:left="61" w:hangingChars="25" w:hanging="61"/>
        <w:jc w:val="both"/>
        <w:rPr>
          <w:rFonts w:hint="eastAsia"/>
        </w:rPr>
      </w:pPr>
      <w:r>
        <w:rPr>
          <w:rStyle w:val="af7"/>
        </w:rPr>
        <w:footnoteRef/>
      </w:r>
      <w:r>
        <w:rPr>
          <w:rFonts w:hint="eastAsia"/>
        </w:rPr>
        <w:t>據科教館表示</w:t>
      </w:r>
      <w:r>
        <w:rPr>
          <w:rFonts w:hAnsi="標楷體" w:hint="eastAsia"/>
        </w:rPr>
        <w:t>，</w:t>
      </w:r>
      <w:r w:rsidRPr="004C238B">
        <w:rPr>
          <w:rFonts w:hint="eastAsia"/>
        </w:rPr>
        <w:t>臺北科學藝術園區整體發展計畫辦理期程</w:t>
      </w:r>
      <w:r>
        <w:rPr>
          <w:rFonts w:hint="eastAsia"/>
        </w:rPr>
        <w:t>原</w:t>
      </w:r>
      <w:r w:rsidRPr="004C238B">
        <w:rPr>
          <w:rFonts w:hint="eastAsia"/>
        </w:rPr>
        <w:t>為107至112年度</w:t>
      </w:r>
      <w:r>
        <w:rPr>
          <w:rFonts w:hAnsi="標楷體" w:hint="eastAsia"/>
        </w:rPr>
        <w:t>，</w:t>
      </w:r>
      <w:r>
        <w:rPr>
          <w:rFonts w:hint="eastAsia"/>
        </w:rPr>
        <w:t>經教育部1</w:t>
      </w:r>
      <w:r>
        <w:t>13</w:t>
      </w:r>
      <w:r>
        <w:rPr>
          <w:rFonts w:hint="eastAsia"/>
        </w:rPr>
        <w:t>年1月1</w:t>
      </w:r>
      <w:r>
        <w:t>5</w:t>
      </w:r>
      <w:r>
        <w:rPr>
          <w:rFonts w:hint="eastAsia"/>
        </w:rPr>
        <w:t>日</w:t>
      </w:r>
      <w:r w:rsidRPr="004C238B">
        <w:rPr>
          <w:rFonts w:hint="eastAsia"/>
        </w:rPr>
        <w:t>以臺教社(三)字第</w:t>
      </w:r>
      <w:r>
        <w:rPr>
          <w:rFonts w:hint="eastAsia"/>
        </w:rPr>
        <w:t>1</w:t>
      </w:r>
      <w:r>
        <w:t>13005110</w:t>
      </w:r>
      <w:r>
        <w:rPr>
          <w:rFonts w:hint="eastAsia"/>
        </w:rPr>
        <w:t>號函同意展延執行期間至1</w:t>
      </w:r>
      <w:r>
        <w:t>14</w:t>
      </w:r>
      <w:r>
        <w:rPr>
          <w:rFonts w:hint="eastAsia"/>
        </w:rPr>
        <w:t>年底</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36E87"/>
    <w:multiLevelType w:val="hybridMultilevel"/>
    <w:tmpl w:val="1304F540"/>
    <w:lvl w:ilvl="0" w:tplc="8A5EA77E">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C3B57E7"/>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93C91"/>
    <w:multiLevelType w:val="hybridMultilevel"/>
    <w:tmpl w:val="F852ECDE"/>
    <w:lvl w:ilvl="0" w:tplc="25942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530657"/>
    <w:multiLevelType w:val="hybridMultilevel"/>
    <w:tmpl w:val="8C5C1C56"/>
    <w:lvl w:ilvl="0" w:tplc="24AE9E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45FF7EBE"/>
    <w:multiLevelType w:val="hybridMultilevel"/>
    <w:tmpl w:val="192AADAE"/>
    <w:lvl w:ilvl="0" w:tplc="E02C8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AE193E"/>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4E635A"/>
    <w:multiLevelType w:val="hybridMultilevel"/>
    <w:tmpl w:val="9E768B4A"/>
    <w:lvl w:ilvl="0" w:tplc="DDCEC024">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DB024FC"/>
    <w:multiLevelType w:val="hybridMultilevel"/>
    <w:tmpl w:val="25A448C2"/>
    <w:lvl w:ilvl="0" w:tplc="6C183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6"/>
  </w:num>
  <w:num w:numId="4">
    <w:abstractNumId w:val="0"/>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6BE"/>
    <w:rsid w:val="0000338D"/>
    <w:rsid w:val="00004550"/>
    <w:rsid w:val="0000671F"/>
    <w:rsid w:val="000132F9"/>
    <w:rsid w:val="000136D5"/>
    <w:rsid w:val="00015B73"/>
    <w:rsid w:val="00015C15"/>
    <w:rsid w:val="00017770"/>
    <w:rsid w:val="00021478"/>
    <w:rsid w:val="0002233E"/>
    <w:rsid w:val="000305D4"/>
    <w:rsid w:val="0003665E"/>
    <w:rsid w:val="00040943"/>
    <w:rsid w:val="000426B9"/>
    <w:rsid w:val="00044DAF"/>
    <w:rsid w:val="00045525"/>
    <w:rsid w:val="0004627F"/>
    <w:rsid w:val="00047AD9"/>
    <w:rsid w:val="0005025D"/>
    <w:rsid w:val="00050453"/>
    <w:rsid w:val="00051013"/>
    <w:rsid w:val="00051122"/>
    <w:rsid w:val="00055214"/>
    <w:rsid w:val="00055C0C"/>
    <w:rsid w:val="000573CB"/>
    <w:rsid w:val="000602B1"/>
    <w:rsid w:val="0006031E"/>
    <w:rsid w:val="00064881"/>
    <w:rsid w:val="0006559A"/>
    <w:rsid w:val="0007137E"/>
    <w:rsid w:val="0007493A"/>
    <w:rsid w:val="00077A11"/>
    <w:rsid w:val="00081DF8"/>
    <w:rsid w:val="00082294"/>
    <w:rsid w:val="00083534"/>
    <w:rsid w:val="00083928"/>
    <w:rsid w:val="0008616D"/>
    <w:rsid w:val="000876A9"/>
    <w:rsid w:val="000961EB"/>
    <w:rsid w:val="000A03E0"/>
    <w:rsid w:val="000A5167"/>
    <w:rsid w:val="000A5FBD"/>
    <w:rsid w:val="000A7477"/>
    <w:rsid w:val="000B3D50"/>
    <w:rsid w:val="000B4AD1"/>
    <w:rsid w:val="000B60FD"/>
    <w:rsid w:val="000B674A"/>
    <w:rsid w:val="000C11BA"/>
    <w:rsid w:val="000C1D76"/>
    <w:rsid w:val="000C203A"/>
    <w:rsid w:val="000C3166"/>
    <w:rsid w:val="000C43CD"/>
    <w:rsid w:val="000C4599"/>
    <w:rsid w:val="000C54D5"/>
    <w:rsid w:val="000C6D9E"/>
    <w:rsid w:val="000D0141"/>
    <w:rsid w:val="000D1078"/>
    <w:rsid w:val="000D1655"/>
    <w:rsid w:val="000D1B06"/>
    <w:rsid w:val="000D2341"/>
    <w:rsid w:val="000D285F"/>
    <w:rsid w:val="000D2887"/>
    <w:rsid w:val="000D2ACC"/>
    <w:rsid w:val="000D321E"/>
    <w:rsid w:val="000D3BB8"/>
    <w:rsid w:val="000D4553"/>
    <w:rsid w:val="000D4B51"/>
    <w:rsid w:val="000E02E1"/>
    <w:rsid w:val="000E04DD"/>
    <w:rsid w:val="000F06FC"/>
    <w:rsid w:val="000F1B79"/>
    <w:rsid w:val="000F5678"/>
    <w:rsid w:val="000F6276"/>
    <w:rsid w:val="000F764A"/>
    <w:rsid w:val="0010162F"/>
    <w:rsid w:val="001020B0"/>
    <w:rsid w:val="00103915"/>
    <w:rsid w:val="001068E4"/>
    <w:rsid w:val="001147DB"/>
    <w:rsid w:val="00116F17"/>
    <w:rsid w:val="00121D8B"/>
    <w:rsid w:val="001227F8"/>
    <w:rsid w:val="00124AF7"/>
    <w:rsid w:val="00125108"/>
    <w:rsid w:val="001256F6"/>
    <w:rsid w:val="001258E8"/>
    <w:rsid w:val="00127D1B"/>
    <w:rsid w:val="00131E20"/>
    <w:rsid w:val="00133385"/>
    <w:rsid w:val="00133E36"/>
    <w:rsid w:val="00134344"/>
    <w:rsid w:val="00135D03"/>
    <w:rsid w:val="00137C99"/>
    <w:rsid w:val="00137DAF"/>
    <w:rsid w:val="00137EA5"/>
    <w:rsid w:val="00142977"/>
    <w:rsid w:val="001429FC"/>
    <w:rsid w:val="00147941"/>
    <w:rsid w:val="0015084E"/>
    <w:rsid w:val="00150D5B"/>
    <w:rsid w:val="00152345"/>
    <w:rsid w:val="00154038"/>
    <w:rsid w:val="00155EA8"/>
    <w:rsid w:val="00156C97"/>
    <w:rsid w:val="001608FB"/>
    <w:rsid w:val="0016188D"/>
    <w:rsid w:val="001624FA"/>
    <w:rsid w:val="0016571B"/>
    <w:rsid w:val="00166B19"/>
    <w:rsid w:val="001744F3"/>
    <w:rsid w:val="00181F21"/>
    <w:rsid w:val="00182FB0"/>
    <w:rsid w:val="001841C4"/>
    <w:rsid w:val="0018425E"/>
    <w:rsid w:val="00184AB6"/>
    <w:rsid w:val="00191E8E"/>
    <w:rsid w:val="00194434"/>
    <w:rsid w:val="00195131"/>
    <w:rsid w:val="001970A4"/>
    <w:rsid w:val="00197456"/>
    <w:rsid w:val="001A292A"/>
    <w:rsid w:val="001A293B"/>
    <w:rsid w:val="001A319D"/>
    <w:rsid w:val="001A381A"/>
    <w:rsid w:val="001A549F"/>
    <w:rsid w:val="001A60ED"/>
    <w:rsid w:val="001B05EB"/>
    <w:rsid w:val="001B0608"/>
    <w:rsid w:val="001B1D30"/>
    <w:rsid w:val="001B31D4"/>
    <w:rsid w:val="001C02F5"/>
    <w:rsid w:val="001C1187"/>
    <w:rsid w:val="001C21CA"/>
    <w:rsid w:val="001D1245"/>
    <w:rsid w:val="001D527A"/>
    <w:rsid w:val="001D5793"/>
    <w:rsid w:val="001D5846"/>
    <w:rsid w:val="001D749B"/>
    <w:rsid w:val="001E2715"/>
    <w:rsid w:val="001E4FD3"/>
    <w:rsid w:val="001E6EF2"/>
    <w:rsid w:val="001E72FE"/>
    <w:rsid w:val="001E7810"/>
    <w:rsid w:val="001F0693"/>
    <w:rsid w:val="001F2394"/>
    <w:rsid w:val="001F5876"/>
    <w:rsid w:val="001F6992"/>
    <w:rsid w:val="001F7F71"/>
    <w:rsid w:val="00201C27"/>
    <w:rsid w:val="00203B60"/>
    <w:rsid w:val="00203BB4"/>
    <w:rsid w:val="002049F4"/>
    <w:rsid w:val="00205010"/>
    <w:rsid w:val="002055E1"/>
    <w:rsid w:val="00206C1A"/>
    <w:rsid w:val="00207340"/>
    <w:rsid w:val="00207B05"/>
    <w:rsid w:val="0021064A"/>
    <w:rsid w:val="00210F38"/>
    <w:rsid w:val="00212E02"/>
    <w:rsid w:val="002163AF"/>
    <w:rsid w:val="002221C0"/>
    <w:rsid w:val="00223CBD"/>
    <w:rsid w:val="00224D60"/>
    <w:rsid w:val="00226A6A"/>
    <w:rsid w:val="00230325"/>
    <w:rsid w:val="0023144A"/>
    <w:rsid w:val="00233EA3"/>
    <w:rsid w:val="002362F9"/>
    <w:rsid w:val="00236E44"/>
    <w:rsid w:val="00240103"/>
    <w:rsid w:val="002425F0"/>
    <w:rsid w:val="00242675"/>
    <w:rsid w:val="0024344F"/>
    <w:rsid w:val="00244715"/>
    <w:rsid w:val="002503F9"/>
    <w:rsid w:val="00250D0B"/>
    <w:rsid w:val="0025126C"/>
    <w:rsid w:val="0025145A"/>
    <w:rsid w:val="00253872"/>
    <w:rsid w:val="0025486F"/>
    <w:rsid w:val="0025512D"/>
    <w:rsid w:val="00263120"/>
    <w:rsid w:val="0026793A"/>
    <w:rsid w:val="0027002E"/>
    <w:rsid w:val="002708A3"/>
    <w:rsid w:val="002718C8"/>
    <w:rsid w:val="00273B91"/>
    <w:rsid w:val="002742B2"/>
    <w:rsid w:val="00274B48"/>
    <w:rsid w:val="00280414"/>
    <w:rsid w:val="00282707"/>
    <w:rsid w:val="00283C59"/>
    <w:rsid w:val="00283D15"/>
    <w:rsid w:val="002854EE"/>
    <w:rsid w:val="00290BEE"/>
    <w:rsid w:val="00291771"/>
    <w:rsid w:val="002928CD"/>
    <w:rsid w:val="00295692"/>
    <w:rsid w:val="0029608D"/>
    <w:rsid w:val="002A02A0"/>
    <w:rsid w:val="002A4E0F"/>
    <w:rsid w:val="002B279F"/>
    <w:rsid w:val="002B4AF1"/>
    <w:rsid w:val="002B4F60"/>
    <w:rsid w:val="002B5E91"/>
    <w:rsid w:val="002C03C4"/>
    <w:rsid w:val="002C234C"/>
    <w:rsid w:val="002C3D0D"/>
    <w:rsid w:val="002C3DE8"/>
    <w:rsid w:val="002C4495"/>
    <w:rsid w:val="002C4DB6"/>
    <w:rsid w:val="002D08B3"/>
    <w:rsid w:val="002D0C5D"/>
    <w:rsid w:val="002D59B0"/>
    <w:rsid w:val="002D5C2C"/>
    <w:rsid w:val="002D6FDD"/>
    <w:rsid w:val="002E0207"/>
    <w:rsid w:val="002E1FFF"/>
    <w:rsid w:val="002E4402"/>
    <w:rsid w:val="002E5186"/>
    <w:rsid w:val="002E69BE"/>
    <w:rsid w:val="002F0460"/>
    <w:rsid w:val="002F27E7"/>
    <w:rsid w:val="002F2C8B"/>
    <w:rsid w:val="002F33D0"/>
    <w:rsid w:val="002F4623"/>
    <w:rsid w:val="002F5926"/>
    <w:rsid w:val="002F73CC"/>
    <w:rsid w:val="00300C14"/>
    <w:rsid w:val="00301EDE"/>
    <w:rsid w:val="00302765"/>
    <w:rsid w:val="00302D35"/>
    <w:rsid w:val="00306704"/>
    <w:rsid w:val="00316929"/>
    <w:rsid w:val="00322867"/>
    <w:rsid w:val="00324A24"/>
    <w:rsid w:val="0032550F"/>
    <w:rsid w:val="00326311"/>
    <w:rsid w:val="003275BE"/>
    <w:rsid w:val="0033174A"/>
    <w:rsid w:val="00331973"/>
    <w:rsid w:val="00332D00"/>
    <w:rsid w:val="00334D03"/>
    <w:rsid w:val="003374E9"/>
    <w:rsid w:val="00340448"/>
    <w:rsid w:val="003419EC"/>
    <w:rsid w:val="00342A3B"/>
    <w:rsid w:val="003448BD"/>
    <w:rsid w:val="00347578"/>
    <w:rsid w:val="00347793"/>
    <w:rsid w:val="003532E9"/>
    <w:rsid w:val="00354943"/>
    <w:rsid w:val="003563A7"/>
    <w:rsid w:val="003643D8"/>
    <w:rsid w:val="00366C47"/>
    <w:rsid w:val="00371344"/>
    <w:rsid w:val="00372791"/>
    <w:rsid w:val="00373195"/>
    <w:rsid w:val="003746A9"/>
    <w:rsid w:val="003755B2"/>
    <w:rsid w:val="0037650A"/>
    <w:rsid w:val="00380AD2"/>
    <w:rsid w:val="00381ADE"/>
    <w:rsid w:val="003836A7"/>
    <w:rsid w:val="003842D1"/>
    <w:rsid w:val="00385642"/>
    <w:rsid w:val="0039186C"/>
    <w:rsid w:val="00394A88"/>
    <w:rsid w:val="00395C31"/>
    <w:rsid w:val="00397C25"/>
    <w:rsid w:val="003A098D"/>
    <w:rsid w:val="003A18FB"/>
    <w:rsid w:val="003A78E6"/>
    <w:rsid w:val="003B0500"/>
    <w:rsid w:val="003B2726"/>
    <w:rsid w:val="003B282A"/>
    <w:rsid w:val="003B3A0C"/>
    <w:rsid w:val="003B467E"/>
    <w:rsid w:val="003B5CFB"/>
    <w:rsid w:val="003B67BB"/>
    <w:rsid w:val="003B6D55"/>
    <w:rsid w:val="003B7342"/>
    <w:rsid w:val="003C027B"/>
    <w:rsid w:val="003C1458"/>
    <w:rsid w:val="003C2AF4"/>
    <w:rsid w:val="003C4577"/>
    <w:rsid w:val="003D0FAA"/>
    <w:rsid w:val="003D4C8C"/>
    <w:rsid w:val="003E2A3E"/>
    <w:rsid w:val="003E4393"/>
    <w:rsid w:val="003E4396"/>
    <w:rsid w:val="003E5AFD"/>
    <w:rsid w:val="003F1B87"/>
    <w:rsid w:val="003F3F31"/>
    <w:rsid w:val="003F73C1"/>
    <w:rsid w:val="00400147"/>
    <w:rsid w:val="00402EAB"/>
    <w:rsid w:val="00403360"/>
    <w:rsid w:val="00403803"/>
    <w:rsid w:val="00405417"/>
    <w:rsid w:val="004059CF"/>
    <w:rsid w:val="004109B1"/>
    <w:rsid w:val="00413328"/>
    <w:rsid w:val="00414933"/>
    <w:rsid w:val="00416161"/>
    <w:rsid w:val="004177A5"/>
    <w:rsid w:val="00420655"/>
    <w:rsid w:val="004206DE"/>
    <w:rsid w:val="004232D0"/>
    <w:rsid w:val="004255E7"/>
    <w:rsid w:val="00427F56"/>
    <w:rsid w:val="00431635"/>
    <w:rsid w:val="00432CE2"/>
    <w:rsid w:val="00435174"/>
    <w:rsid w:val="00442182"/>
    <w:rsid w:val="00446178"/>
    <w:rsid w:val="00447F32"/>
    <w:rsid w:val="00451EF0"/>
    <w:rsid w:val="0045255F"/>
    <w:rsid w:val="0045288C"/>
    <w:rsid w:val="00453F98"/>
    <w:rsid w:val="00454533"/>
    <w:rsid w:val="00456ECA"/>
    <w:rsid w:val="00462FDF"/>
    <w:rsid w:val="00463DE6"/>
    <w:rsid w:val="00464B9F"/>
    <w:rsid w:val="004654DD"/>
    <w:rsid w:val="00465583"/>
    <w:rsid w:val="004662A0"/>
    <w:rsid w:val="004662B4"/>
    <w:rsid w:val="004663A5"/>
    <w:rsid w:val="004677E4"/>
    <w:rsid w:val="00467ABF"/>
    <w:rsid w:val="0047023C"/>
    <w:rsid w:val="00470E0A"/>
    <w:rsid w:val="004725A8"/>
    <w:rsid w:val="00476A3B"/>
    <w:rsid w:val="00477B1A"/>
    <w:rsid w:val="00480C86"/>
    <w:rsid w:val="00482109"/>
    <w:rsid w:val="00482412"/>
    <w:rsid w:val="00482586"/>
    <w:rsid w:val="00483BCB"/>
    <w:rsid w:val="00484B30"/>
    <w:rsid w:val="004857B8"/>
    <w:rsid w:val="00494940"/>
    <w:rsid w:val="00495170"/>
    <w:rsid w:val="00495D26"/>
    <w:rsid w:val="00496DDE"/>
    <w:rsid w:val="004A00BD"/>
    <w:rsid w:val="004A050D"/>
    <w:rsid w:val="004A4297"/>
    <w:rsid w:val="004A5AD7"/>
    <w:rsid w:val="004A6317"/>
    <w:rsid w:val="004A7BA1"/>
    <w:rsid w:val="004B0483"/>
    <w:rsid w:val="004B1BB2"/>
    <w:rsid w:val="004B2E7E"/>
    <w:rsid w:val="004B444C"/>
    <w:rsid w:val="004B56F7"/>
    <w:rsid w:val="004B5BB9"/>
    <w:rsid w:val="004B7FE3"/>
    <w:rsid w:val="004C141B"/>
    <w:rsid w:val="004C238B"/>
    <w:rsid w:val="004C3120"/>
    <w:rsid w:val="004C3EEB"/>
    <w:rsid w:val="004D0D0F"/>
    <w:rsid w:val="004D797F"/>
    <w:rsid w:val="004D79C0"/>
    <w:rsid w:val="004D7F8C"/>
    <w:rsid w:val="004E4449"/>
    <w:rsid w:val="004E4702"/>
    <w:rsid w:val="004E4EA7"/>
    <w:rsid w:val="004F0CA1"/>
    <w:rsid w:val="004F11A4"/>
    <w:rsid w:val="004F2096"/>
    <w:rsid w:val="004F2961"/>
    <w:rsid w:val="004F3367"/>
    <w:rsid w:val="004F3DB5"/>
    <w:rsid w:val="004F4FC5"/>
    <w:rsid w:val="004F5501"/>
    <w:rsid w:val="004F7DDF"/>
    <w:rsid w:val="00500D05"/>
    <w:rsid w:val="00500F34"/>
    <w:rsid w:val="0050156F"/>
    <w:rsid w:val="005019F1"/>
    <w:rsid w:val="00502447"/>
    <w:rsid w:val="0050289E"/>
    <w:rsid w:val="005028C1"/>
    <w:rsid w:val="00504D9E"/>
    <w:rsid w:val="005065EB"/>
    <w:rsid w:val="005065ED"/>
    <w:rsid w:val="005066F8"/>
    <w:rsid w:val="00511837"/>
    <w:rsid w:val="00514101"/>
    <w:rsid w:val="0051449A"/>
    <w:rsid w:val="00520026"/>
    <w:rsid w:val="00522048"/>
    <w:rsid w:val="005247C1"/>
    <w:rsid w:val="00530254"/>
    <w:rsid w:val="005308B8"/>
    <w:rsid w:val="00530BCA"/>
    <w:rsid w:val="00532B1C"/>
    <w:rsid w:val="00532C86"/>
    <w:rsid w:val="005351F1"/>
    <w:rsid w:val="00540244"/>
    <w:rsid w:val="005414F0"/>
    <w:rsid w:val="00541D6B"/>
    <w:rsid w:val="005431EC"/>
    <w:rsid w:val="005473B7"/>
    <w:rsid w:val="005505BE"/>
    <w:rsid w:val="00554AAD"/>
    <w:rsid w:val="00554F37"/>
    <w:rsid w:val="00555928"/>
    <w:rsid w:val="005568CA"/>
    <w:rsid w:val="00560197"/>
    <w:rsid w:val="0056421B"/>
    <w:rsid w:val="00571737"/>
    <w:rsid w:val="005723E2"/>
    <w:rsid w:val="00577ADD"/>
    <w:rsid w:val="005823FF"/>
    <w:rsid w:val="00584F49"/>
    <w:rsid w:val="005860F1"/>
    <w:rsid w:val="00586FDC"/>
    <w:rsid w:val="00587531"/>
    <w:rsid w:val="00587891"/>
    <w:rsid w:val="005967DD"/>
    <w:rsid w:val="005978AB"/>
    <w:rsid w:val="0059790B"/>
    <w:rsid w:val="005A155F"/>
    <w:rsid w:val="005A1E8C"/>
    <w:rsid w:val="005A3915"/>
    <w:rsid w:val="005A3EA0"/>
    <w:rsid w:val="005A57A2"/>
    <w:rsid w:val="005A7303"/>
    <w:rsid w:val="005B7163"/>
    <w:rsid w:val="005C00BF"/>
    <w:rsid w:val="005C063F"/>
    <w:rsid w:val="005C16E8"/>
    <w:rsid w:val="005C2ACE"/>
    <w:rsid w:val="005C316B"/>
    <w:rsid w:val="005C570D"/>
    <w:rsid w:val="005C6FBD"/>
    <w:rsid w:val="005C725A"/>
    <w:rsid w:val="005C7A9D"/>
    <w:rsid w:val="005D17D4"/>
    <w:rsid w:val="005D1A79"/>
    <w:rsid w:val="005D1C67"/>
    <w:rsid w:val="005D1F77"/>
    <w:rsid w:val="005D3A79"/>
    <w:rsid w:val="005D495B"/>
    <w:rsid w:val="005D5FE0"/>
    <w:rsid w:val="005D6124"/>
    <w:rsid w:val="005D6239"/>
    <w:rsid w:val="005D69F5"/>
    <w:rsid w:val="005E035A"/>
    <w:rsid w:val="005E039E"/>
    <w:rsid w:val="005E0AD6"/>
    <w:rsid w:val="005E1714"/>
    <w:rsid w:val="005E2AA1"/>
    <w:rsid w:val="005E2CC1"/>
    <w:rsid w:val="005E3E34"/>
    <w:rsid w:val="005E625B"/>
    <w:rsid w:val="005E6FCB"/>
    <w:rsid w:val="005F002D"/>
    <w:rsid w:val="005F07E2"/>
    <w:rsid w:val="005F32B2"/>
    <w:rsid w:val="005F54A6"/>
    <w:rsid w:val="00601F8C"/>
    <w:rsid w:val="0060222D"/>
    <w:rsid w:val="006040EB"/>
    <w:rsid w:val="00607715"/>
    <w:rsid w:val="00614E5E"/>
    <w:rsid w:val="006165E3"/>
    <w:rsid w:val="00622324"/>
    <w:rsid w:val="006226C7"/>
    <w:rsid w:val="00627B5C"/>
    <w:rsid w:val="00630531"/>
    <w:rsid w:val="00632137"/>
    <w:rsid w:val="00632D2F"/>
    <w:rsid w:val="00641725"/>
    <w:rsid w:val="006421F8"/>
    <w:rsid w:val="0064226C"/>
    <w:rsid w:val="00642647"/>
    <w:rsid w:val="00642D3D"/>
    <w:rsid w:val="0064421B"/>
    <w:rsid w:val="006444E2"/>
    <w:rsid w:val="00644A64"/>
    <w:rsid w:val="00644E2E"/>
    <w:rsid w:val="006468A4"/>
    <w:rsid w:val="0064741C"/>
    <w:rsid w:val="00650D21"/>
    <w:rsid w:val="00650F0F"/>
    <w:rsid w:val="006627C5"/>
    <w:rsid w:val="006642A7"/>
    <w:rsid w:val="006650C7"/>
    <w:rsid w:val="0066731B"/>
    <w:rsid w:val="006679DA"/>
    <w:rsid w:val="00672385"/>
    <w:rsid w:val="0067274A"/>
    <w:rsid w:val="0067425D"/>
    <w:rsid w:val="00675B1A"/>
    <w:rsid w:val="00676459"/>
    <w:rsid w:val="00683BA5"/>
    <w:rsid w:val="00687E69"/>
    <w:rsid w:val="00690B95"/>
    <w:rsid w:val="00691852"/>
    <w:rsid w:val="00691D9F"/>
    <w:rsid w:val="00693102"/>
    <w:rsid w:val="006953FF"/>
    <w:rsid w:val="00695DD1"/>
    <w:rsid w:val="006972EE"/>
    <w:rsid w:val="00697BBD"/>
    <w:rsid w:val="006A7F35"/>
    <w:rsid w:val="006B0D2D"/>
    <w:rsid w:val="006B1B4F"/>
    <w:rsid w:val="006B26B4"/>
    <w:rsid w:val="006B5ED0"/>
    <w:rsid w:val="006B6129"/>
    <w:rsid w:val="006C1561"/>
    <w:rsid w:val="006C1595"/>
    <w:rsid w:val="006C1BBA"/>
    <w:rsid w:val="006C5742"/>
    <w:rsid w:val="006C64A8"/>
    <w:rsid w:val="006D31A8"/>
    <w:rsid w:val="006D3423"/>
    <w:rsid w:val="006D425C"/>
    <w:rsid w:val="006E070E"/>
    <w:rsid w:val="006E1294"/>
    <w:rsid w:val="006E37D9"/>
    <w:rsid w:val="006F027A"/>
    <w:rsid w:val="006F71D1"/>
    <w:rsid w:val="007015A1"/>
    <w:rsid w:val="00701C3B"/>
    <w:rsid w:val="0070218C"/>
    <w:rsid w:val="0070261E"/>
    <w:rsid w:val="00707449"/>
    <w:rsid w:val="00707F9F"/>
    <w:rsid w:val="00715871"/>
    <w:rsid w:val="00715B90"/>
    <w:rsid w:val="00715F60"/>
    <w:rsid w:val="007171A6"/>
    <w:rsid w:val="007171BD"/>
    <w:rsid w:val="00720E69"/>
    <w:rsid w:val="0072181A"/>
    <w:rsid w:val="00725985"/>
    <w:rsid w:val="00725C52"/>
    <w:rsid w:val="00727523"/>
    <w:rsid w:val="00727A49"/>
    <w:rsid w:val="007303F1"/>
    <w:rsid w:val="00732598"/>
    <w:rsid w:val="007327FB"/>
    <w:rsid w:val="00737A7F"/>
    <w:rsid w:val="00737F37"/>
    <w:rsid w:val="007434BD"/>
    <w:rsid w:val="00744408"/>
    <w:rsid w:val="00744C24"/>
    <w:rsid w:val="0074537F"/>
    <w:rsid w:val="00746B36"/>
    <w:rsid w:val="00756FB1"/>
    <w:rsid w:val="00757294"/>
    <w:rsid w:val="007603D4"/>
    <w:rsid w:val="0076119E"/>
    <w:rsid w:val="0076544D"/>
    <w:rsid w:val="00767D3F"/>
    <w:rsid w:val="00771B23"/>
    <w:rsid w:val="00773670"/>
    <w:rsid w:val="00774F20"/>
    <w:rsid w:val="00777100"/>
    <w:rsid w:val="007775F7"/>
    <w:rsid w:val="00777E6B"/>
    <w:rsid w:val="00781F05"/>
    <w:rsid w:val="00782005"/>
    <w:rsid w:val="007852B8"/>
    <w:rsid w:val="00787C70"/>
    <w:rsid w:val="00787DEA"/>
    <w:rsid w:val="00794776"/>
    <w:rsid w:val="007A0001"/>
    <w:rsid w:val="007A18FA"/>
    <w:rsid w:val="007A2EB9"/>
    <w:rsid w:val="007A4E20"/>
    <w:rsid w:val="007A51C4"/>
    <w:rsid w:val="007B12EF"/>
    <w:rsid w:val="007B2754"/>
    <w:rsid w:val="007B4261"/>
    <w:rsid w:val="007B49BE"/>
    <w:rsid w:val="007B6039"/>
    <w:rsid w:val="007C01F7"/>
    <w:rsid w:val="007C07DD"/>
    <w:rsid w:val="007C1C20"/>
    <w:rsid w:val="007C5F02"/>
    <w:rsid w:val="007C62CE"/>
    <w:rsid w:val="007C70DB"/>
    <w:rsid w:val="007D04C1"/>
    <w:rsid w:val="007D409F"/>
    <w:rsid w:val="007E0B44"/>
    <w:rsid w:val="007E13E5"/>
    <w:rsid w:val="007E2376"/>
    <w:rsid w:val="007E2AF4"/>
    <w:rsid w:val="007E61CC"/>
    <w:rsid w:val="007E73C3"/>
    <w:rsid w:val="007F03B5"/>
    <w:rsid w:val="007F13B4"/>
    <w:rsid w:val="007F2745"/>
    <w:rsid w:val="007F401B"/>
    <w:rsid w:val="00800B45"/>
    <w:rsid w:val="00801422"/>
    <w:rsid w:val="00806634"/>
    <w:rsid w:val="00812797"/>
    <w:rsid w:val="00812FDE"/>
    <w:rsid w:val="0081784C"/>
    <w:rsid w:val="00817977"/>
    <w:rsid w:val="008201FB"/>
    <w:rsid w:val="00820A58"/>
    <w:rsid w:val="00822AC3"/>
    <w:rsid w:val="00822BBA"/>
    <w:rsid w:val="0082316E"/>
    <w:rsid w:val="00824AF0"/>
    <w:rsid w:val="0083040E"/>
    <w:rsid w:val="00833347"/>
    <w:rsid w:val="00834014"/>
    <w:rsid w:val="00834D97"/>
    <w:rsid w:val="008401CC"/>
    <w:rsid w:val="008412CD"/>
    <w:rsid w:val="00841EBC"/>
    <w:rsid w:val="008421EB"/>
    <w:rsid w:val="00845DED"/>
    <w:rsid w:val="008463A3"/>
    <w:rsid w:val="00846D01"/>
    <w:rsid w:val="0084759B"/>
    <w:rsid w:val="0085067F"/>
    <w:rsid w:val="00851885"/>
    <w:rsid w:val="00853FE1"/>
    <w:rsid w:val="00854C21"/>
    <w:rsid w:val="0085671E"/>
    <w:rsid w:val="00860500"/>
    <w:rsid w:val="00861FC0"/>
    <w:rsid w:val="00865663"/>
    <w:rsid w:val="00865F49"/>
    <w:rsid w:val="0086703A"/>
    <w:rsid w:val="00871A0A"/>
    <w:rsid w:val="00871E18"/>
    <w:rsid w:val="00874F95"/>
    <w:rsid w:val="00875187"/>
    <w:rsid w:val="008822A8"/>
    <w:rsid w:val="00882E21"/>
    <w:rsid w:val="00883688"/>
    <w:rsid w:val="00884A5D"/>
    <w:rsid w:val="00884D04"/>
    <w:rsid w:val="00885D59"/>
    <w:rsid w:val="00886325"/>
    <w:rsid w:val="00886A42"/>
    <w:rsid w:val="00890242"/>
    <w:rsid w:val="008918BF"/>
    <w:rsid w:val="00893362"/>
    <w:rsid w:val="00894377"/>
    <w:rsid w:val="008A3389"/>
    <w:rsid w:val="008A4C1B"/>
    <w:rsid w:val="008A5504"/>
    <w:rsid w:val="008A56BB"/>
    <w:rsid w:val="008A645E"/>
    <w:rsid w:val="008B23B6"/>
    <w:rsid w:val="008C0699"/>
    <w:rsid w:val="008C09DD"/>
    <w:rsid w:val="008C2EC4"/>
    <w:rsid w:val="008C3C68"/>
    <w:rsid w:val="008C4564"/>
    <w:rsid w:val="008D02BC"/>
    <w:rsid w:val="008D0A36"/>
    <w:rsid w:val="008D3832"/>
    <w:rsid w:val="008D3E6F"/>
    <w:rsid w:val="008E2C27"/>
    <w:rsid w:val="008E64B6"/>
    <w:rsid w:val="008E653E"/>
    <w:rsid w:val="008E69CD"/>
    <w:rsid w:val="008F063B"/>
    <w:rsid w:val="008F1786"/>
    <w:rsid w:val="008F2427"/>
    <w:rsid w:val="008F3D17"/>
    <w:rsid w:val="008F6954"/>
    <w:rsid w:val="009021AA"/>
    <w:rsid w:val="00902D2B"/>
    <w:rsid w:val="00904083"/>
    <w:rsid w:val="00904266"/>
    <w:rsid w:val="00904869"/>
    <w:rsid w:val="00905133"/>
    <w:rsid w:val="00905562"/>
    <w:rsid w:val="0090635E"/>
    <w:rsid w:val="00906D2C"/>
    <w:rsid w:val="00907956"/>
    <w:rsid w:val="00911957"/>
    <w:rsid w:val="00914CA5"/>
    <w:rsid w:val="00916996"/>
    <w:rsid w:val="00921C0C"/>
    <w:rsid w:val="00924D7A"/>
    <w:rsid w:val="009250E3"/>
    <w:rsid w:val="00927324"/>
    <w:rsid w:val="00927EC6"/>
    <w:rsid w:val="0093001A"/>
    <w:rsid w:val="009301B2"/>
    <w:rsid w:val="009305A8"/>
    <w:rsid w:val="009320F7"/>
    <w:rsid w:val="0093303B"/>
    <w:rsid w:val="00936742"/>
    <w:rsid w:val="0094462F"/>
    <w:rsid w:val="009454EB"/>
    <w:rsid w:val="00952594"/>
    <w:rsid w:val="00953B12"/>
    <w:rsid w:val="0095504B"/>
    <w:rsid w:val="00955D25"/>
    <w:rsid w:val="00960423"/>
    <w:rsid w:val="00961A94"/>
    <w:rsid w:val="009639F0"/>
    <w:rsid w:val="009647A3"/>
    <w:rsid w:val="009658FC"/>
    <w:rsid w:val="00966CBC"/>
    <w:rsid w:val="009673F1"/>
    <w:rsid w:val="00967609"/>
    <w:rsid w:val="0097066D"/>
    <w:rsid w:val="00970A3F"/>
    <w:rsid w:val="00972A3F"/>
    <w:rsid w:val="00972E65"/>
    <w:rsid w:val="00973F17"/>
    <w:rsid w:val="00975326"/>
    <w:rsid w:val="00975E51"/>
    <w:rsid w:val="009777B0"/>
    <w:rsid w:val="00981BFF"/>
    <w:rsid w:val="00984CC6"/>
    <w:rsid w:val="0098654B"/>
    <w:rsid w:val="00991417"/>
    <w:rsid w:val="009922B5"/>
    <w:rsid w:val="00996683"/>
    <w:rsid w:val="009979F7"/>
    <w:rsid w:val="009A049F"/>
    <w:rsid w:val="009A3D67"/>
    <w:rsid w:val="009A42C1"/>
    <w:rsid w:val="009A594C"/>
    <w:rsid w:val="009A5BDA"/>
    <w:rsid w:val="009A65A7"/>
    <w:rsid w:val="009A71E4"/>
    <w:rsid w:val="009A72F3"/>
    <w:rsid w:val="009B04D2"/>
    <w:rsid w:val="009B1B32"/>
    <w:rsid w:val="009B1E9D"/>
    <w:rsid w:val="009B636E"/>
    <w:rsid w:val="009B732E"/>
    <w:rsid w:val="009C14ED"/>
    <w:rsid w:val="009C3DB0"/>
    <w:rsid w:val="009D403C"/>
    <w:rsid w:val="009D6383"/>
    <w:rsid w:val="009D766A"/>
    <w:rsid w:val="009E1463"/>
    <w:rsid w:val="009E3921"/>
    <w:rsid w:val="009E43A3"/>
    <w:rsid w:val="009E48D6"/>
    <w:rsid w:val="009E57AF"/>
    <w:rsid w:val="009F2397"/>
    <w:rsid w:val="009F6C0F"/>
    <w:rsid w:val="00A00B95"/>
    <w:rsid w:val="00A02E06"/>
    <w:rsid w:val="00A0300D"/>
    <w:rsid w:val="00A13285"/>
    <w:rsid w:val="00A15FF6"/>
    <w:rsid w:val="00A1604F"/>
    <w:rsid w:val="00A17771"/>
    <w:rsid w:val="00A20130"/>
    <w:rsid w:val="00A2162F"/>
    <w:rsid w:val="00A2330B"/>
    <w:rsid w:val="00A2428A"/>
    <w:rsid w:val="00A25959"/>
    <w:rsid w:val="00A30C8F"/>
    <w:rsid w:val="00A335FC"/>
    <w:rsid w:val="00A34566"/>
    <w:rsid w:val="00A347B4"/>
    <w:rsid w:val="00A35DFC"/>
    <w:rsid w:val="00A363C0"/>
    <w:rsid w:val="00A36B13"/>
    <w:rsid w:val="00A378D1"/>
    <w:rsid w:val="00A41D3F"/>
    <w:rsid w:val="00A42B02"/>
    <w:rsid w:val="00A440D8"/>
    <w:rsid w:val="00A451D4"/>
    <w:rsid w:val="00A51B02"/>
    <w:rsid w:val="00A531BF"/>
    <w:rsid w:val="00A5340A"/>
    <w:rsid w:val="00A53671"/>
    <w:rsid w:val="00A554D5"/>
    <w:rsid w:val="00A557FB"/>
    <w:rsid w:val="00A55C23"/>
    <w:rsid w:val="00A55D94"/>
    <w:rsid w:val="00A570D7"/>
    <w:rsid w:val="00A61E8E"/>
    <w:rsid w:val="00A63D0D"/>
    <w:rsid w:val="00A65FDE"/>
    <w:rsid w:val="00A66E99"/>
    <w:rsid w:val="00A70AA9"/>
    <w:rsid w:val="00A71915"/>
    <w:rsid w:val="00A725E4"/>
    <w:rsid w:val="00A72743"/>
    <w:rsid w:val="00A73A94"/>
    <w:rsid w:val="00A73BA2"/>
    <w:rsid w:val="00A77085"/>
    <w:rsid w:val="00A80C4F"/>
    <w:rsid w:val="00A8204D"/>
    <w:rsid w:val="00A83DA3"/>
    <w:rsid w:val="00A844E8"/>
    <w:rsid w:val="00A85AEA"/>
    <w:rsid w:val="00A87105"/>
    <w:rsid w:val="00A87D9A"/>
    <w:rsid w:val="00A902CD"/>
    <w:rsid w:val="00A9173E"/>
    <w:rsid w:val="00A95D0B"/>
    <w:rsid w:val="00A96578"/>
    <w:rsid w:val="00A96843"/>
    <w:rsid w:val="00AA1308"/>
    <w:rsid w:val="00AA337B"/>
    <w:rsid w:val="00AA408D"/>
    <w:rsid w:val="00AA6981"/>
    <w:rsid w:val="00AB0C70"/>
    <w:rsid w:val="00AB1366"/>
    <w:rsid w:val="00AB3C8B"/>
    <w:rsid w:val="00AB4828"/>
    <w:rsid w:val="00AB76DF"/>
    <w:rsid w:val="00AB7BDD"/>
    <w:rsid w:val="00AC3B5E"/>
    <w:rsid w:val="00AC77A7"/>
    <w:rsid w:val="00AD100C"/>
    <w:rsid w:val="00AD1016"/>
    <w:rsid w:val="00AD1FCA"/>
    <w:rsid w:val="00AD4D52"/>
    <w:rsid w:val="00AE2139"/>
    <w:rsid w:val="00AE2F05"/>
    <w:rsid w:val="00AE5F0C"/>
    <w:rsid w:val="00AF30F4"/>
    <w:rsid w:val="00AF32CC"/>
    <w:rsid w:val="00AF3EDC"/>
    <w:rsid w:val="00AF410E"/>
    <w:rsid w:val="00AF49A5"/>
    <w:rsid w:val="00AF50CD"/>
    <w:rsid w:val="00AF598B"/>
    <w:rsid w:val="00AF5D0D"/>
    <w:rsid w:val="00AF6970"/>
    <w:rsid w:val="00B005A8"/>
    <w:rsid w:val="00B01CDC"/>
    <w:rsid w:val="00B02166"/>
    <w:rsid w:val="00B057EE"/>
    <w:rsid w:val="00B060D5"/>
    <w:rsid w:val="00B06C6E"/>
    <w:rsid w:val="00B072F9"/>
    <w:rsid w:val="00B11475"/>
    <w:rsid w:val="00B126F2"/>
    <w:rsid w:val="00B13211"/>
    <w:rsid w:val="00B13ADE"/>
    <w:rsid w:val="00B1448F"/>
    <w:rsid w:val="00B14C96"/>
    <w:rsid w:val="00B178B7"/>
    <w:rsid w:val="00B22ACD"/>
    <w:rsid w:val="00B340EE"/>
    <w:rsid w:val="00B4104E"/>
    <w:rsid w:val="00B4414D"/>
    <w:rsid w:val="00B4753B"/>
    <w:rsid w:val="00B47947"/>
    <w:rsid w:val="00B47F57"/>
    <w:rsid w:val="00B52EF1"/>
    <w:rsid w:val="00B568B2"/>
    <w:rsid w:val="00B571DC"/>
    <w:rsid w:val="00B60FD3"/>
    <w:rsid w:val="00B6437C"/>
    <w:rsid w:val="00B65B1D"/>
    <w:rsid w:val="00B66F45"/>
    <w:rsid w:val="00B677D5"/>
    <w:rsid w:val="00B71291"/>
    <w:rsid w:val="00B72907"/>
    <w:rsid w:val="00B72CF6"/>
    <w:rsid w:val="00B72E7F"/>
    <w:rsid w:val="00B75F20"/>
    <w:rsid w:val="00B777AC"/>
    <w:rsid w:val="00B82CBF"/>
    <w:rsid w:val="00B83431"/>
    <w:rsid w:val="00B84C2A"/>
    <w:rsid w:val="00B859B3"/>
    <w:rsid w:val="00B85FB3"/>
    <w:rsid w:val="00B86432"/>
    <w:rsid w:val="00B87903"/>
    <w:rsid w:val="00B87A78"/>
    <w:rsid w:val="00B90EF4"/>
    <w:rsid w:val="00B97459"/>
    <w:rsid w:val="00B97BAD"/>
    <w:rsid w:val="00BA0158"/>
    <w:rsid w:val="00BA10F2"/>
    <w:rsid w:val="00BA3636"/>
    <w:rsid w:val="00BA42B5"/>
    <w:rsid w:val="00BA6E7A"/>
    <w:rsid w:val="00BB005C"/>
    <w:rsid w:val="00BB08AE"/>
    <w:rsid w:val="00BB1F0C"/>
    <w:rsid w:val="00BB37C4"/>
    <w:rsid w:val="00BB444D"/>
    <w:rsid w:val="00BB48A9"/>
    <w:rsid w:val="00BB5A5C"/>
    <w:rsid w:val="00BC06F0"/>
    <w:rsid w:val="00BC1EBE"/>
    <w:rsid w:val="00BC378E"/>
    <w:rsid w:val="00BC3E08"/>
    <w:rsid w:val="00BC702B"/>
    <w:rsid w:val="00BD0B14"/>
    <w:rsid w:val="00BD1947"/>
    <w:rsid w:val="00BD24E7"/>
    <w:rsid w:val="00BD2BB8"/>
    <w:rsid w:val="00BD38AB"/>
    <w:rsid w:val="00BD3A21"/>
    <w:rsid w:val="00BE5578"/>
    <w:rsid w:val="00BF0486"/>
    <w:rsid w:val="00BF12FD"/>
    <w:rsid w:val="00BF1E84"/>
    <w:rsid w:val="00BF3205"/>
    <w:rsid w:val="00BF449A"/>
    <w:rsid w:val="00BF47B1"/>
    <w:rsid w:val="00BF7565"/>
    <w:rsid w:val="00C00A37"/>
    <w:rsid w:val="00C0104B"/>
    <w:rsid w:val="00C0250D"/>
    <w:rsid w:val="00C028BA"/>
    <w:rsid w:val="00C04D8F"/>
    <w:rsid w:val="00C069BA"/>
    <w:rsid w:val="00C06DE6"/>
    <w:rsid w:val="00C07CF1"/>
    <w:rsid w:val="00C12328"/>
    <w:rsid w:val="00C1419B"/>
    <w:rsid w:val="00C144AE"/>
    <w:rsid w:val="00C159C9"/>
    <w:rsid w:val="00C16304"/>
    <w:rsid w:val="00C20226"/>
    <w:rsid w:val="00C21486"/>
    <w:rsid w:val="00C26D74"/>
    <w:rsid w:val="00C30E26"/>
    <w:rsid w:val="00C3255C"/>
    <w:rsid w:val="00C35D62"/>
    <w:rsid w:val="00C35F11"/>
    <w:rsid w:val="00C4004B"/>
    <w:rsid w:val="00C40EFF"/>
    <w:rsid w:val="00C42578"/>
    <w:rsid w:val="00C4535C"/>
    <w:rsid w:val="00C50AD4"/>
    <w:rsid w:val="00C557D1"/>
    <w:rsid w:val="00C55DAB"/>
    <w:rsid w:val="00C57294"/>
    <w:rsid w:val="00C573FF"/>
    <w:rsid w:val="00C60A2B"/>
    <w:rsid w:val="00C61EF2"/>
    <w:rsid w:val="00C62889"/>
    <w:rsid w:val="00C62B38"/>
    <w:rsid w:val="00C64FA4"/>
    <w:rsid w:val="00C66289"/>
    <w:rsid w:val="00C66F75"/>
    <w:rsid w:val="00C6781C"/>
    <w:rsid w:val="00C71EEE"/>
    <w:rsid w:val="00C74C25"/>
    <w:rsid w:val="00C751FC"/>
    <w:rsid w:val="00C7525B"/>
    <w:rsid w:val="00C77AE0"/>
    <w:rsid w:val="00C80411"/>
    <w:rsid w:val="00C81191"/>
    <w:rsid w:val="00C84255"/>
    <w:rsid w:val="00C84E13"/>
    <w:rsid w:val="00C864B8"/>
    <w:rsid w:val="00C86602"/>
    <w:rsid w:val="00C86D24"/>
    <w:rsid w:val="00C91EAE"/>
    <w:rsid w:val="00C92087"/>
    <w:rsid w:val="00C929E8"/>
    <w:rsid w:val="00C95750"/>
    <w:rsid w:val="00CA3691"/>
    <w:rsid w:val="00CA51C1"/>
    <w:rsid w:val="00CA5C5C"/>
    <w:rsid w:val="00CA5C82"/>
    <w:rsid w:val="00CA6DA5"/>
    <w:rsid w:val="00CB092E"/>
    <w:rsid w:val="00CB195B"/>
    <w:rsid w:val="00CB1FE0"/>
    <w:rsid w:val="00CB35FD"/>
    <w:rsid w:val="00CB4624"/>
    <w:rsid w:val="00CB5635"/>
    <w:rsid w:val="00CB690F"/>
    <w:rsid w:val="00CB7717"/>
    <w:rsid w:val="00CB7FD4"/>
    <w:rsid w:val="00CC1360"/>
    <w:rsid w:val="00CD0208"/>
    <w:rsid w:val="00CD0BA6"/>
    <w:rsid w:val="00CD1521"/>
    <w:rsid w:val="00CD1C9D"/>
    <w:rsid w:val="00CD34F6"/>
    <w:rsid w:val="00CD4580"/>
    <w:rsid w:val="00CE0B7E"/>
    <w:rsid w:val="00CE2836"/>
    <w:rsid w:val="00CE36BB"/>
    <w:rsid w:val="00CE4D32"/>
    <w:rsid w:val="00CE747F"/>
    <w:rsid w:val="00CE7963"/>
    <w:rsid w:val="00CF0809"/>
    <w:rsid w:val="00CF0CD5"/>
    <w:rsid w:val="00CF277D"/>
    <w:rsid w:val="00CF286A"/>
    <w:rsid w:val="00CF3A6B"/>
    <w:rsid w:val="00CF4136"/>
    <w:rsid w:val="00CF6AD2"/>
    <w:rsid w:val="00CF742C"/>
    <w:rsid w:val="00CF7923"/>
    <w:rsid w:val="00CF7F74"/>
    <w:rsid w:val="00D009A6"/>
    <w:rsid w:val="00D00FFE"/>
    <w:rsid w:val="00D0287D"/>
    <w:rsid w:val="00D03D82"/>
    <w:rsid w:val="00D042E4"/>
    <w:rsid w:val="00D046A6"/>
    <w:rsid w:val="00D05487"/>
    <w:rsid w:val="00D07FA9"/>
    <w:rsid w:val="00D103B4"/>
    <w:rsid w:val="00D13265"/>
    <w:rsid w:val="00D21353"/>
    <w:rsid w:val="00D2191D"/>
    <w:rsid w:val="00D21D78"/>
    <w:rsid w:val="00D21D85"/>
    <w:rsid w:val="00D223E1"/>
    <w:rsid w:val="00D24344"/>
    <w:rsid w:val="00D24C39"/>
    <w:rsid w:val="00D26ABA"/>
    <w:rsid w:val="00D31AA9"/>
    <w:rsid w:val="00D334EE"/>
    <w:rsid w:val="00D33B4D"/>
    <w:rsid w:val="00D357AE"/>
    <w:rsid w:val="00D3668B"/>
    <w:rsid w:val="00D41FDA"/>
    <w:rsid w:val="00D4319D"/>
    <w:rsid w:val="00D45E71"/>
    <w:rsid w:val="00D53694"/>
    <w:rsid w:val="00D549D8"/>
    <w:rsid w:val="00D55E01"/>
    <w:rsid w:val="00D5689B"/>
    <w:rsid w:val="00D56D9E"/>
    <w:rsid w:val="00D57F64"/>
    <w:rsid w:val="00D61C33"/>
    <w:rsid w:val="00D649E7"/>
    <w:rsid w:val="00D6630F"/>
    <w:rsid w:val="00D70F2C"/>
    <w:rsid w:val="00D71A46"/>
    <w:rsid w:val="00D735DE"/>
    <w:rsid w:val="00D73894"/>
    <w:rsid w:val="00D74C93"/>
    <w:rsid w:val="00D7726D"/>
    <w:rsid w:val="00D84EFB"/>
    <w:rsid w:val="00D853F8"/>
    <w:rsid w:val="00D85F26"/>
    <w:rsid w:val="00D90348"/>
    <w:rsid w:val="00D91EDE"/>
    <w:rsid w:val="00D95A1B"/>
    <w:rsid w:val="00D96E9B"/>
    <w:rsid w:val="00D96EC9"/>
    <w:rsid w:val="00DA046F"/>
    <w:rsid w:val="00DA368D"/>
    <w:rsid w:val="00DA7CE3"/>
    <w:rsid w:val="00DB0F7A"/>
    <w:rsid w:val="00DB1EEE"/>
    <w:rsid w:val="00DB30C8"/>
    <w:rsid w:val="00DB41FE"/>
    <w:rsid w:val="00DB4BD8"/>
    <w:rsid w:val="00DB5E10"/>
    <w:rsid w:val="00DB6B2F"/>
    <w:rsid w:val="00DB6D0E"/>
    <w:rsid w:val="00DB79B8"/>
    <w:rsid w:val="00DC4B35"/>
    <w:rsid w:val="00DC5E83"/>
    <w:rsid w:val="00DC711C"/>
    <w:rsid w:val="00DD1278"/>
    <w:rsid w:val="00DD4AC4"/>
    <w:rsid w:val="00DD640E"/>
    <w:rsid w:val="00DE1489"/>
    <w:rsid w:val="00DE1A4A"/>
    <w:rsid w:val="00DE341D"/>
    <w:rsid w:val="00DE37DA"/>
    <w:rsid w:val="00DE563A"/>
    <w:rsid w:val="00DE5EF3"/>
    <w:rsid w:val="00DE63F7"/>
    <w:rsid w:val="00DE7E5E"/>
    <w:rsid w:val="00DF544A"/>
    <w:rsid w:val="00DF698A"/>
    <w:rsid w:val="00E0067A"/>
    <w:rsid w:val="00E00EAA"/>
    <w:rsid w:val="00E04954"/>
    <w:rsid w:val="00E05FA3"/>
    <w:rsid w:val="00E074C0"/>
    <w:rsid w:val="00E11858"/>
    <w:rsid w:val="00E13EC1"/>
    <w:rsid w:val="00E141C0"/>
    <w:rsid w:val="00E1510B"/>
    <w:rsid w:val="00E15113"/>
    <w:rsid w:val="00E23728"/>
    <w:rsid w:val="00E256B8"/>
    <w:rsid w:val="00E25C5A"/>
    <w:rsid w:val="00E25D13"/>
    <w:rsid w:val="00E314C6"/>
    <w:rsid w:val="00E3324C"/>
    <w:rsid w:val="00E337B6"/>
    <w:rsid w:val="00E34AF2"/>
    <w:rsid w:val="00E3705F"/>
    <w:rsid w:val="00E41524"/>
    <w:rsid w:val="00E45475"/>
    <w:rsid w:val="00E45AE9"/>
    <w:rsid w:val="00E46B9F"/>
    <w:rsid w:val="00E4734B"/>
    <w:rsid w:val="00E57D26"/>
    <w:rsid w:val="00E600AF"/>
    <w:rsid w:val="00E63645"/>
    <w:rsid w:val="00E6393A"/>
    <w:rsid w:val="00E63E9E"/>
    <w:rsid w:val="00E650A2"/>
    <w:rsid w:val="00E65D1E"/>
    <w:rsid w:val="00E6795B"/>
    <w:rsid w:val="00E67FF1"/>
    <w:rsid w:val="00E71369"/>
    <w:rsid w:val="00E71949"/>
    <w:rsid w:val="00E728E6"/>
    <w:rsid w:val="00E76FA0"/>
    <w:rsid w:val="00E80781"/>
    <w:rsid w:val="00E8136F"/>
    <w:rsid w:val="00E820F7"/>
    <w:rsid w:val="00E82169"/>
    <w:rsid w:val="00E84118"/>
    <w:rsid w:val="00E8439D"/>
    <w:rsid w:val="00E848D1"/>
    <w:rsid w:val="00E85827"/>
    <w:rsid w:val="00E918DF"/>
    <w:rsid w:val="00E93FA8"/>
    <w:rsid w:val="00E94284"/>
    <w:rsid w:val="00E97FEB"/>
    <w:rsid w:val="00EA1ED3"/>
    <w:rsid w:val="00EA5C4F"/>
    <w:rsid w:val="00EA7AEF"/>
    <w:rsid w:val="00EB10DC"/>
    <w:rsid w:val="00EB330D"/>
    <w:rsid w:val="00EB333F"/>
    <w:rsid w:val="00EB612E"/>
    <w:rsid w:val="00EB68E4"/>
    <w:rsid w:val="00EC0039"/>
    <w:rsid w:val="00EC17A4"/>
    <w:rsid w:val="00EC20C6"/>
    <w:rsid w:val="00EC2370"/>
    <w:rsid w:val="00EC28A1"/>
    <w:rsid w:val="00EC5037"/>
    <w:rsid w:val="00EC7427"/>
    <w:rsid w:val="00EC7EB7"/>
    <w:rsid w:val="00ED2E2E"/>
    <w:rsid w:val="00ED59BA"/>
    <w:rsid w:val="00EE1BD7"/>
    <w:rsid w:val="00EE45F5"/>
    <w:rsid w:val="00EE4825"/>
    <w:rsid w:val="00EE7CFD"/>
    <w:rsid w:val="00EF1BD4"/>
    <w:rsid w:val="00EF1EE3"/>
    <w:rsid w:val="00EF6484"/>
    <w:rsid w:val="00EF6B48"/>
    <w:rsid w:val="00EF6D10"/>
    <w:rsid w:val="00EF7604"/>
    <w:rsid w:val="00F003B7"/>
    <w:rsid w:val="00F0175B"/>
    <w:rsid w:val="00F032D4"/>
    <w:rsid w:val="00F06797"/>
    <w:rsid w:val="00F07A77"/>
    <w:rsid w:val="00F10121"/>
    <w:rsid w:val="00F11DD3"/>
    <w:rsid w:val="00F13274"/>
    <w:rsid w:val="00F135CE"/>
    <w:rsid w:val="00F14C92"/>
    <w:rsid w:val="00F17E88"/>
    <w:rsid w:val="00F23080"/>
    <w:rsid w:val="00F239C2"/>
    <w:rsid w:val="00F2456D"/>
    <w:rsid w:val="00F245CA"/>
    <w:rsid w:val="00F25AAF"/>
    <w:rsid w:val="00F26734"/>
    <w:rsid w:val="00F30547"/>
    <w:rsid w:val="00F30C49"/>
    <w:rsid w:val="00F31647"/>
    <w:rsid w:val="00F34BD7"/>
    <w:rsid w:val="00F35ED4"/>
    <w:rsid w:val="00F36534"/>
    <w:rsid w:val="00F402D3"/>
    <w:rsid w:val="00F44649"/>
    <w:rsid w:val="00F468CB"/>
    <w:rsid w:val="00F47667"/>
    <w:rsid w:val="00F54F6B"/>
    <w:rsid w:val="00F56DEC"/>
    <w:rsid w:val="00F61502"/>
    <w:rsid w:val="00F61AEB"/>
    <w:rsid w:val="00F621EE"/>
    <w:rsid w:val="00F6405A"/>
    <w:rsid w:val="00F6526C"/>
    <w:rsid w:val="00F66FBA"/>
    <w:rsid w:val="00F66FCA"/>
    <w:rsid w:val="00F673DE"/>
    <w:rsid w:val="00F717A6"/>
    <w:rsid w:val="00F75479"/>
    <w:rsid w:val="00F8413B"/>
    <w:rsid w:val="00F855D6"/>
    <w:rsid w:val="00F86FCC"/>
    <w:rsid w:val="00F90D3D"/>
    <w:rsid w:val="00F91D05"/>
    <w:rsid w:val="00F92FEA"/>
    <w:rsid w:val="00F94575"/>
    <w:rsid w:val="00F94E33"/>
    <w:rsid w:val="00F961AC"/>
    <w:rsid w:val="00F97272"/>
    <w:rsid w:val="00F973FF"/>
    <w:rsid w:val="00F97A5D"/>
    <w:rsid w:val="00FA1858"/>
    <w:rsid w:val="00FA377E"/>
    <w:rsid w:val="00FA613F"/>
    <w:rsid w:val="00FA6707"/>
    <w:rsid w:val="00FB1F49"/>
    <w:rsid w:val="00FB2370"/>
    <w:rsid w:val="00FB3385"/>
    <w:rsid w:val="00FB4AA8"/>
    <w:rsid w:val="00FB661D"/>
    <w:rsid w:val="00FC0B6C"/>
    <w:rsid w:val="00FC15BE"/>
    <w:rsid w:val="00FC268D"/>
    <w:rsid w:val="00FC2AB2"/>
    <w:rsid w:val="00FC350F"/>
    <w:rsid w:val="00FC3909"/>
    <w:rsid w:val="00FC47C9"/>
    <w:rsid w:val="00FC79B6"/>
    <w:rsid w:val="00FC7D1E"/>
    <w:rsid w:val="00FC7F46"/>
    <w:rsid w:val="00FD197B"/>
    <w:rsid w:val="00FD32D9"/>
    <w:rsid w:val="00FD5C39"/>
    <w:rsid w:val="00FE0261"/>
    <w:rsid w:val="00FE053A"/>
    <w:rsid w:val="00FE05BB"/>
    <w:rsid w:val="00FE205B"/>
    <w:rsid w:val="00FE25EA"/>
    <w:rsid w:val="00FE3385"/>
    <w:rsid w:val="00FE3407"/>
    <w:rsid w:val="00FE46C2"/>
    <w:rsid w:val="00FE653D"/>
    <w:rsid w:val="00FE7554"/>
    <w:rsid w:val="00FF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D66DA02-77D1-4C1C-AB16-A264F6EA1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64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301B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9301B2"/>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9301B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83040E"/>
    <w:pPr>
      <w:tabs>
        <w:tab w:val="right" w:leader="dot" w:pos="8416"/>
      </w:tabs>
      <w:ind w:leftChars="0" w:left="486" w:right="352" w:hangingChars="200" w:hanging="486"/>
    </w:pPr>
    <w:rPr>
      <w:rFonts w:hAnsi="標楷體"/>
      <w:noProof/>
      <w:sz w:val="24"/>
      <w:szCs w:val="24"/>
    </w:rPr>
  </w:style>
  <w:style w:type="paragraph" w:styleId="24">
    <w:name w:val="toc 2"/>
    <w:basedOn w:val="a"/>
    <w:next w:val="a"/>
    <w:autoRedefine/>
    <w:uiPriority w:val="39"/>
    <w:semiHidden/>
    <w:qFormat/>
    <w:pPr>
      <w:tabs>
        <w:tab w:val="right" w:leader="hyphen" w:pos="8490"/>
      </w:tabs>
      <w:ind w:leftChars="0" w:left="566" w:hangingChars="200" w:hanging="566"/>
    </w:p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9301B2"/>
    <w:rPr>
      <w:rFonts w:ascii="Cambria" w:hAnsi="Cambria"/>
      <w:b/>
      <w:bCs/>
      <w:snapToGrid w:val="0"/>
      <w:kern w:val="52"/>
      <w:sz w:val="52"/>
      <w:szCs w:val="52"/>
    </w:rPr>
  </w:style>
  <w:style w:type="character" w:customStyle="1" w:styleId="20">
    <w:name w:val="標題 2 字元"/>
    <w:link w:val="2"/>
    <w:uiPriority w:val="9"/>
    <w:semiHidden/>
    <w:rsid w:val="009301B2"/>
    <w:rPr>
      <w:rFonts w:ascii="Cambria" w:hAnsi="Cambria"/>
      <w:b/>
      <w:bCs/>
      <w:snapToGrid w:val="0"/>
      <w:kern w:val="2"/>
      <w:sz w:val="48"/>
      <w:szCs w:val="48"/>
    </w:rPr>
  </w:style>
  <w:style w:type="character" w:customStyle="1" w:styleId="30">
    <w:name w:val="標題 3 字元"/>
    <w:link w:val="3"/>
    <w:uiPriority w:val="9"/>
    <w:semiHidden/>
    <w:rsid w:val="009301B2"/>
    <w:rPr>
      <w:rFonts w:ascii="Cambria" w:hAnsi="Cambria"/>
      <w:b/>
      <w:bCs/>
      <w:snapToGrid w:val="0"/>
      <w:kern w:val="2"/>
      <w:sz w:val="36"/>
      <w:szCs w:val="36"/>
    </w:rPr>
  </w:style>
  <w:style w:type="character" w:customStyle="1" w:styleId="a9">
    <w:name w:val="前言內文 字元"/>
    <w:link w:val="a8"/>
    <w:rsid w:val="009301B2"/>
    <w:rPr>
      <w:rFonts w:ascii="標楷體" w:eastAsia="標楷體"/>
      <w:snapToGrid w:val="0"/>
      <w:kern w:val="2"/>
      <w:sz w:val="28"/>
      <w:szCs w:val="28"/>
    </w:rPr>
  </w:style>
  <w:style w:type="character" w:customStyle="1" w:styleId="141">
    <w:name w:val="第二層(14號字) 字元1"/>
    <w:link w:val="14"/>
    <w:rsid w:val="009301B2"/>
    <w:rPr>
      <w:rFonts w:ascii="標楷體" w:eastAsia="標楷體"/>
      <w:b/>
      <w:snapToGrid w:val="0"/>
      <w:kern w:val="2"/>
      <w:sz w:val="28"/>
    </w:rPr>
  </w:style>
  <w:style w:type="character" w:customStyle="1" w:styleId="21">
    <w:name w:val="(一)(二)(三) 字元2"/>
    <w:link w:val="a4"/>
    <w:rsid w:val="009301B2"/>
    <w:rPr>
      <w:rFonts w:ascii="標楷體" w:eastAsia="標楷體"/>
      <w:snapToGrid w:val="0"/>
      <w:kern w:val="2"/>
      <w:sz w:val="28"/>
      <w:szCs w:val="28"/>
    </w:rPr>
  </w:style>
  <w:style w:type="character" w:customStyle="1" w:styleId="23">
    <w:name w:val="(一)下內文縮2 字元"/>
    <w:link w:val="22"/>
    <w:rsid w:val="009301B2"/>
    <w:rPr>
      <w:rFonts w:ascii="標楷體" w:eastAsia="標楷體"/>
      <w:snapToGrid w:val="0"/>
      <w:kern w:val="2"/>
      <w:sz w:val="28"/>
      <w:szCs w:val="28"/>
    </w:rPr>
  </w:style>
  <w:style w:type="character" w:customStyle="1" w:styleId="143">
    <w:name w:val="表格內文(14行高) 字元"/>
    <w:link w:val="142"/>
    <w:rsid w:val="009301B2"/>
    <w:rPr>
      <w:rFonts w:ascii="標楷體" w:eastAsia="標楷體"/>
      <w:snapToGrid w:val="0"/>
      <w:kern w:val="2"/>
      <w:sz w:val="24"/>
      <w:szCs w:val="28"/>
    </w:rPr>
  </w:style>
  <w:style w:type="character" w:customStyle="1" w:styleId="145">
    <w:name w:val="第二層(14號字) 字元"/>
    <w:rsid w:val="009301B2"/>
    <w:rPr>
      <w:rFonts w:ascii="標楷體" w:eastAsia="標楷體"/>
      <w:b/>
      <w:snapToGrid w:val="0"/>
      <w:kern w:val="2"/>
      <w:sz w:val="28"/>
    </w:rPr>
  </w:style>
  <w:style w:type="character" w:customStyle="1" w:styleId="af4">
    <w:name w:val="(一)(二)(三) 字元"/>
    <w:rsid w:val="009301B2"/>
    <w:rPr>
      <w:rFonts w:ascii="標楷體" w:eastAsia="標楷體"/>
      <w:snapToGrid w:val="0"/>
      <w:kern w:val="2"/>
      <w:sz w:val="28"/>
      <w:szCs w:val="28"/>
    </w:rPr>
  </w:style>
  <w:style w:type="paragraph" w:styleId="af5">
    <w:name w:val="footnote text"/>
    <w:basedOn w:val="a"/>
    <w:link w:val="af6"/>
    <w:rsid w:val="009301B2"/>
    <w:pPr>
      <w:snapToGrid w:val="0"/>
      <w:jc w:val="left"/>
    </w:pPr>
    <w:rPr>
      <w:sz w:val="20"/>
      <w:szCs w:val="20"/>
    </w:rPr>
  </w:style>
  <w:style w:type="character" w:customStyle="1" w:styleId="af6">
    <w:name w:val="註腳文字 字元"/>
    <w:link w:val="af5"/>
    <w:rsid w:val="009301B2"/>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9301B2"/>
    <w:rPr>
      <w:vertAlign w:val="superscript"/>
    </w:rPr>
  </w:style>
  <w:style w:type="paragraph" w:styleId="af8">
    <w:name w:val="Body Text"/>
    <w:basedOn w:val="a"/>
    <w:rsid w:val="00A844E8"/>
    <w:pPr>
      <w:spacing w:line="240" w:lineRule="auto"/>
      <w:ind w:leftChars="0" w:left="0" w:firstLineChars="0" w:firstLine="0"/>
    </w:pPr>
    <w:rPr>
      <w:rFonts w:ascii="Times New Roman"/>
      <w:snapToGrid/>
      <w:sz w:val="32"/>
      <w:szCs w:val="24"/>
    </w:rPr>
  </w:style>
  <w:style w:type="paragraph" w:styleId="HTML">
    <w:name w:val="HTML Preformatted"/>
    <w:basedOn w:val="a"/>
    <w:link w:val="HTML0"/>
    <w:uiPriority w:val="99"/>
    <w:unhideWhenUsed/>
    <w:rsid w:val="009301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301B2"/>
    <w:rPr>
      <w:rFonts w:ascii="細明體" w:eastAsia="細明體" w:hAnsi="細明體" w:cs="細明體"/>
      <w:sz w:val="24"/>
      <w:szCs w:val="24"/>
    </w:rPr>
  </w:style>
  <w:style w:type="table" w:styleId="af9">
    <w:name w:val="Table Grid"/>
    <w:basedOn w:val="a1"/>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unhideWhenUsed/>
    <w:rsid w:val="009301B2"/>
    <w:rPr>
      <w:strike w:val="0"/>
      <w:dstrike w:val="0"/>
      <w:color w:val="017CA5"/>
      <w:u w:val="none"/>
      <w:effect w:val="none"/>
    </w:rPr>
  </w:style>
  <w:style w:type="paragraph" w:styleId="afb">
    <w:name w:val="TOC Heading"/>
    <w:basedOn w:val="1"/>
    <w:next w:val="a"/>
    <w:uiPriority w:val="39"/>
    <w:qFormat/>
    <w:rsid w:val="009301B2"/>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2">
    <w:name w:val="toc 3"/>
    <w:basedOn w:val="a"/>
    <w:next w:val="a"/>
    <w:autoRedefine/>
    <w:uiPriority w:val="39"/>
    <w:semiHidden/>
    <w:unhideWhenUsed/>
    <w:qFormat/>
    <w:rsid w:val="009301B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c">
    <w:name w:val="Date"/>
    <w:basedOn w:val="a"/>
    <w:next w:val="a"/>
    <w:rsid w:val="00A844E8"/>
    <w:pPr>
      <w:spacing w:line="240" w:lineRule="auto"/>
      <w:ind w:leftChars="0" w:left="0" w:firstLineChars="0" w:firstLine="0"/>
      <w:jc w:val="right"/>
    </w:pPr>
    <w:rPr>
      <w:rFonts w:ascii="Times New Roman"/>
      <w:b/>
      <w:bCs/>
      <w:snapToGrid/>
      <w:sz w:val="36"/>
      <w:szCs w:val="24"/>
    </w:rPr>
  </w:style>
  <w:style w:type="paragraph" w:customStyle="1" w:styleId="afd">
    <w:name w:val="第二層"/>
    <w:basedOn w:val="a"/>
    <w:rsid w:val="00D24344"/>
    <w:pPr>
      <w:spacing w:line="240" w:lineRule="auto"/>
      <w:ind w:leftChars="0" w:left="0" w:firstLineChars="0" w:firstLine="0"/>
      <w:jc w:val="left"/>
    </w:pPr>
    <w:rPr>
      <w:rFonts w:ascii="Times New Roman" w:eastAsia="新細明體"/>
      <w:snapToGrid/>
      <w:szCs w:val="24"/>
    </w:rPr>
  </w:style>
  <w:style w:type="character" w:customStyle="1" w:styleId="a7">
    <w:name w:val="結論 字元"/>
    <w:link w:val="a6"/>
    <w:rsid w:val="00D334E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8414">
      <w:bodyDiv w:val="1"/>
      <w:marLeft w:val="0"/>
      <w:marRight w:val="0"/>
      <w:marTop w:val="0"/>
      <w:marBottom w:val="0"/>
      <w:divBdr>
        <w:top w:val="none" w:sz="0" w:space="0" w:color="auto"/>
        <w:left w:val="none" w:sz="0" w:space="0" w:color="auto"/>
        <w:bottom w:val="none" w:sz="0" w:space="0" w:color="auto"/>
        <w:right w:val="none" w:sz="0" w:space="0" w:color="auto"/>
      </w:divBdr>
    </w:div>
    <w:div w:id="28577094">
      <w:bodyDiv w:val="1"/>
      <w:marLeft w:val="0"/>
      <w:marRight w:val="0"/>
      <w:marTop w:val="0"/>
      <w:marBottom w:val="0"/>
      <w:divBdr>
        <w:top w:val="none" w:sz="0" w:space="0" w:color="auto"/>
        <w:left w:val="none" w:sz="0" w:space="0" w:color="auto"/>
        <w:bottom w:val="none" w:sz="0" w:space="0" w:color="auto"/>
        <w:right w:val="none" w:sz="0" w:space="0" w:color="auto"/>
      </w:divBdr>
    </w:div>
    <w:div w:id="62262919">
      <w:bodyDiv w:val="1"/>
      <w:marLeft w:val="0"/>
      <w:marRight w:val="0"/>
      <w:marTop w:val="0"/>
      <w:marBottom w:val="0"/>
      <w:divBdr>
        <w:top w:val="none" w:sz="0" w:space="0" w:color="auto"/>
        <w:left w:val="none" w:sz="0" w:space="0" w:color="auto"/>
        <w:bottom w:val="none" w:sz="0" w:space="0" w:color="auto"/>
        <w:right w:val="none" w:sz="0" w:space="0" w:color="auto"/>
      </w:divBdr>
    </w:div>
    <w:div w:id="79258469">
      <w:bodyDiv w:val="1"/>
      <w:marLeft w:val="0"/>
      <w:marRight w:val="0"/>
      <w:marTop w:val="0"/>
      <w:marBottom w:val="0"/>
      <w:divBdr>
        <w:top w:val="none" w:sz="0" w:space="0" w:color="auto"/>
        <w:left w:val="none" w:sz="0" w:space="0" w:color="auto"/>
        <w:bottom w:val="none" w:sz="0" w:space="0" w:color="auto"/>
        <w:right w:val="none" w:sz="0" w:space="0" w:color="auto"/>
      </w:divBdr>
    </w:div>
    <w:div w:id="87390902">
      <w:bodyDiv w:val="1"/>
      <w:marLeft w:val="0"/>
      <w:marRight w:val="0"/>
      <w:marTop w:val="0"/>
      <w:marBottom w:val="0"/>
      <w:divBdr>
        <w:top w:val="none" w:sz="0" w:space="0" w:color="auto"/>
        <w:left w:val="none" w:sz="0" w:space="0" w:color="auto"/>
        <w:bottom w:val="none" w:sz="0" w:space="0" w:color="auto"/>
        <w:right w:val="none" w:sz="0" w:space="0" w:color="auto"/>
      </w:divBdr>
    </w:div>
    <w:div w:id="95248041">
      <w:bodyDiv w:val="1"/>
      <w:marLeft w:val="0"/>
      <w:marRight w:val="0"/>
      <w:marTop w:val="0"/>
      <w:marBottom w:val="0"/>
      <w:divBdr>
        <w:top w:val="none" w:sz="0" w:space="0" w:color="auto"/>
        <w:left w:val="none" w:sz="0" w:space="0" w:color="auto"/>
        <w:bottom w:val="none" w:sz="0" w:space="0" w:color="auto"/>
        <w:right w:val="none" w:sz="0" w:space="0" w:color="auto"/>
      </w:divBdr>
    </w:div>
    <w:div w:id="122845867">
      <w:bodyDiv w:val="1"/>
      <w:marLeft w:val="0"/>
      <w:marRight w:val="0"/>
      <w:marTop w:val="0"/>
      <w:marBottom w:val="0"/>
      <w:divBdr>
        <w:top w:val="none" w:sz="0" w:space="0" w:color="auto"/>
        <w:left w:val="none" w:sz="0" w:space="0" w:color="auto"/>
        <w:bottom w:val="none" w:sz="0" w:space="0" w:color="auto"/>
        <w:right w:val="none" w:sz="0" w:space="0" w:color="auto"/>
      </w:divBdr>
    </w:div>
    <w:div w:id="123475962">
      <w:bodyDiv w:val="1"/>
      <w:marLeft w:val="0"/>
      <w:marRight w:val="0"/>
      <w:marTop w:val="0"/>
      <w:marBottom w:val="0"/>
      <w:divBdr>
        <w:top w:val="none" w:sz="0" w:space="0" w:color="auto"/>
        <w:left w:val="none" w:sz="0" w:space="0" w:color="auto"/>
        <w:bottom w:val="none" w:sz="0" w:space="0" w:color="auto"/>
        <w:right w:val="none" w:sz="0" w:space="0" w:color="auto"/>
      </w:divBdr>
    </w:div>
    <w:div w:id="134223270">
      <w:bodyDiv w:val="1"/>
      <w:marLeft w:val="0"/>
      <w:marRight w:val="0"/>
      <w:marTop w:val="0"/>
      <w:marBottom w:val="0"/>
      <w:divBdr>
        <w:top w:val="none" w:sz="0" w:space="0" w:color="auto"/>
        <w:left w:val="none" w:sz="0" w:space="0" w:color="auto"/>
        <w:bottom w:val="none" w:sz="0" w:space="0" w:color="auto"/>
        <w:right w:val="none" w:sz="0" w:space="0" w:color="auto"/>
      </w:divBdr>
    </w:div>
    <w:div w:id="139544345">
      <w:bodyDiv w:val="1"/>
      <w:marLeft w:val="0"/>
      <w:marRight w:val="0"/>
      <w:marTop w:val="0"/>
      <w:marBottom w:val="0"/>
      <w:divBdr>
        <w:top w:val="none" w:sz="0" w:space="0" w:color="auto"/>
        <w:left w:val="none" w:sz="0" w:space="0" w:color="auto"/>
        <w:bottom w:val="none" w:sz="0" w:space="0" w:color="auto"/>
        <w:right w:val="none" w:sz="0" w:space="0" w:color="auto"/>
      </w:divBdr>
    </w:div>
    <w:div w:id="145704135">
      <w:bodyDiv w:val="1"/>
      <w:marLeft w:val="0"/>
      <w:marRight w:val="0"/>
      <w:marTop w:val="0"/>
      <w:marBottom w:val="0"/>
      <w:divBdr>
        <w:top w:val="none" w:sz="0" w:space="0" w:color="auto"/>
        <w:left w:val="none" w:sz="0" w:space="0" w:color="auto"/>
        <w:bottom w:val="none" w:sz="0" w:space="0" w:color="auto"/>
        <w:right w:val="none" w:sz="0" w:space="0" w:color="auto"/>
      </w:divBdr>
    </w:div>
    <w:div w:id="159783644">
      <w:bodyDiv w:val="1"/>
      <w:marLeft w:val="0"/>
      <w:marRight w:val="0"/>
      <w:marTop w:val="0"/>
      <w:marBottom w:val="0"/>
      <w:divBdr>
        <w:top w:val="none" w:sz="0" w:space="0" w:color="auto"/>
        <w:left w:val="none" w:sz="0" w:space="0" w:color="auto"/>
        <w:bottom w:val="none" w:sz="0" w:space="0" w:color="auto"/>
        <w:right w:val="none" w:sz="0" w:space="0" w:color="auto"/>
      </w:divBdr>
    </w:div>
    <w:div w:id="191185147">
      <w:bodyDiv w:val="1"/>
      <w:marLeft w:val="0"/>
      <w:marRight w:val="0"/>
      <w:marTop w:val="0"/>
      <w:marBottom w:val="0"/>
      <w:divBdr>
        <w:top w:val="none" w:sz="0" w:space="0" w:color="auto"/>
        <w:left w:val="none" w:sz="0" w:space="0" w:color="auto"/>
        <w:bottom w:val="none" w:sz="0" w:space="0" w:color="auto"/>
        <w:right w:val="none" w:sz="0" w:space="0" w:color="auto"/>
      </w:divBdr>
    </w:div>
    <w:div w:id="223954032">
      <w:bodyDiv w:val="1"/>
      <w:marLeft w:val="0"/>
      <w:marRight w:val="0"/>
      <w:marTop w:val="0"/>
      <w:marBottom w:val="0"/>
      <w:divBdr>
        <w:top w:val="none" w:sz="0" w:space="0" w:color="auto"/>
        <w:left w:val="none" w:sz="0" w:space="0" w:color="auto"/>
        <w:bottom w:val="none" w:sz="0" w:space="0" w:color="auto"/>
        <w:right w:val="none" w:sz="0" w:space="0" w:color="auto"/>
      </w:divBdr>
    </w:div>
    <w:div w:id="228660805">
      <w:bodyDiv w:val="1"/>
      <w:marLeft w:val="0"/>
      <w:marRight w:val="0"/>
      <w:marTop w:val="0"/>
      <w:marBottom w:val="0"/>
      <w:divBdr>
        <w:top w:val="none" w:sz="0" w:space="0" w:color="auto"/>
        <w:left w:val="none" w:sz="0" w:space="0" w:color="auto"/>
        <w:bottom w:val="none" w:sz="0" w:space="0" w:color="auto"/>
        <w:right w:val="none" w:sz="0" w:space="0" w:color="auto"/>
      </w:divBdr>
    </w:div>
    <w:div w:id="230502170">
      <w:bodyDiv w:val="1"/>
      <w:marLeft w:val="0"/>
      <w:marRight w:val="0"/>
      <w:marTop w:val="0"/>
      <w:marBottom w:val="0"/>
      <w:divBdr>
        <w:top w:val="none" w:sz="0" w:space="0" w:color="auto"/>
        <w:left w:val="none" w:sz="0" w:space="0" w:color="auto"/>
        <w:bottom w:val="none" w:sz="0" w:space="0" w:color="auto"/>
        <w:right w:val="none" w:sz="0" w:space="0" w:color="auto"/>
      </w:divBdr>
    </w:div>
    <w:div w:id="252669341">
      <w:bodyDiv w:val="1"/>
      <w:marLeft w:val="0"/>
      <w:marRight w:val="0"/>
      <w:marTop w:val="0"/>
      <w:marBottom w:val="0"/>
      <w:divBdr>
        <w:top w:val="none" w:sz="0" w:space="0" w:color="auto"/>
        <w:left w:val="none" w:sz="0" w:space="0" w:color="auto"/>
        <w:bottom w:val="none" w:sz="0" w:space="0" w:color="auto"/>
        <w:right w:val="none" w:sz="0" w:space="0" w:color="auto"/>
      </w:divBdr>
    </w:div>
    <w:div w:id="254097314">
      <w:bodyDiv w:val="1"/>
      <w:marLeft w:val="0"/>
      <w:marRight w:val="0"/>
      <w:marTop w:val="0"/>
      <w:marBottom w:val="0"/>
      <w:divBdr>
        <w:top w:val="none" w:sz="0" w:space="0" w:color="auto"/>
        <w:left w:val="none" w:sz="0" w:space="0" w:color="auto"/>
        <w:bottom w:val="none" w:sz="0" w:space="0" w:color="auto"/>
        <w:right w:val="none" w:sz="0" w:space="0" w:color="auto"/>
      </w:divBdr>
    </w:div>
    <w:div w:id="299113208">
      <w:bodyDiv w:val="1"/>
      <w:marLeft w:val="0"/>
      <w:marRight w:val="0"/>
      <w:marTop w:val="0"/>
      <w:marBottom w:val="0"/>
      <w:divBdr>
        <w:top w:val="none" w:sz="0" w:space="0" w:color="auto"/>
        <w:left w:val="none" w:sz="0" w:space="0" w:color="auto"/>
        <w:bottom w:val="none" w:sz="0" w:space="0" w:color="auto"/>
        <w:right w:val="none" w:sz="0" w:space="0" w:color="auto"/>
      </w:divBdr>
    </w:div>
    <w:div w:id="316809046">
      <w:bodyDiv w:val="1"/>
      <w:marLeft w:val="0"/>
      <w:marRight w:val="0"/>
      <w:marTop w:val="0"/>
      <w:marBottom w:val="0"/>
      <w:divBdr>
        <w:top w:val="none" w:sz="0" w:space="0" w:color="auto"/>
        <w:left w:val="none" w:sz="0" w:space="0" w:color="auto"/>
        <w:bottom w:val="none" w:sz="0" w:space="0" w:color="auto"/>
        <w:right w:val="none" w:sz="0" w:space="0" w:color="auto"/>
      </w:divBdr>
    </w:div>
    <w:div w:id="316880147">
      <w:bodyDiv w:val="1"/>
      <w:marLeft w:val="0"/>
      <w:marRight w:val="0"/>
      <w:marTop w:val="0"/>
      <w:marBottom w:val="0"/>
      <w:divBdr>
        <w:top w:val="none" w:sz="0" w:space="0" w:color="auto"/>
        <w:left w:val="none" w:sz="0" w:space="0" w:color="auto"/>
        <w:bottom w:val="none" w:sz="0" w:space="0" w:color="auto"/>
        <w:right w:val="none" w:sz="0" w:space="0" w:color="auto"/>
      </w:divBdr>
    </w:div>
    <w:div w:id="335766284">
      <w:bodyDiv w:val="1"/>
      <w:marLeft w:val="0"/>
      <w:marRight w:val="0"/>
      <w:marTop w:val="0"/>
      <w:marBottom w:val="0"/>
      <w:divBdr>
        <w:top w:val="none" w:sz="0" w:space="0" w:color="auto"/>
        <w:left w:val="none" w:sz="0" w:space="0" w:color="auto"/>
        <w:bottom w:val="none" w:sz="0" w:space="0" w:color="auto"/>
        <w:right w:val="none" w:sz="0" w:space="0" w:color="auto"/>
      </w:divBdr>
    </w:div>
    <w:div w:id="370346215">
      <w:bodyDiv w:val="1"/>
      <w:marLeft w:val="0"/>
      <w:marRight w:val="0"/>
      <w:marTop w:val="0"/>
      <w:marBottom w:val="0"/>
      <w:divBdr>
        <w:top w:val="none" w:sz="0" w:space="0" w:color="auto"/>
        <w:left w:val="none" w:sz="0" w:space="0" w:color="auto"/>
        <w:bottom w:val="none" w:sz="0" w:space="0" w:color="auto"/>
        <w:right w:val="none" w:sz="0" w:space="0" w:color="auto"/>
      </w:divBdr>
    </w:div>
    <w:div w:id="373504438">
      <w:bodyDiv w:val="1"/>
      <w:marLeft w:val="0"/>
      <w:marRight w:val="0"/>
      <w:marTop w:val="0"/>
      <w:marBottom w:val="0"/>
      <w:divBdr>
        <w:top w:val="none" w:sz="0" w:space="0" w:color="auto"/>
        <w:left w:val="none" w:sz="0" w:space="0" w:color="auto"/>
        <w:bottom w:val="none" w:sz="0" w:space="0" w:color="auto"/>
        <w:right w:val="none" w:sz="0" w:space="0" w:color="auto"/>
      </w:divBdr>
    </w:div>
    <w:div w:id="384067949">
      <w:bodyDiv w:val="1"/>
      <w:marLeft w:val="0"/>
      <w:marRight w:val="0"/>
      <w:marTop w:val="0"/>
      <w:marBottom w:val="0"/>
      <w:divBdr>
        <w:top w:val="none" w:sz="0" w:space="0" w:color="auto"/>
        <w:left w:val="none" w:sz="0" w:space="0" w:color="auto"/>
        <w:bottom w:val="none" w:sz="0" w:space="0" w:color="auto"/>
        <w:right w:val="none" w:sz="0" w:space="0" w:color="auto"/>
      </w:divBdr>
    </w:div>
    <w:div w:id="501967819">
      <w:bodyDiv w:val="1"/>
      <w:marLeft w:val="0"/>
      <w:marRight w:val="0"/>
      <w:marTop w:val="0"/>
      <w:marBottom w:val="0"/>
      <w:divBdr>
        <w:top w:val="none" w:sz="0" w:space="0" w:color="auto"/>
        <w:left w:val="none" w:sz="0" w:space="0" w:color="auto"/>
        <w:bottom w:val="none" w:sz="0" w:space="0" w:color="auto"/>
        <w:right w:val="none" w:sz="0" w:space="0" w:color="auto"/>
      </w:divBdr>
    </w:div>
    <w:div w:id="513688964">
      <w:bodyDiv w:val="1"/>
      <w:marLeft w:val="0"/>
      <w:marRight w:val="0"/>
      <w:marTop w:val="0"/>
      <w:marBottom w:val="0"/>
      <w:divBdr>
        <w:top w:val="none" w:sz="0" w:space="0" w:color="auto"/>
        <w:left w:val="none" w:sz="0" w:space="0" w:color="auto"/>
        <w:bottom w:val="none" w:sz="0" w:space="0" w:color="auto"/>
        <w:right w:val="none" w:sz="0" w:space="0" w:color="auto"/>
      </w:divBdr>
    </w:div>
    <w:div w:id="530848079">
      <w:bodyDiv w:val="1"/>
      <w:marLeft w:val="0"/>
      <w:marRight w:val="0"/>
      <w:marTop w:val="0"/>
      <w:marBottom w:val="0"/>
      <w:divBdr>
        <w:top w:val="none" w:sz="0" w:space="0" w:color="auto"/>
        <w:left w:val="none" w:sz="0" w:space="0" w:color="auto"/>
        <w:bottom w:val="none" w:sz="0" w:space="0" w:color="auto"/>
        <w:right w:val="none" w:sz="0" w:space="0" w:color="auto"/>
      </w:divBdr>
    </w:div>
    <w:div w:id="579366077">
      <w:bodyDiv w:val="1"/>
      <w:marLeft w:val="0"/>
      <w:marRight w:val="0"/>
      <w:marTop w:val="0"/>
      <w:marBottom w:val="0"/>
      <w:divBdr>
        <w:top w:val="none" w:sz="0" w:space="0" w:color="auto"/>
        <w:left w:val="none" w:sz="0" w:space="0" w:color="auto"/>
        <w:bottom w:val="none" w:sz="0" w:space="0" w:color="auto"/>
        <w:right w:val="none" w:sz="0" w:space="0" w:color="auto"/>
      </w:divBdr>
    </w:div>
    <w:div w:id="586693278">
      <w:bodyDiv w:val="1"/>
      <w:marLeft w:val="0"/>
      <w:marRight w:val="0"/>
      <w:marTop w:val="0"/>
      <w:marBottom w:val="0"/>
      <w:divBdr>
        <w:top w:val="none" w:sz="0" w:space="0" w:color="auto"/>
        <w:left w:val="none" w:sz="0" w:space="0" w:color="auto"/>
        <w:bottom w:val="none" w:sz="0" w:space="0" w:color="auto"/>
        <w:right w:val="none" w:sz="0" w:space="0" w:color="auto"/>
      </w:divBdr>
    </w:div>
    <w:div w:id="590701318">
      <w:bodyDiv w:val="1"/>
      <w:marLeft w:val="0"/>
      <w:marRight w:val="0"/>
      <w:marTop w:val="0"/>
      <w:marBottom w:val="0"/>
      <w:divBdr>
        <w:top w:val="none" w:sz="0" w:space="0" w:color="auto"/>
        <w:left w:val="none" w:sz="0" w:space="0" w:color="auto"/>
        <w:bottom w:val="none" w:sz="0" w:space="0" w:color="auto"/>
        <w:right w:val="none" w:sz="0" w:space="0" w:color="auto"/>
      </w:divBdr>
    </w:div>
    <w:div w:id="632255503">
      <w:bodyDiv w:val="1"/>
      <w:marLeft w:val="0"/>
      <w:marRight w:val="0"/>
      <w:marTop w:val="0"/>
      <w:marBottom w:val="0"/>
      <w:divBdr>
        <w:top w:val="none" w:sz="0" w:space="0" w:color="auto"/>
        <w:left w:val="none" w:sz="0" w:space="0" w:color="auto"/>
        <w:bottom w:val="none" w:sz="0" w:space="0" w:color="auto"/>
        <w:right w:val="none" w:sz="0" w:space="0" w:color="auto"/>
      </w:divBdr>
    </w:div>
    <w:div w:id="691691682">
      <w:bodyDiv w:val="1"/>
      <w:marLeft w:val="0"/>
      <w:marRight w:val="0"/>
      <w:marTop w:val="0"/>
      <w:marBottom w:val="0"/>
      <w:divBdr>
        <w:top w:val="none" w:sz="0" w:space="0" w:color="auto"/>
        <w:left w:val="none" w:sz="0" w:space="0" w:color="auto"/>
        <w:bottom w:val="none" w:sz="0" w:space="0" w:color="auto"/>
        <w:right w:val="none" w:sz="0" w:space="0" w:color="auto"/>
      </w:divBdr>
    </w:div>
    <w:div w:id="712660005">
      <w:bodyDiv w:val="1"/>
      <w:marLeft w:val="0"/>
      <w:marRight w:val="0"/>
      <w:marTop w:val="0"/>
      <w:marBottom w:val="0"/>
      <w:divBdr>
        <w:top w:val="none" w:sz="0" w:space="0" w:color="auto"/>
        <w:left w:val="none" w:sz="0" w:space="0" w:color="auto"/>
        <w:bottom w:val="none" w:sz="0" w:space="0" w:color="auto"/>
        <w:right w:val="none" w:sz="0" w:space="0" w:color="auto"/>
      </w:divBdr>
    </w:div>
    <w:div w:id="725184741">
      <w:bodyDiv w:val="1"/>
      <w:marLeft w:val="0"/>
      <w:marRight w:val="0"/>
      <w:marTop w:val="0"/>
      <w:marBottom w:val="0"/>
      <w:divBdr>
        <w:top w:val="none" w:sz="0" w:space="0" w:color="auto"/>
        <w:left w:val="none" w:sz="0" w:space="0" w:color="auto"/>
        <w:bottom w:val="none" w:sz="0" w:space="0" w:color="auto"/>
        <w:right w:val="none" w:sz="0" w:space="0" w:color="auto"/>
      </w:divBdr>
    </w:div>
    <w:div w:id="728268017">
      <w:bodyDiv w:val="1"/>
      <w:marLeft w:val="0"/>
      <w:marRight w:val="0"/>
      <w:marTop w:val="0"/>
      <w:marBottom w:val="0"/>
      <w:divBdr>
        <w:top w:val="none" w:sz="0" w:space="0" w:color="auto"/>
        <w:left w:val="none" w:sz="0" w:space="0" w:color="auto"/>
        <w:bottom w:val="none" w:sz="0" w:space="0" w:color="auto"/>
        <w:right w:val="none" w:sz="0" w:space="0" w:color="auto"/>
      </w:divBdr>
    </w:div>
    <w:div w:id="821242317">
      <w:bodyDiv w:val="1"/>
      <w:marLeft w:val="0"/>
      <w:marRight w:val="0"/>
      <w:marTop w:val="0"/>
      <w:marBottom w:val="0"/>
      <w:divBdr>
        <w:top w:val="none" w:sz="0" w:space="0" w:color="auto"/>
        <w:left w:val="none" w:sz="0" w:space="0" w:color="auto"/>
        <w:bottom w:val="none" w:sz="0" w:space="0" w:color="auto"/>
        <w:right w:val="none" w:sz="0" w:space="0" w:color="auto"/>
      </w:divBdr>
    </w:div>
    <w:div w:id="838425628">
      <w:bodyDiv w:val="1"/>
      <w:marLeft w:val="0"/>
      <w:marRight w:val="0"/>
      <w:marTop w:val="0"/>
      <w:marBottom w:val="0"/>
      <w:divBdr>
        <w:top w:val="none" w:sz="0" w:space="0" w:color="auto"/>
        <w:left w:val="none" w:sz="0" w:space="0" w:color="auto"/>
        <w:bottom w:val="none" w:sz="0" w:space="0" w:color="auto"/>
        <w:right w:val="none" w:sz="0" w:space="0" w:color="auto"/>
      </w:divBdr>
    </w:div>
    <w:div w:id="842479613">
      <w:bodyDiv w:val="1"/>
      <w:marLeft w:val="0"/>
      <w:marRight w:val="0"/>
      <w:marTop w:val="0"/>
      <w:marBottom w:val="0"/>
      <w:divBdr>
        <w:top w:val="none" w:sz="0" w:space="0" w:color="auto"/>
        <w:left w:val="none" w:sz="0" w:space="0" w:color="auto"/>
        <w:bottom w:val="none" w:sz="0" w:space="0" w:color="auto"/>
        <w:right w:val="none" w:sz="0" w:space="0" w:color="auto"/>
      </w:divBdr>
    </w:div>
    <w:div w:id="906382722">
      <w:bodyDiv w:val="1"/>
      <w:marLeft w:val="0"/>
      <w:marRight w:val="0"/>
      <w:marTop w:val="0"/>
      <w:marBottom w:val="0"/>
      <w:divBdr>
        <w:top w:val="none" w:sz="0" w:space="0" w:color="auto"/>
        <w:left w:val="none" w:sz="0" w:space="0" w:color="auto"/>
        <w:bottom w:val="none" w:sz="0" w:space="0" w:color="auto"/>
        <w:right w:val="none" w:sz="0" w:space="0" w:color="auto"/>
      </w:divBdr>
    </w:div>
    <w:div w:id="926302759">
      <w:bodyDiv w:val="1"/>
      <w:marLeft w:val="0"/>
      <w:marRight w:val="0"/>
      <w:marTop w:val="0"/>
      <w:marBottom w:val="0"/>
      <w:divBdr>
        <w:top w:val="none" w:sz="0" w:space="0" w:color="auto"/>
        <w:left w:val="none" w:sz="0" w:space="0" w:color="auto"/>
        <w:bottom w:val="none" w:sz="0" w:space="0" w:color="auto"/>
        <w:right w:val="none" w:sz="0" w:space="0" w:color="auto"/>
      </w:divBdr>
    </w:div>
    <w:div w:id="941768721">
      <w:bodyDiv w:val="1"/>
      <w:marLeft w:val="0"/>
      <w:marRight w:val="0"/>
      <w:marTop w:val="0"/>
      <w:marBottom w:val="0"/>
      <w:divBdr>
        <w:top w:val="none" w:sz="0" w:space="0" w:color="auto"/>
        <w:left w:val="none" w:sz="0" w:space="0" w:color="auto"/>
        <w:bottom w:val="none" w:sz="0" w:space="0" w:color="auto"/>
        <w:right w:val="none" w:sz="0" w:space="0" w:color="auto"/>
      </w:divBdr>
    </w:div>
    <w:div w:id="952783689">
      <w:bodyDiv w:val="1"/>
      <w:marLeft w:val="0"/>
      <w:marRight w:val="0"/>
      <w:marTop w:val="0"/>
      <w:marBottom w:val="0"/>
      <w:divBdr>
        <w:top w:val="none" w:sz="0" w:space="0" w:color="auto"/>
        <w:left w:val="none" w:sz="0" w:space="0" w:color="auto"/>
        <w:bottom w:val="none" w:sz="0" w:space="0" w:color="auto"/>
        <w:right w:val="none" w:sz="0" w:space="0" w:color="auto"/>
      </w:divBdr>
    </w:div>
    <w:div w:id="975378146">
      <w:bodyDiv w:val="1"/>
      <w:marLeft w:val="0"/>
      <w:marRight w:val="0"/>
      <w:marTop w:val="0"/>
      <w:marBottom w:val="0"/>
      <w:divBdr>
        <w:top w:val="none" w:sz="0" w:space="0" w:color="auto"/>
        <w:left w:val="none" w:sz="0" w:space="0" w:color="auto"/>
        <w:bottom w:val="none" w:sz="0" w:space="0" w:color="auto"/>
        <w:right w:val="none" w:sz="0" w:space="0" w:color="auto"/>
      </w:divBdr>
    </w:div>
    <w:div w:id="1009717212">
      <w:bodyDiv w:val="1"/>
      <w:marLeft w:val="0"/>
      <w:marRight w:val="0"/>
      <w:marTop w:val="0"/>
      <w:marBottom w:val="0"/>
      <w:divBdr>
        <w:top w:val="none" w:sz="0" w:space="0" w:color="auto"/>
        <w:left w:val="none" w:sz="0" w:space="0" w:color="auto"/>
        <w:bottom w:val="none" w:sz="0" w:space="0" w:color="auto"/>
        <w:right w:val="none" w:sz="0" w:space="0" w:color="auto"/>
      </w:divBdr>
    </w:div>
    <w:div w:id="1088572845">
      <w:bodyDiv w:val="1"/>
      <w:marLeft w:val="0"/>
      <w:marRight w:val="0"/>
      <w:marTop w:val="0"/>
      <w:marBottom w:val="0"/>
      <w:divBdr>
        <w:top w:val="none" w:sz="0" w:space="0" w:color="auto"/>
        <w:left w:val="none" w:sz="0" w:space="0" w:color="auto"/>
        <w:bottom w:val="none" w:sz="0" w:space="0" w:color="auto"/>
        <w:right w:val="none" w:sz="0" w:space="0" w:color="auto"/>
      </w:divBdr>
    </w:div>
    <w:div w:id="1103263142">
      <w:bodyDiv w:val="1"/>
      <w:marLeft w:val="0"/>
      <w:marRight w:val="0"/>
      <w:marTop w:val="0"/>
      <w:marBottom w:val="0"/>
      <w:divBdr>
        <w:top w:val="none" w:sz="0" w:space="0" w:color="auto"/>
        <w:left w:val="none" w:sz="0" w:space="0" w:color="auto"/>
        <w:bottom w:val="none" w:sz="0" w:space="0" w:color="auto"/>
        <w:right w:val="none" w:sz="0" w:space="0" w:color="auto"/>
      </w:divBdr>
    </w:div>
    <w:div w:id="1138381007">
      <w:bodyDiv w:val="1"/>
      <w:marLeft w:val="0"/>
      <w:marRight w:val="0"/>
      <w:marTop w:val="0"/>
      <w:marBottom w:val="0"/>
      <w:divBdr>
        <w:top w:val="none" w:sz="0" w:space="0" w:color="auto"/>
        <w:left w:val="none" w:sz="0" w:space="0" w:color="auto"/>
        <w:bottom w:val="none" w:sz="0" w:space="0" w:color="auto"/>
        <w:right w:val="none" w:sz="0" w:space="0" w:color="auto"/>
      </w:divBdr>
    </w:div>
    <w:div w:id="1139305582">
      <w:bodyDiv w:val="1"/>
      <w:marLeft w:val="0"/>
      <w:marRight w:val="0"/>
      <w:marTop w:val="0"/>
      <w:marBottom w:val="0"/>
      <w:divBdr>
        <w:top w:val="none" w:sz="0" w:space="0" w:color="auto"/>
        <w:left w:val="none" w:sz="0" w:space="0" w:color="auto"/>
        <w:bottom w:val="none" w:sz="0" w:space="0" w:color="auto"/>
        <w:right w:val="none" w:sz="0" w:space="0" w:color="auto"/>
      </w:divBdr>
    </w:div>
    <w:div w:id="1238708873">
      <w:bodyDiv w:val="1"/>
      <w:marLeft w:val="0"/>
      <w:marRight w:val="0"/>
      <w:marTop w:val="0"/>
      <w:marBottom w:val="0"/>
      <w:divBdr>
        <w:top w:val="none" w:sz="0" w:space="0" w:color="auto"/>
        <w:left w:val="none" w:sz="0" w:space="0" w:color="auto"/>
        <w:bottom w:val="none" w:sz="0" w:space="0" w:color="auto"/>
        <w:right w:val="none" w:sz="0" w:space="0" w:color="auto"/>
      </w:divBdr>
    </w:div>
    <w:div w:id="1241672575">
      <w:bodyDiv w:val="1"/>
      <w:marLeft w:val="0"/>
      <w:marRight w:val="0"/>
      <w:marTop w:val="0"/>
      <w:marBottom w:val="0"/>
      <w:divBdr>
        <w:top w:val="none" w:sz="0" w:space="0" w:color="auto"/>
        <w:left w:val="none" w:sz="0" w:space="0" w:color="auto"/>
        <w:bottom w:val="none" w:sz="0" w:space="0" w:color="auto"/>
        <w:right w:val="none" w:sz="0" w:space="0" w:color="auto"/>
      </w:divBdr>
    </w:div>
    <w:div w:id="1282569166">
      <w:bodyDiv w:val="1"/>
      <w:marLeft w:val="0"/>
      <w:marRight w:val="0"/>
      <w:marTop w:val="0"/>
      <w:marBottom w:val="0"/>
      <w:divBdr>
        <w:top w:val="none" w:sz="0" w:space="0" w:color="auto"/>
        <w:left w:val="none" w:sz="0" w:space="0" w:color="auto"/>
        <w:bottom w:val="none" w:sz="0" w:space="0" w:color="auto"/>
        <w:right w:val="none" w:sz="0" w:space="0" w:color="auto"/>
      </w:divBdr>
    </w:div>
    <w:div w:id="1297102220">
      <w:bodyDiv w:val="1"/>
      <w:marLeft w:val="0"/>
      <w:marRight w:val="0"/>
      <w:marTop w:val="0"/>
      <w:marBottom w:val="0"/>
      <w:divBdr>
        <w:top w:val="none" w:sz="0" w:space="0" w:color="auto"/>
        <w:left w:val="none" w:sz="0" w:space="0" w:color="auto"/>
        <w:bottom w:val="none" w:sz="0" w:space="0" w:color="auto"/>
        <w:right w:val="none" w:sz="0" w:space="0" w:color="auto"/>
      </w:divBdr>
    </w:div>
    <w:div w:id="1302230116">
      <w:bodyDiv w:val="1"/>
      <w:marLeft w:val="0"/>
      <w:marRight w:val="0"/>
      <w:marTop w:val="0"/>
      <w:marBottom w:val="0"/>
      <w:divBdr>
        <w:top w:val="none" w:sz="0" w:space="0" w:color="auto"/>
        <w:left w:val="none" w:sz="0" w:space="0" w:color="auto"/>
        <w:bottom w:val="none" w:sz="0" w:space="0" w:color="auto"/>
        <w:right w:val="none" w:sz="0" w:space="0" w:color="auto"/>
      </w:divBdr>
    </w:div>
    <w:div w:id="1316568169">
      <w:bodyDiv w:val="1"/>
      <w:marLeft w:val="0"/>
      <w:marRight w:val="0"/>
      <w:marTop w:val="0"/>
      <w:marBottom w:val="0"/>
      <w:divBdr>
        <w:top w:val="none" w:sz="0" w:space="0" w:color="auto"/>
        <w:left w:val="none" w:sz="0" w:space="0" w:color="auto"/>
        <w:bottom w:val="none" w:sz="0" w:space="0" w:color="auto"/>
        <w:right w:val="none" w:sz="0" w:space="0" w:color="auto"/>
      </w:divBdr>
    </w:div>
    <w:div w:id="1324314921">
      <w:bodyDiv w:val="1"/>
      <w:marLeft w:val="0"/>
      <w:marRight w:val="0"/>
      <w:marTop w:val="0"/>
      <w:marBottom w:val="0"/>
      <w:divBdr>
        <w:top w:val="none" w:sz="0" w:space="0" w:color="auto"/>
        <w:left w:val="none" w:sz="0" w:space="0" w:color="auto"/>
        <w:bottom w:val="none" w:sz="0" w:space="0" w:color="auto"/>
        <w:right w:val="none" w:sz="0" w:space="0" w:color="auto"/>
      </w:divBdr>
    </w:div>
    <w:div w:id="1420953685">
      <w:bodyDiv w:val="1"/>
      <w:marLeft w:val="0"/>
      <w:marRight w:val="0"/>
      <w:marTop w:val="0"/>
      <w:marBottom w:val="0"/>
      <w:divBdr>
        <w:top w:val="none" w:sz="0" w:space="0" w:color="auto"/>
        <w:left w:val="none" w:sz="0" w:space="0" w:color="auto"/>
        <w:bottom w:val="none" w:sz="0" w:space="0" w:color="auto"/>
        <w:right w:val="none" w:sz="0" w:space="0" w:color="auto"/>
      </w:divBdr>
    </w:div>
    <w:div w:id="1432701666">
      <w:bodyDiv w:val="1"/>
      <w:marLeft w:val="0"/>
      <w:marRight w:val="0"/>
      <w:marTop w:val="0"/>
      <w:marBottom w:val="0"/>
      <w:divBdr>
        <w:top w:val="none" w:sz="0" w:space="0" w:color="auto"/>
        <w:left w:val="none" w:sz="0" w:space="0" w:color="auto"/>
        <w:bottom w:val="none" w:sz="0" w:space="0" w:color="auto"/>
        <w:right w:val="none" w:sz="0" w:space="0" w:color="auto"/>
      </w:divBdr>
    </w:div>
    <w:div w:id="1434863917">
      <w:bodyDiv w:val="1"/>
      <w:marLeft w:val="0"/>
      <w:marRight w:val="0"/>
      <w:marTop w:val="0"/>
      <w:marBottom w:val="0"/>
      <w:divBdr>
        <w:top w:val="none" w:sz="0" w:space="0" w:color="auto"/>
        <w:left w:val="none" w:sz="0" w:space="0" w:color="auto"/>
        <w:bottom w:val="none" w:sz="0" w:space="0" w:color="auto"/>
        <w:right w:val="none" w:sz="0" w:space="0" w:color="auto"/>
      </w:divBdr>
    </w:div>
    <w:div w:id="1485506495">
      <w:bodyDiv w:val="1"/>
      <w:marLeft w:val="0"/>
      <w:marRight w:val="0"/>
      <w:marTop w:val="0"/>
      <w:marBottom w:val="0"/>
      <w:divBdr>
        <w:top w:val="none" w:sz="0" w:space="0" w:color="auto"/>
        <w:left w:val="none" w:sz="0" w:space="0" w:color="auto"/>
        <w:bottom w:val="none" w:sz="0" w:space="0" w:color="auto"/>
        <w:right w:val="none" w:sz="0" w:space="0" w:color="auto"/>
      </w:divBdr>
    </w:div>
    <w:div w:id="1503813660">
      <w:bodyDiv w:val="1"/>
      <w:marLeft w:val="0"/>
      <w:marRight w:val="0"/>
      <w:marTop w:val="0"/>
      <w:marBottom w:val="0"/>
      <w:divBdr>
        <w:top w:val="none" w:sz="0" w:space="0" w:color="auto"/>
        <w:left w:val="none" w:sz="0" w:space="0" w:color="auto"/>
        <w:bottom w:val="none" w:sz="0" w:space="0" w:color="auto"/>
        <w:right w:val="none" w:sz="0" w:space="0" w:color="auto"/>
      </w:divBdr>
    </w:div>
    <w:div w:id="1515535375">
      <w:bodyDiv w:val="1"/>
      <w:marLeft w:val="0"/>
      <w:marRight w:val="0"/>
      <w:marTop w:val="0"/>
      <w:marBottom w:val="0"/>
      <w:divBdr>
        <w:top w:val="none" w:sz="0" w:space="0" w:color="auto"/>
        <w:left w:val="none" w:sz="0" w:space="0" w:color="auto"/>
        <w:bottom w:val="none" w:sz="0" w:space="0" w:color="auto"/>
        <w:right w:val="none" w:sz="0" w:space="0" w:color="auto"/>
      </w:divBdr>
    </w:div>
    <w:div w:id="1548487042">
      <w:bodyDiv w:val="1"/>
      <w:marLeft w:val="0"/>
      <w:marRight w:val="0"/>
      <w:marTop w:val="0"/>
      <w:marBottom w:val="0"/>
      <w:divBdr>
        <w:top w:val="none" w:sz="0" w:space="0" w:color="auto"/>
        <w:left w:val="none" w:sz="0" w:space="0" w:color="auto"/>
        <w:bottom w:val="none" w:sz="0" w:space="0" w:color="auto"/>
        <w:right w:val="none" w:sz="0" w:space="0" w:color="auto"/>
      </w:divBdr>
    </w:div>
    <w:div w:id="1554273522">
      <w:bodyDiv w:val="1"/>
      <w:marLeft w:val="0"/>
      <w:marRight w:val="0"/>
      <w:marTop w:val="0"/>
      <w:marBottom w:val="0"/>
      <w:divBdr>
        <w:top w:val="none" w:sz="0" w:space="0" w:color="auto"/>
        <w:left w:val="none" w:sz="0" w:space="0" w:color="auto"/>
        <w:bottom w:val="none" w:sz="0" w:space="0" w:color="auto"/>
        <w:right w:val="none" w:sz="0" w:space="0" w:color="auto"/>
      </w:divBdr>
    </w:div>
    <w:div w:id="1565289878">
      <w:bodyDiv w:val="1"/>
      <w:marLeft w:val="0"/>
      <w:marRight w:val="0"/>
      <w:marTop w:val="0"/>
      <w:marBottom w:val="0"/>
      <w:divBdr>
        <w:top w:val="none" w:sz="0" w:space="0" w:color="auto"/>
        <w:left w:val="none" w:sz="0" w:space="0" w:color="auto"/>
        <w:bottom w:val="none" w:sz="0" w:space="0" w:color="auto"/>
        <w:right w:val="none" w:sz="0" w:space="0" w:color="auto"/>
      </w:divBdr>
    </w:div>
    <w:div w:id="1577937450">
      <w:bodyDiv w:val="1"/>
      <w:marLeft w:val="0"/>
      <w:marRight w:val="0"/>
      <w:marTop w:val="0"/>
      <w:marBottom w:val="0"/>
      <w:divBdr>
        <w:top w:val="none" w:sz="0" w:space="0" w:color="auto"/>
        <w:left w:val="none" w:sz="0" w:space="0" w:color="auto"/>
        <w:bottom w:val="none" w:sz="0" w:space="0" w:color="auto"/>
        <w:right w:val="none" w:sz="0" w:space="0" w:color="auto"/>
      </w:divBdr>
    </w:div>
    <w:div w:id="1618367134">
      <w:bodyDiv w:val="1"/>
      <w:marLeft w:val="0"/>
      <w:marRight w:val="0"/>
      <w:marTop w:val="0"/>
      <w:marBottom w:val="0"/>
      <w:divBdr>
        <w:top w:val="none" w:sz="0" w:space="0" w:color="auto"/>
        <w:left w:val="none" w:sz="0" w:space="0" w:color="auto"/>
        <w:bottom w:val="none" w:sz="0" w:space="0" w:color="auto"/>
        <w:right w:val="none" w:sz="0" w:space="0" w:color="auto"/>
      </w:divBdr>
    </w:div>
    <w:div w:id="1635717771">
      <w:bodyDiv w:val="1"/>
      <w:marLeft w:val="0"/>
      <w:marRight w:val="0"/>
      <w:marTop w:val="0"/>
      <w:marBottom w:val="0"/>
      <w:divBdr>
        <w:top w:val="none" w:sz="0" w:space="0" w:color="auto"/>
        <w:left w:val="none" w:sz="0" w:space="0" w:color="auto"/>
        <w:bottom w:val="none" w:sz="0" w:space="0" w:color="auto"/>
        <w:right w:val="none" w:sz="0" w:space="0" w:color="auto"/>
      </w:divBdr>
    </w:div>
    <w:div w:id="1723210378">
      <w:bodyDiv w:val="1"/>
      <w:marLeft w:val="0"/>
      <w:marRight w:val="0"/>
      <w:marTop w:val="0"/>
      <w:marBottom w:val="0"/>
      <w:divBdr>
        <w:top w:val="none" w:sz="0" w:space="0" w:color="auto"/>
        <w:left w:val="none" w:sz="0" w:space="0" w:color="auto"/>
        <w:bottom w:val="none" w:sz="0" w:space="0" w:color="auto"/>
        <w:right w:val="none" w:sz="0" w:space="0" w:color="auto"/>
      </w:divBdr>
    </w:div>
    <w:div w:id="1737360442">
      <w:bodyDiv w:val="1"/>
      <w:marLeft w:val="0"/>
      <w:marRight w:val="0"/>
      <w:marTop w:val="0"/>
      <w:marBottom w:val="0"/>
      <w:divBdr>
        <w:top w:val="none" w:sz="0" w:space="0" w:color="auto"/>
        <w:left w:val="none" w:sz="0" w:space="0" w:color="auto"/>
        <w:bottom w:val="none" w:sz="0" w:space="0" w:color="auto"/>
        <w:right w:val="none" w:sz="0" w:space="0" w:color="auto"/>
      </w:divBdr>
    </w:div>
    <w:div w:id="1769698150">
      <w:bodyDiv w:val="1"/>
      <w:marLeft w:val="0"/>
      <w:marRight w:val="0"/>
      <w:marTop w:val="0"/>
      <w:marBottom w:val="0"/>
      <w:divBdr>
        <w:top w:val="none" w:sz="0" w:space="0" w:color="auto"/>
        <w:left w:val="none" w:sz="0" w:space="0" w:color="auto"/>
        <w:bottom w:val="none" w:sz="0" w:space="0" w:color="auto"/>
        <w:right w:val="none" w:sz="0" w:space="0" w:color="auto"/>
      </w:divBdr>
    </w:div>
    <w:div w:id="1773472592">
      <w:bodyDiv w:val="1"/>
      <w:marLeft w:val="0"/>
      <w:marRight w:val="0"/>
      <w:marTop w:val="0"/>
      <w:marBottom w:val="0"/>
      <w:divBdr>
        <w:top w:val="none" w:sz="0" w:space="0" w:color="auto"/>
        <w:left w:val="none" w:sz="0" w:space="0" w:color="auto"/>
        <w:bottom w:val="none" w:sz="0" w:space="0" w:color="auto"/>
        <w:right w:val="none" w:sz="0" w:space="0" w:color="auto"/>
      </w:divBdr>
    </w:div>
    <w:div w:id="1778719536">
      <w:bodyDiv w:val="1"/>
      <w:marLeft w:val="0"/>
      <w:marRight w:val="0"/>
      <w:marTop w:val="0"/>
      <w:marBottom w:val="0"/>
      <w:divBdr>
        <w:top w:val="none" w:sz="0" w:space="0" w:color="auto"/>
        <w:left w:val="none" w:sz="0" w:space="0" w:color="auto"/>
        <w:bottom w:val="none" w:sz="0" w:space="0" w:color="auto"/>
        <w:right w:val="none" w:sz="0" w:space="0" w:color="auto"/>
      </w:divBdr>
    </w:div>
    <w:div w:id="1802503235">
      <w:bodyDiv w:val="1"/>
      <w:marLeft w:val="0"/>
      <w:marRight w:val="0"/>
      <w:marTop w:val="0"/>
      <w:marBottom w:val="0"/>
      <w:divBdr>
        <w:top w:val="none" w:sz="0" w:space="0" w:color="auto"/>
        <w:left w:val="none" w:sz="0" w:space="0" w:color="auto"/>
        <w:bottom w:val="none" w:sz="0" w:space="0" w:color="auto"/>
        <w:right w:val="none" w:sz="0" w:space="0" w:color="auto"/>
      </w:divBdr>
    </w:div>
    <w:div w:id="1805929653">
      <w:bodyDiv w:val="1"/>
      <w:marLeft w:val="0"/>
      <w:marRight w:val="0"/>
      <w:marTop w:val="0"/>
      <w:marBottom w:val="0"/>
      <w:divBdr>
        <w:top w:val="none" w:sz="0" w:space="0" w:color="auto"/>
        <w:left w:val="none" w:sz="0" w:space="0" w:color="auto"/>
        <w:bottom w:val="none" w:sz="0" w:space="0" w:color="auto"/>
        <w:right w:val="none" w:sz="0" w:space="0" w:color="auto"/>
      </w:divBdr>
    </w:div>
    <w:div w:id="1830442766">
      <w:bodyDiv w:val="1"/>
      <w:marLeft w:val="0"/>
      <w:marRight w:val="0"/>
      <w:marTop w:val="0"/>
      <w:marBottom w:val="0"/>
      <w:divBdr>
        <w:top w:val="none" w:sz="0" w:space="0" w:color="auto"/>
        <w:left w:val="none" w:sz="0" w:space="0" w:color="auto"/>
        <w:bottom w:val="none" w:sz="0" w:space="0" w:color="auto"/>
        <w:right w:val="none" w:sz="0" w:space="0" w:color="auto"/>
      </w:divBdr>
    </w:div>
    <w:div w:id="1876499115">
      <w:bodyDiv w:val="1"/>
      <w:marLeft w:val="0"/>
      <w:marRight w:val="0"/>
      <w:marTop w:val="0"/>
      <w:marBottom w:val="0"/>
      <w:divBdr>
        <w:top w:val="none" w:sz="0" w:space="0" w:color="auto"/>
        <w:left w:val="none" w:sz="0" w:space="0" w:color="auto"/>
        <w:bottom w:val="none" w:sz="0" w:space="0" w:color="auto"/>
        <w:right w:val="none" w:sz="0" w:space="0" w:color="auto"/>
      </w:divBdr>
    </w:div>
    <w:div w:id="1895390191">
      <w:bodyDiv w:val="1"/>
      <w:marLeft w:val="0"/>
      <w:marRight w:val="0"/>
      <w:marTop w:val="0"/>
      <w:marBottom w:val="0"/>
      <w:divBdr>
        <w:top w:val="none" w:sz="0" w:space="0" w:color="auto"/>
        <w:left w:val="none" w:sz="0" w:space="0" w:color="auto"/>
        <w:bottom w:val="none" w:sz="0" w:space="0" w:color="auto"/>
        <w:right w:val="none" w:sz="0" w:space="0" w:color="auto"/>
      </w:divBdr>
    </w:div>
    <w:div w:id="1909922207">
      <w:bodyDiv w:val="1"/>
      <w:marLeft w:val="0"/>
      <w:marRight w:val="0"/>
      <w:marTop w:val="0"/>
      <w:marBottom w:val="0"/>
      <w:divBdr>
        <w:top w:val="none" w:sz="0" w:space="0" w:color="auto"/>
        <w:left w:val="none" w:sz="0" w:space="0" w:color="auto"/>
        <w:bottom w:val="none" w:sz="0" w:space="0" w:color="auto"/>
        <w:right w:val="none" w:sz="0" w:space="0" w:color="auto"/>
      </w:divBdr>
    </w:div>
    <w:div w:id="1957562546">
      <w:bodyDiv w:val="1"/>
      <w:marLeft w:val="0"/>
      <w:marRight w:val="0"/>
      <w:marTop w:val="0"/>
      <w:marBottom w:val="0"/>
      <w:divBdr>
        <w:top w:val="none" w:sz="0" w:space="0" w:color="auto"/>
        <w:left w:val="none" w:sz="0" w:space="0" w:color="auto"/>
        <w:bottom w:val="none" w:sz="0" w:space="0" w:color="auto"/>
        <w:right w:val="none" w:sz="0" w:space="0" w:color="auto"/>
      </w:divBdr>
    </w:div>
    <w:div w:id="1973486262">
      <w:bodyDiv w:val="1"/>
      <w:marLeft w:val="0"/>
      <w:marRight w:val="0"/>
      <w:marTop w:val="0"/>
      <w:marBottom w:val="0"/>
      <w:divBdr>
        <w:top w:val="none" w:sz="0" w:space="0" w:color="auto"/>
        <w:left w:val="none" w:sz="0" w:space="0" w:color="auto"/>
        <w:bottom w:val="none" w:sz="0" w:space="0" w:color="auto"/>
        <w:right w:val="none" w:sz="0" w:space="0" w:color="auto"/>
      </w:divBdr>
    </w:div>
    <w:div w:id="1997294499">
      <w:bodyDiv w:val="1"/>
      <w:marLeft w:val="0"/>
      <w:marRight w:val="0"/>
      <w:marTop w:val="0"/>
      <w:marBottom w:val="0"/>
      <w:divBdr>
        <w:top w:val="none" w:sz="0" w:space="0" w:color="auto"/>
        <w:left w:val="none" w:sz="0" w:space="0" w:color="auto"/>
        <w:bottom w:val="none" w:sz="0" w:space="0" w:color="auto"/>
        <w:right w:val="none" w:sz="0" w:space="0" w:color="auto"/>
      </w:divBdr>
    </w:div>
    <w:div w:id="2051103023">
      <w:bodyDiv w:val="1"/>
      <w:marLeft w:val="0"/>
      <w:marRight w:val="0"/>
      <w:marTop w:val="0"/>
      <w:marBottom w:val="0"/>
      <w:divBdr>
        <w:top w:val="none" w:sz="0" w:space="0" w:color="auto"/>
        <w:left w:val="none" w:sz="0" w:space="0" w:color="auto"/>
        <w:bottom w:val="none" w:sz="0" w:space="0" w:color="auto"/>
        <w:right w:val="none" w:sz="0" w:space="0" w:color="auto"/>
      </w:divBdr>
    </w:div>
    <w:div w:id="2140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E7655-3362-42DE-8672-26F573B66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321</Words>
  <Characters>1832</Characters>
  <Application>Microsoft Office Word</Application>
  <DocSecurity>0</DocSecurity>
  <Lines>15</Lines>
  <Paragraphs>4</Paragraphs>
  <ScaleCrop>false</ScaleCrop>
  <Company/>
  <LinksUpToDate>false</LinksUpToDate>
  <CharactersWithSpaces>2149</CharactersWithSpaces>
  <SharedDoc>false</SharedDoc>
  <HLinks>
    <vt:vector size="36" baseType="variant">
      <vt:variant>
        <vt:i4>1376305</vt:i4>
      </vt:variant>
      <vt:variant>
        <vt:i4>32</vt:i4>
      </vt:variant>
      <vt:variant>
        <vt:i4>0</vt:i4>
      </vt:variant>
      <vt:variant>
        <vt:i4>5</vt:i4>
      </vt:variant>
      <vt:variant>
        <vt:lpwstr/>
      </vt:variant>
      <vt:variant>
        <vt:lpwstr>_Toc180589864</vt:lpwstr>
      </vt:variant>
      <vt:variant>
        <vt:i4>1376305</vt:i4>
      </vt:variant>
      <vt:variant>
        <vt:i4>26</vt:i4>
      </vt:variant>
      <vt:variant>
        <vt:i4>0</vt:i4>
      </vt:variant>
      <vt:variant>
        <vt:i4>5</vt:i4>
      </vt:variant>
      <vt:variant>
        <vt:lpwstr/>
      </vt:variant>
      <vt:variant>
        <vt:lpwstr>_Toc180589863</vt:lpwstr>
      </vt:variant>
      <vt:variant>
        <vt:i4>1376305</vt:i4>
      </vt:variant>
      <vt:variant>
        <vt:i4>20</vt:i4>
      </vt:variant>
      <vt:variant>
        <vt:i4>0</vt:i4>
      </vt:variant>
      <vt:variant>
        <vt:i4>5</vt:i4>
      </vt:variant>
      <vt:variant>
        <vt:lpwstr/>
      </vt:variant>
      <vt:variant>
        <vt:lpwstr>_Toc180589862</vt:lpwstr>
      </vt:variant>
      <vt:variant>
        <vt:i4>1376305</vt:i4>
      </vt:variant>
      <vt:variant>
        <vt:i4>14</vt:i4>
      </vt:variant>
      <vt:variant>
        <vt:i4>0</vt:i4>
      </vt:variant>
      <vt:variant>
        <vt:i4>5</vt:i4>
      </vt:variant>
      <vt:variant>
        <vt:lpwstr/>
      </vt:variant>
      <vt:variant>
        <vt:lpwstr>_Toc180589861</vt:lpwstr>
      </vt:variant>
      <vt:variant>
        <vt:i4>1376305</vt:i4>
      </vt:variant>
      <vt:variant>
        <vt:i4>8</vt:i4>
      </vt:variant>
      <vt:variant>
        <vt:i4>0</vt:i4>
      </vt:variant>
      <vt:variant>
        <vt:i4>5</vt:i4>
      </vt:variant>
      <vt:variant>
        <vt:lpwstr/>
      </vt:variant>
      <vt:variant>
        <vt:lpwstr>_Toc180589860</vt:lpwstr>
      </vt:variant>
      <vt:variant>
        <vt:i4>1441841</vt:i4>
      </vt:variant>
      <vt:variant>
        <vt:i4>2</vt:i4>
      </vt:variant>
      <vt:variant>
        <vt:i4>0</vt:i4>
      </vt:variant>
      <vt:variant>
        <vt:i4>5</vt:i4>
      </vt:variant>
      <vt:variant>
        <vt:lpwstr/>
      </vt:variant>
      <vt:variant>
        <vt:lpwstr>_Toc180589859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2024-10-23T07:31:00Z</cp:lastPrinted>
  <dcterms:created xsi:type="dcterms:W3CDTF">2024-10-28T07:02:00Z</dcterms:created>
  <dcterms:modified xsi:type="dcterms:W3CDTF">2024-10-28T07:02:00Z</dcterms:modified>
</cp:coreProperties>
</file>