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0E5352" w:rsidRDefault="00677407" w:rsidP="000E5352">
      <w:pPr>
        <w:pStyle w:val="a9"/>
      </w:pPr>
      <w:bookmarkStart w:id="0" w:name="_GoBack"/>
      <w:bookmarkEnd w:id="0"/>
      <w:r>
        <w:rPr>
          <w:rFonts w:hint="eastAsia"/>
        </w:rPr>
        <w:t>故宮文物藝術發展基金</w:t>
      </w:r>
      <w:r w:rsidR="00F02DF2" w:rsidRPr="00F02DF2">
        <w:rPr>
          <w:rFonts w:hint="eastAsia"/>
        </w:rPr>
        <w:t>114</w:t>
      </w:r>
      <w:r>
        <w:rPr>
          <w:rFonts w:hint="eastAsia"/>
        </w:rPr>
        <w:t>年度預算評估報告</w:t>
      </w:r>
    </w:p>
    <w:p w:rsidR="00F02DF2" w:rsidRDefault="00677407" w:rsidP="00F02DF2">
      <w:pPr>
        <w:pStyle w:val="a7"/>
        <w:ind w:firstLine="566"/>
      </w:pPr>
      <w:bookmarkStart w:id="1" w:name="_Toc110417727"/>
      <w:r w:rsidRPr="00677407">
        <w:rPr>
          <w:rFonts w:hint="eastAsia"/>
        </w:rPr>
        <w:t>故宮文物藝術發展基金(以下簡稱故宮文物基金</w:t>
      </w:r>
      <w:r>
        <w:rPr>
          <w:rFonts w:hint="eastAsia"/>
        </w:rPr>
        <w:t>)114</w:t>
      </w:r>
      <w:r w:rsidRPr="00677407">
        <w:rPr>
          <w:rFonts w:hint="eastAsia"/>
        </w:rPr>
        <w:t>年度預算案編列業務收入</w:t>
      </w:r>
      <w:r>
        <w:rPr>
          <w:rFonts w:hint="eastAsia"/>
        </w:rPr>
        <w:t>4</w:t>
      </w:r>
      <w:r w:rsidRPr="00677407">
        <w:rPr>
          <w:rFonts w:hint="eastAsia"/>
        </w:rPr>
        <w:t>億</w:t>
      </w:r>
      <w:r>
        <w:rPr>
          <w:rFonts w:hint="eastAsia"/>
        </w:rPr>
        <w:t>4,859</w:t>
      </w:r>
      <w:r w:rsidRPr="00677407">
        <w:rPr>
          <w:rFonts w:hint="eastAsia"/>
        </w:rPr>
        <w:t>萬</w:t>
      </w:r>
      <w:r>
        <w:rPr>
          <w:rFonts w:hint="eastAsia"/>
        </w:rPr>
        <w:t>8</w:t>
      </w:r>
      <w:r w:rsidRPr="00677407">
        <w:rPr>
          <w:rFonts w:hint="eastAsia"/>
        </w:rPr>
        <w:t>千元，業務成本與費用</w:t>
      </w:r>
      <w:r>
        <w:rPr>
          <w:rFonts w:hint="eastAsia"/>
        </w:rPr>
        <w:t>4</w:t>
      </w:r>
      <w:r w:rsidRPr="00677407">
        <w:rPr>
          <w:rFonts w:hint="eastAsia"/>
        </w:rPr>
        <w:t>億</w:t>
      </w:r>
      <w:r>
        <w:rPr>
          <w:rFonts w:hint="eastAsia"/>
        </w:rPr>
        <w:t>1,099</w:t>
      </w:r>
      <w:r w:rsidRPr="00677407">
        <w:rPr>
          <w:rFonts w:hint="eastAsia"/>
        </w:rPr>
        <w:t>萬</w:t>
      </w:r>
      <w:r>
        <w:rPr>
          <w:rFonts w:hint="eastAsia"/>
        </w:rPr>
        <w:t>9</w:t>
      </w:r>
      <w:r w:rsidRPr="00677407">
        <w:rPr>
          <w:rFonts w:hint="eastAsia"/>
        </w:rPr>
        <w:t>千元，業務外收入</w:t>
      </w:r>
      <w:r>
        <w:rPr>
          <w:rFonts w:hint="eastAsia"/>
        </w:rPr>
        <w:t>903</w:t>
      </w:r>
      <w:r w:rsidRPr="00677407">
        <w:rPr>
          <w:rFonts w:hint="eastAsia"/>
        </w:rPr>
        <w:t>萬</w:t>
      </w:r>
      <w:r>
        <w:rPr>
          <w:rFonts w:hint="eastAsia"/>
        </w:rPr>
        <w:t>1</w:t>
      </w:r>
      <w:r w:rsidRPr="00677407">
        <w:rPr>
          <w:rFonts w:hint="eastAsia"/>
        </w:rPr>
        <w:t>千元，收支相抵後賸餘</w:t>
      </w:r>
      <w:r>
        <w:rPr>
          <w:rFonts w:hint="eastAsia"/>
        </w:rPr>
        <w:t>4,663</w:t>
      </w:r>
      <w:r w:rsidRPr="00677407">
        <w:rPr>
          <w:rFonts w:hint="eastAsia"/>
        </w:rPr>
        <w:t>萬元，較</w:t>
      </w:r>
      <w:r>
        <w:rPr>
          <w:rFonts w:hint="eastAsia"/>
        </w:rPr>
        <w:t>113</w:t>
      </w:r>
      <w:r w:rsidRPr="00677407">
        <w:rPr>
          <w:rFonts w:hint="eastAsia"/>
        </w:rPr>
        <w:t>年度預算</w:t>
      </w:r>
      <w:r w:rsidR="00DF19AC">
        <w:rPr>
          <w:rFonts w:hint="eastAsia"/>
        </w:rPr>
        <w:t>案</w:t>
      </w:r>
      <w:r w:rsidRPr="00677407">
        <w:rPr>
          <w:rFonts w:hint="eastAsia"/>
        </w:rPr>
        <w:t>賸餘</w:t>
      </w:r>
      <w:r>
        <w:rPr>
          <w:rFonts w:hint="eastAsia"/>
        </w:rPr>
        <w:t>3,028</w:t>
      </w:r>
      <w:r w:rsidRPr="00677407">
        <w:rPr>
          <w:rFonts w:hint="eastAsia"/>
        </w:rPr>
        <w:t>萬</w:t>
      </w:r>
      <w:r>
        <w:rPr>
          <w:rFonts w:hint="eastAsia"/>
        </w:rPr>
        <w:t>8千元，增加1,634</w:t>
      </w:r>
      <w:r w:rsidRPr="00677407">
        <w:rPr>
          <w:rFonts w:hint="eastAsia"/>
        </w:rPr>
        <w:t>萬</w:t>
      </w:r>
      <w:r>
        <w:rPr>
          <w:rFonts w:hint="eastAsia"/>
        </w:rPr>
        <w:t>2千元（增</w:t>
      </w:r>
      <w:r w:rsidRPr="00677407">
        <w:rPr>
          <w:rFonts w:hint="eastAsia"/>
        </w:rPr>
        <w:t>幅</w:t>
      </w:r>
      <w:r>
        <w:rPr>
          <w:rFonts w:hint="eastAsia"/>
        </w:rPr>
        <w:t>53.96</w:t>
      </w:r>
      <w:r w:rsidRPr="00677407">
        <w:rPr>
          <w:rFonts w:hint="eastAsia"/>
        </w:rPr>
        <w:t>%）。謹就故宮文物基金</w:t>
      </w:r>
      <w:r>
        <w:rPr>
          <w:rFonts w:hint="eastAsia"/>
        </w:rPr>
        <w:t>114</w:t>
      </w:r>
      <w:r w:rsidRPr="00677407">
        <w:rPr>
          <w:rFonts w:hint="eastAsia"/>
        </w:rPr>
        <w:t>年度預算案評估如下：</w:t>
      </w:r>
    </w:p>
    <w:p w:rsidR="0019611A" w:rsidRDefault="00884498" w:rsidP="0019611A">
      <w:pPr>
        <w:pStyle w:val="14"/>
        <w:ind w:left="567" w:hanging="567"/>
      </w:pPr>
      <w:bookmarkStart w:id="2" w:name="_Toc180516000"/>
      <w:bookmarkEnd w:id="1"/>
      <w:r>
        <w:rPr>
          <w:rFonts w:hAnsi="標楷體" w:hint="eastAsia"/>
        </w:rPr>
        <w:t>五</w:t>
      </w:r>
      <w:r w:rsidR="0019611A">
        <w:rPr>
          <w:rFonts w:hint="eastAsia"/>
        </w:rPr>
        <w:t>、</w:t>
      </w:r>
      <w:r w:rsidR="0019611A" w:rsidRPr="0019611A">
        <w:rPr>
          <w:rFonts w:hint="eastAsia"/>
        </w:rPr>
        <w:t>允宜</w:t>
      </w:r>
      <w:r>
        <w:rPr>
          <w:rFonts w:hint="eastAsia"/>
        </w:rPr>
        <w:t>合理估算餐飲服務營業額，</w:t>
      </w:r>
      <w:r w:rsidRPr="00884498">
        <w:rPr>
          <w:rFonts w:hint="eastAsia"/>
        </w:rPr>
        <w:t>酌予將故宮參觀人次增幅納入考量</w:t>
      </w:r>
      <w:r>
        <w:rPr>
          <w:rFonts w:hint="eastAsia"/>
        </w:rPr>
        <w:t>，並</w:t>
      </w:r>
      <w:r w:rsidR="007E4DCD" w:rsidRPr="007E4DCD">
        <w:rPr>
          <w:rFonts w:hint="eastAsia"/>
        </w:rPr>
        <w:t>研謀拓展多樣化餐飲</w:t>
      </w:r>
      <w:r w:rsidR="007E4DCD">
        <w:rPr>
          <w:rFonts w:hint="eastAsia"/>
        </w:rPr>
        <w:t>可行性</w:t>
      </w:r>
      <w:r w:rsidR="007E4DCD" w:rsidRPr="007E4DCD">
        <w:rPr>
          <w:rFonts w:hint="eastAsia"/>
        </w:rPr>
        <w:t>，以有效提高餐飲營業額並增裕餐飲服務委託</w:t>
      </w:r>
      <w:r w:rsidR="007E4DCD">
        <w:rPr>
          <w:rFonts w:hint="eastAsia"/>
        </w:rPr>
        <w:t>權利金收入</w:t>
      </w:r>
      <w:bookmarkEnd w:id="2"/>
    </w:p>
    <w:p w:rsidR="0019611A" w:rsidRDefault="00B51C2B" w:rsidP="0019611A">
      <w:pPr>
        <w:ind w:left="566" w:firstLine="566"/>
      </w:pPr>
      <w:r w:rsidRPr="00B51C2B">
        <w:rPr>
          <w:rFonts w:hint="eastAsia"/>
        </w:rPr>
        <w:t>故宮文物基金</w:t>
      </w:r>
      <w:r>
        <w:rPr>
          <w:rFonts w:hint="eastAsia"/>
        </w:rPr>
        <w:t>114</w:t>
      </w:r>
      <w:r w:rsidRPr="00B51C2B">
        <w:rPr>
          <w:rFonts w:hint="eastAsia"/>
        </w:rPr>
        <w:t>年度預算案「其他業務外收入」編列</w:t>
      </w:r>
      <w:r w:rsidR="000D36DA">
        <w:rPr>
          <w:rFonts w:hint="eastAsia"/>
        </w:rPr>
        <w:t>620</w:t>
      </w:r>
      <w:r w:rsidRPr="00B51C2B">
        <w:rPr>
          <w:rFonts w:hint="eastAsia"/>
        </w:rPr>
        <w:t>萬</w:t>
      </w:r>
      <w:r w:rsidR="000D36DA">
        <w:rPr>
          <w:rFonts w:hint="eastAsia"/>
        </w:rPr>
        <w:t>7</w:t>
      </w:r>
      <w:r w:rsidRPr="00B51C2B">
        <w:rPr>
          <w:rFonts w:hint="eastAsia"/>
        </w:rPr>
        <w:t>千元，其中「資產使用及權利金收入」為</w:t>
      </w:r>
      <w:r w:rsidR="000D36DA">
        <w:rPr>
          <w:rFonts w:hint="eastAsia"/>
        </w:rPr>
        <w:t>155</w:t>
      </w:r>
      <w:r w:rsidRPr="00B51C2B">
        <w:rPr>
          <w:rFonts w:hint="eastAsia"/>
        </w:rPr>
        <w:t>萬5千元，係餐飲服務委託經營之權利金收入。經查：</w:t>
      </w:r>
    </w:p>
    <w:p w:rsidR="000D36DA" w:rsidRPr="002B601C" w:rsidRDefault="000D36DA" w:rsidP="000D36DA">
      <w:pPr>
        <w:pStyle w:val="a4"/>
        <w:ind w:left="849" w:hanging="283"/>
        <w:rPr>
          <w:b/>
        </w:rPr>
      </w:pPr>
      <w:r w:rsidRPr="002B601C">
        <w:rPr>
          <w:rFonts w:hint="eastAsia"/>
          <w:b/>
        </w:rPr>
        <w:t>(一)</w:t>
      </w:r>
      <w:r w:rsidR="00095250">
        <w:rPr>
          <w:rFonts w:hint="eastAsia"/>
          <w:b/>
        </w:rPr>
        <w:t>112</w:t>
      </w:r>
      <w:r w:rsidRPr="002B601C">
        <w:rPr>
          <w:rFonts w:hint="eastAsia"/>
          <w:b/>
        </w:rPr>
        <w:t>年度餐飲服務實際營業額較預期為佳</w:t>
      </w:r>
      <w:r w:rsidR="00095250">
        <w:rPr>
          <w:rFonts w:hint="eastAsia"/>
          <w:b/>
        </w:rPr>
        <w:t>，爰</w:t>
      </w:r>
      <w:r w:rsidR="00095250" w:rsidRPr="00095250">
        <w:rPr>
          <w:rFonts w:hint="eastAsia"/>
          <w:b/>
        </w:rPr>
        <w:t>113年迄7</w:t>
      </w:r>
      <w:r w:rsidR="00FE56E2">
        <w:rPr>
          <w:rFonts w:hint="eastAsia"/>
          <w:b/>
        </w:rPr>
        <w:t>月底故宮文物</w:t>
      </w:r>
      <w:r w:rsidR="00095250" w:rsidRPr="00095250">
        <w:rPr>
          <w:rFonts w:hint="eastAsia"/>
          <w:b/>
        </w:rPr>
        <w:t>基金餐飲服</w:t>
      </w:r>
      <w:r w:rsidR="00095250">
        <w:rPr>
          <w:rFonts w:hint="eastAsia"/>
          <w:b/>
        </w:rPr>
        <w:t>務委託經營權利金收入已逾全年度預算數</w:t>
      </w:r>
    </w:p>
    <w:p w:rsidR="00A30AB2" w:rsidRDefault="00C32F75" w:rsidP="003B44D9">
      <w:pPr>
        <w:pStyle w:val="21"/>
        <w:ind w:left="850" w:firstLine="566"/>
      </w:pPr>
      <w:r>
        <w:rPr>
          <w:rFonts w:hint="eastAsia"/>
        </w:rPr>
        <w:t>據故宮文物基金表示，其編列</w:t>
      </w:r>
      <w:r w:rsidR="003B44D9" w:rsidRPr="003B44D9">
        <w:rPr>
          <w:rFonts w:hint="eastAsia"/>
        </w:rPr>
        <w:t>「其他業務外收入-資產使用及權利金收入」</w:t>
      </w:r>
      <w:r>
        <w:rPr>
          <w:rFonts w:hint="eastAsia"/>
        </w:rPr>
        <w:t>預算數額，</w:t>
      </w:r>
      <w:r w:rsidR="003B44D9" w:rsidRPr="003B44D9">
        <w:rPr>
          <w:rFonts w:hint="eastAsia"/>
        </w:rPr>
        <w:t>係</w:t>
      </w:r>
      <w:r>
        <w:rPr>
          <w:rFonts w:hint="eastAsia"/>
        </w:rPr>
        <w:t>按</w:t>
      </w:r>
      <w:r w:rsidR="003B44D9" w:rsidRPr="003B44D9">
        <w:rPr>
          <w:rFonts w:hint="eastAsia"/>
        </w:rPr>
        <w:t>前1年度餐飲服務營業額預估數，按經營權利金百分比計算</w:t>
      </w:r>
      <w:r>
        <w:rPr>
          <w:rStyle w:val="af2"/>
        </w:rPr>
        <w:footnoteReference w:id="1"/>
      </w:r>
      <w:r w:rsidR="00A30AB2">
        <w:rPr>
          <w:rFonts w:hint="eastAsia"/>
        </w:rPr>
        <w:t>。</w:t>
      </w:r>
      <w:r w:rsidR="00A30AB2" w:rsidRPr="00A30AB2">
        <w:rPr>
          <w:rFonts w:hint="eastAsia"/>
        </w:rPr>
        <w:t>故宮文物基金113年度預算案「其他業務外收入-資產使用及權利金收入」編列38萬5千元，編列基準係以112年度全年度營業額預估數1,284萬4千元，按經營權利金百分比(3%)計算，惟113年迄7月底該科目累計實收數155萬5千元，係以經會計師查核簽證之112年度財務報表營業額實際數3,110萬4千元，按經營權利金百分比(5%)</w:t>
      </w:r>
      <w:r w:rsidR="00AE37C9">
        <w:rPr>
          <w:rFonts w:hint="eastAsia"/>
        </w:rPr>
        <w:lastRenderedPageBreak/>
        <w:t>計算。基此，</w:t>
      </w:r>
      <w:r w:rsidR="00A30AB2">
        <w:rPr>
          <w:rFonts w:hint="eastAsia"/>
        </w:rPr>
        <w:t>112</w:t>
      </w:r>
      <w:r w:rsidR="00AE37C9">
        <w:rPr>
          <w:rFonts w:hint="eastAsia"/>
        </w:rPr>
        <w:t>年度餐飲服務實際</w:t>
      </w:r>
      <w:r w:rsidR="00A30AB2">
        <w:rPr>
          <w:rFonts w:hint="eastAsia"/>
        </w:rPr>
        <w:t>營業額</w:t>
      </w:r>
      <w:r w:rsidR="00A30AB2" w:rsidRPr="00A30AB2">
        <w:rPr>
          <w:rFonts w:hint="eastAsia"/>
        </w:rPr>
        <w:t>3,110萬4千元</w:t>
      </w:r>
      <w:r w:rsidR="00A30AB2">
        <w:rPr>
          <w:rFonts w:hint="eastAsia"/>
        </w:rPr>
        <w:t>，為預估營業額</w:t>
      </w:r>
      <w:r w:rsidR="00A30AB2" w:rsidRPr="00A30AB2">
        <w:rPr>
          <w:rFonts w:hint="eastAsia"/>
        </w:rPr>
        <w:t>1,284萬4千元</w:t>
      </w:r>
      <w:r w:rsidR="00A30AB2">
        <w:rPr>
          <w:rFonts w:hint="eastAsia"/>
        </w:rPr>
        <w:t>之2.4倍，可</w:t>
      </w:r>
      <w:r w:rsidR="00A30AB2" w:rsidRPr="00A30AB2">
        <w:rPr>
          <w:rFonts w:hint="eastAsia"/>
        </w:rPr>
        <w:t>見112年度餐飲營業額實際情況</w:t>
      </w:r>
      <w:r w:rsidR="00A30AB2">
        <w:rPr>
          <w:rFonts w:hint="eastAsia"/>
        </w:rPr>
        <w:t>顯</w:t>
      </w:r>
      <w:r w:rsidR="00A30AB2" w:rsidRPr="00A30AB2">
        <w:rPr>
          <w:rFonts w:hint="eastAsia"/>
        </w:rPr>
        <w:t>較預期為佳。</w:t>
      </w:r>
    </w:p>
    <w:p w:rsidR="002B601C" w:rsidRDefault="002B601C" w:rsidP="002B601C">
      <w:pPr>
        <w:pStyle w:val="a4"/>
        <w:ind w:left="849" w:hanging="283"/>
        <w:rPr>
          <w:b/>
        </w:rPr>
      </w:pPr>
      <w:r w:rsidRPr="002B601C">
        <w:rPr>
          <w:rFonts w:hint="eastAsia"/>
          <w:b/>
        </w:rPr>
        <w:t>(二)</w:t>
      </w:r>
      <w:r w:rsidR="00095250">
        <w:rPr>
          <w:rFonts w:hint="eastAsia"/>
          <w:b/>
        </w:rPr>
        <w:t>113年迄7月底故宮實際參觀人次較112</w:t>
      </w:r>
      <w:r w:rsidR="006B21A2">
        <w:rPr>
          <w:rFonts w:hint="eastAsia"/>
          <w:b/>
        </w:rPr>
        <w:t>年</w:t>
      </w:r>
      <w:r w:rsidR="00095250">
        <w:rPr>
          <w:rFonts w:hint="eastAsia"/>
          <w:b/>
        </w:rPr>
        <w:t>同期成長，</w:t>
      </w:r>
      <w:r w:rsidR="00FA1D34">
        <w:rPr>
          <w:rFonts w:hint="eastAsia"/>
          <w:b/>
        </w:rPr>
        <w:t>允宜合理</w:t>
      </w:r>
      <w:r w:rsidR="00095250">
        <w:rPr>
          <w:rFonts w:hint="eastAsia"/>
          <w:b/>
        </w:rPr>
        <w:t>估算餐飲</w:t>
      </w:r>
      <w:r w:rsidR="00FA1D34">
        <w:rPr>
          <w:rFonts w:hint="eastAsia"/>
          <w:b/>
        </w:rPr>
        <w:t>服務營業額，並酌予將故宮參觀人次</w:t>
      </w:r>
      <w:r w:rsidRPr="002B601C">
        <w:rPr>
          <w:rFonts w:hint="eastAsia"/>
          <w:b/>
        </w:rPr>
        <w:t>增幅納入</w:t>
      </w:r>
      <w:r w:rsidR="00095250">
        <w:rPr>
          <w:rFonts w:hint="eastAsia"/>
          <w:b/>
        </w:rPr>
        <w:t>考量</w:t>
      </w:r>
    </w:p>
    <w:p w:rsidR="002B601C" w:rsidRDefault="002B601C" w:rsidP="00A42FC4">
      <w:pPr>
        <w:pStyle w:val="21"/>
        <w:ind w:left="850" w:firstLine="566"/>
      </w:pPr>
      <w:r w:rsidRPr="002B601C">
        <w:rPr>
          <w:rFonts w:hint="eastAsia"/>
        </w:rPr>
        <w:t>故宮文物基金</w:t>
      </w:r>
      <w:r>
        <w:rPr>
          <w:rFonts w:hint="eastAsia"/>
        </w:rPr>
        <w:t>114</w:t>
      </w:r>
      <w:r w:rsidRPr="002B601C">
        <w:rPr>
          <w:rFonts w:hint="eastAsia"/>
        </w:rPr>
        <w:t>年度預算案「業務外收入-資產使用及權利金收入」編列</w:t>
      </w:r>
      <w:r w:rsidR="00AE37C9">
        <w:rPr>
          <w:rFonts w:hint="eastAsia"/>
        </w:rPr>
        <w:t>155</w:t>
      </w:r>
      <w:r w:rsidRPr="002B601C">
        <w:rPr>
          <w:rFonts w:hint="eastAsia"/>
        </w:rPr>
        <w:t>萬5千元，係以</w:t>
      </w:r>
      <w:r>
        <w:rPr>
          <w:rFonts w:hint="eastAsia"/>
        </w:rPr>
        <w:t>113</w:t>
      </w:r>
      <w:r w:rsidRPr="002B601C">
        <w:rPr>
          <w:rFonts w:hint="eastAsia"/>
        </w:rPr>
        <w:t>年度全年度營業額預估數</w:t>
      </w:r>
      <w:r>
        <w:rPr>
          <w:rFonts w:hint="eastAsia"/>
        </w:rPr>
        <w:t>3,110</w:t>
      </w:r>
      <w:r w:rsidRPr="002B601C">
        <w:rPr>
          <w:rFonts w:hint="eastAsia"/>
        </w:rPr>
        <w:t>萬4千元，按經營權利金百分比</w:t>
      </w:r>
      <w:r>
        <w:rPr>
          <w:rFonts w:hint="eastAsia"/>
        </w:rPr>
        <w:t>(5</w:t>
      </w:r>
      <w:r w:rsidRPr="002B601C">
        <w:rPr>
          <w:rFonts w:hint="eastAsia"/>
        </w:rPr>
        <w:t>%)</w:t>
      </w:r>
      <w:r w:rsidR="001437FA">
        <w:rPr>
          <w:rFonts w:hint="eastAsia"/>
        </w:rPr>
        <w:t>計算</w:t>
      </w:r>
      <w:r w:rsidRPr="002B601C">
        <w:rPr>
          <w:rFonts w:hint="eastAsia"/>
        </w:rPr>
        <w:t>。</w:t>
      </w:r>
      <w:r>
        <w:rPr>
          <w:rFonts w:hint="eastAsia"/>
        </w:rPr>
        <w:t>又113</w:t>
      </w:r>
      <w:r w:rsidRPr="002B601C">
        <w:rPr>
          <w:rFonts w:hint="eastAsia"/>
        </w:rPr>
        <w:t>年度全年度營業額預估數</w:t>
      </w:r>
      <w:r>
        <w:rPr>
          <w:rFonts w:hint="eastAsia"/>
        </w:rPr>
        <w:t>3,110</w:t>
      </w:r>
      <w:r w:rsidRPr="002B601C">
        <w:rPr>
          <w:rFonts w:hint="eastAsia"/>
        </w:rPr>
        <w:t>萬</w:t>
      </w:r>
      <w:r>
        <w:rPr>
          <w:rFonts w:hint="eastAsia"/>
        </w:rPr>
        <w:t>4</w:t>
      </w:r>
      <w:r w:rsidRPr="002B601C">
        <w:rPr>
          <w:rFonts w:hint="eastAsia"/>
        </w:rPr>
        <w:t>千元，與</w:t>
      </w:r>
      <w:r>
        <w:rPr>
          <w:rFonts w:hint="eastAsia"/>
        </w:rPr>
        <w:t>112</w:t>
      </w:r>
      <w:r w:rsidRPr="002B601C">
        <w:rPr>
          <w:rFonts w:hint="eastAsia"/>
        </w:rPr>
        <w:t>年度營業額實際數</w:t>
      </w:r>
      <w:r>
        <w:rPr>
          <w:rFonts w:hint="eastAsia"/>
        </w:rPr>
        <w:t>同，</w:t>
      </w:r>
      <w:r w:rsidRPr="00095250">
        <w:rPr>
          <w:rFonts w:hint="eastAsia"/>
          <w:color w:val="000000" w:themeColor="text1"/>
        </w:rPr>
        <w:t>未見增</w:t>
      </w:r>
      <w:r w:rsidRPr="00110C85">
        <w:rPr>
          <w:rFonts w:hint="eastAsia"/>
          <w:color w:val="000000" w:themeColor="text1"/>
        </w:rPr>
        <w:t>幅</w:t>
      </w:r>
      <w:r w:rsidR="007261F6" w:rsidRPr="00110C85">
        <w:rPr>
          <w:rFonts w:hint="eastAsia"/>
          <w:color w:val="000000" w:themeColor="text1"/>
        </w:rPr>
        <w:t>。</w:t>
      </w:r>
      <w:r w:rsidRPr="00110C85">
        <w:rPr>
          <w:rFonts w:hint="eastAsia"/>
          <w:color w:val="000000" w:themeColor="text1"/>
        </w:rPr>
        <w:t>考量故宮北部院區</w:t>
      </w:r>
      <w:r w:rsidR="00936BBF" w:rsidRPr="00110C85">
        <w:rPr>
          <w:rStyle w:val="af2"/>
          <w:color w:val="000000" w:themeColor="text1"/>
        </w:rPr>
        <w:footnoteReference w:id="2"/>
      </w:r>
      <w:r w:rsidR="003D5D09" w:rsidRPr="00110C85">
        <w:rPr>
          <w:rFonts w:hint="eastAsia"/>
          <w:color w:val="000000" w:themeColor="text1"/>
        </w:rPr>
        <w:t>112年度全年實際參觀</w:t>
      </w:r>
      <w:r w:rsidR="00FC5CA7" w:rsidRPr="00110C85">
        <w:rPr>
          <w:rFonts w:hint="eastAsia"/>
          <w:color w:val="000000" w:themeColor="text1"/>
        </w:rPr>
        <w:t>(含購票與非購票)</w:t>
      </w:r>
      <w:r w:rsidR="003D5D09" w:rsidRPr="00110C85">
        <w:rPr>
          <w:rFonts w:hint="eastAsia"/>
          <w:color w:val="000000" w:themeColor="text1"/>
        </w:rPr>
        <w:t>人次為155萬2</w:t>
      </w:r>
      <w:r w:rsidR="00EC684F">
        <w:rPr>
          <w:rFonts w:hint="eastAsia"/>
          <w:color w:val="000000" w:themeColor="text1"/>
        </w:rPr>
        <w:t>,</w:t>
      </w:r>
      <w:r w:rsidR="00EC684F">
        <w:rPr>
          <w:color w:val="000000" w:themeColor="text1"/>
        </w:rPr>
        <w:t>190</w:t>
      </w:r>
      <w:r w:rsidR="00EC684F">
        <w:rPr>
          <w:rFonts w:hint="eastAsia"/>
          <w:color w:val="000000" w:themeColor="text1"/>
        </w:rPr>
        <w:t>人次，與</w:t>
      </w:r>
      <w:r w:rsidR="00EC684F">
        <w:rPr>
          <w:color w:val="000000" w:themeColor="text1"/>
        </w:rPr>
        <w:t>112</w:t>
      </w:r>
      <w:r w:rsidR="00EC684F">
        <w:rPr>
          <w:rFonts w:hint="eastAsia"/>
          <w:color w:val="000000" w:themeColor="text1"/>
        </w:rPr>
        <w:t>年度</w:t>
      </w:r>
      <w:r w:rsidR="00FC5CA7" w:rsidRPr="00110C85">
        <w:rPr>
          <w:rFonts w:hint="eastAsia"/>
          <w:color w:val="000000" w:themeColor="text1"/>
        </w:rPr>
        <w:t>預估值140萬人次相較，逾10.87%；</w:t>
      </w:r>
      <w:r w:rsidRPr="00110C85">
        <w:rPr>
          <w:rFonts w:hint="eastAsia"/>
          <w:color w:val="000000" w:themeColor="text1"/>
        </w:rPr>
        <w:t>113年1至</w:t>
      </w:r>
      <w:r w:rsidR="000D3F1F" w:rsidRPr="00110C85">
        <w:rPr>
          <w:rFonts w:hint="eastAsia"/>
          <w:color w:val="000000" w:themeColor="text1"/>
        </w:rPr>
        <w:t>7</w:t>
      </w:r>
      <w:r w:rsidRPr="00110C85">
        <w:rPr>
          <w:rFonts w:hint="eastAsia"/>
          <w:color w:val="000000" w:themeColor="text1"/>
        </w:rPr>
        <w:t>月實際參觀人次為</w:t>
      </w:r>
      <w:r w:rsidR="000D3F1F" w:rsidRPr="00110C85">
        <w:rPr>
          <w:rFonts w:hint="eastAsia"/>
          <w:color w:val="000000" w:themeColor="text1"/>
        </w:rPr>
        <w:t>103</w:t>
      </w:r>
      <w:r w:rsidRPr="00110C85">
        <w:rPr>
          <w:rFonts w:hint="eastAsia"/>
          <w:color w:val="000000" w:themeColor="text1"/>
        </w:rPr>
        <w:t>萬</w:t>
      </w:r>
      <w:r w:rsidR="000D3F1F" w:rsidRPr="00110C85">
        <w:rPr>
          <w:rFonts w:hint="eastAsia"/>
          <w:color w:val="000000" w:themeColor="text1"/>
        </w:rPr>
        <w:t>2</w:t>
      </w:r>
      <w:r w:rsidR="00EC684F">
        <w:rPr>
          <w:color w:val="000000" w:themeColor="text1"/>
        </w:rPr>
        <w:t>,750</w:t>
      </w:r>
      <w:r w:rsidR="00EC684F">
        <w:rPr>
          <w:rFonts w:hint="eastAsia"/>
          <w:color w:val="000000" w:themeColor="text1"/>
        </w:rPr>
        <w:t>人</w:t>
      </w:r>
      <w:r w:rsidRPr="00110C85">
        <w:rPr>
          <w:rFonts w:hint="eastAsia"/>
          <w:color w:val="000000" w:themeColor="text1"/>
        </w:rPr>
        <w:t>次，</w:t>
      </w:r>
      <w:r w:rsidR="00FC5CA7" w:rsidRPr="00110C85">
        <w:rPr>
          <w:rFonts w:hint="eastAsia"/>
          <w:color w:val="000000" w:themeColor="text1"/>
        </w:rPr>
        <w:t>與112年度同期間</w:t>
      </w:r>
      <w:r w:rsidR="000D3F1F" w:rsidRPr="00110C85">
        <w:rPr>
          <w:rFonts w:hint="eastAsia"/>
          <w:color w:val="000000" w:themeColor="text1"/>
        </w:rPr>
        <w:t>78</w:t>
      </w:r>
      <w:r w:rsidR="00FC5CA7" w:rsidRPr="00110C85">
        <w:rPr>
          <w:rFonts w:hint="eastAsia"/>
          <w:color w:val="000000" w:themeColor="text1"/>
        </w:rPr>
        <w:t>萬</w:t>
      </w:r>
      <w:r w:rsidR="000D3F1F" w:rsidRPr="00110C85">
        <w:rPr>
          <w:rFonts w:hint="eastAsia"/>
          <w:color w:val="000000" w:themeColor="text1"/>
        </w:rPr>
        <w:t>7</w:t>
      </w:r>
      <w:r w:rsidR="00EC684F">
        <w:rPr>
          <w:rFonts w:hint="eastAsia"/>
          <w:color w:val="000000" w:themeColor="text1"/>
        </w:rPr>
        <w:t>,971</w:t>
      </w:r>
      <w:r w:rsidR="00FC5CA7" w:rsidRPr="00110C85">
        <w:rPr>
          <w:rFonts w:hint="eastAsia"/>
          <w:color w:val="000000" w:themeColor="text1"/>
        </w:rPr>
        <w:t>人次相較，</w:t>
      </w:r>
      <w:r w:rsidR="000D3F1F" w:rsidRPr="00110C85">
        <w:rPr>
          <w:rFonts w:hint="eastAsia"/>
          <w:color w:val="000000" w:themeColor="text1"/>
        </w:rPr>
        <w:t>增加31.06</w:t>
      </w:r>
      <w:r w:rsidR="00FC5CA7" w:rsidRPr="00110C85">
        <w:rPr>
          <w:rFonts w:hint="eastAsia"/>
          <w:color w:val="000000" w:themeColor="text1"/>
        </w:rPr>
        <w:t>%</w:t>
      </w:r>
      <w:r w:rsidR="00110C85" w:rsidRPr="00110C85">
        <w:rPr>
          <w:rFonts w:hint="eastAsia"/>
          <w:color w:val="000000" w:themeColor="text1"/>
        </w:rPr>
        <w:t>，可見</w:t>
      </w:r>
      <w:r w:rsidR="00FC5CA7" w:rsidRPr="00110C85">
        <w:rPr>
          <w:rFonts w:hint="eastAsia"/>
          <w:color w:val="000000" w:themeColor="text1"/>
        </w:rPr>
        <w:t>北部院區113年度實際參觀人次較112年度有所成長，然故宮預估113</w:t>
      </w:r>
      <w:r w:rsidRPr="00110C85">
        <w:rPr>
          <w:rFonts w:hint="eastAsia"/>
          <w:color w:val="000000" w:themeColor="text1"/>
        </w:rPr>
        <w:t>年度餐飲營業額</w:t>
      </w:r>
      <w:r w:rsidR="00FC5CA7" w:rsidRPr="00110C85">
        <w:rPr>
          <w:rFonts w:hint="eastAsia"/>
          <w:color w:val="000000" w:themeColor="text1"/>
        </w:rPr>
        <w:t>與112年度同，</w:t>
      </w:r>
      <w:r w:rsidR="00A42FC4" w:rsidRPr="00110C85">
        <w:rPr>
          <w:rFonts w:hint="eastAsia"/>
          <w:color w:val="000000" w:themeColor="text1"/>
        </w:rPr>
        <w:t>實非合理，</w:t>
      </w:r>
      <w:r w:rsidRPr="00110C85">
        <w:rPr>
          <w:rFonts w:hint="eastAsia"/>
          <w:color w:val="000000" w:themeColor="text1"/>
        </w:rPr>
        <w:t>允宜將參觀人次之增長情形納入估算餐飲營業額之基礎。</w:t>
      </w:r>
    </w:p>
    <w:p w:rsidR="007261F6" w:rsidRDefault="0053435B" w:rsidP="00A42FC4">
      <w:pPr>
        <w:pStyle w:val="21"/>
        <w:ind w:left="850" w:firstLine="566"/>
      </w:pPr>
      <w:r w:rsidRPr="0053435B">
        <w:rPr>
          <w:rFonts w:hint="eastAsia"/>
        </w:rPr>
        <w:t>另依</w:t>
      </w:r>
      <w:r>
        <w:rPr>
          <w:rFonts w:hint="eastAsia"/>
        </w:rPr>
        <w:t>11</w:t>
      </w:r>
      <w:r>
        <w:t>2</w:t>
      </w:r>
      <w:r w:rsidR="00CC50C5">
        <w:rPr>
          <w:rFonts w:hint="eastAsia"/>
        </w:rPr>
        <w:t>年度北部院區觀眾意見調查報告中對館內設施及服務滿意度之比較結果指出，對「餐飲多元性」持正面評價者由111年度76.6%降至112年度73.2%，對「餐飲價格之合理性」持正面評價者由111年度60.1%降至112年度59.1%</w:t>
      </w:r>
      <w:r w:rsidR="00832A74">
        <w:rPr>
          <w:rStyle w:val="af2"/>
        </w:rPr>
        <w:footnoteReference w:id="3"/>
      </w:r>
      <w:r w:rsidR="00CC50C5">
        <w:rPr>
          <w:rFonts w:hint="eastAsia"/>
        </w:rPr>
        <w:t>，兩者均呈衰退，允宜</w:t>
      </w:r>
      <w:r w:rsidR="00095250">
        <w:rPr>
          <w:rFonts w:hint="eastAsia"/>
        </w:rPr>
        <w:t>研謀改善，以有效提升</w:t>
      </w:r>
      <w:r w:rsidR="00CC50C5">
        <w:rPr>
          <w:rFonts w:hint="eastAsia"/>
        </w:rPr>
        <w:t>餐飲營業額</w:t>
      </w:r>
      <w:r w:rsidR="00095250">
        <w:rPr>
          <w:rFonts w:hint="eastAsia"/>
        </w:rPr>
        <w:t>與</w:t>
      </w:r>
      <w:r w:rsidRPr="0053435B">
        <w:rPr>
          <w:rFonts w:hint="eastAsia"/>
        </w:rPr>
        <w:t>權利金收入。</w:t>
      </w:r>
    </w:p>
    <w:p w:rsidR="00095250" w:rsidRDefault="000C3FAA" w:rsidP="002B601C">
      <w:pPr>
        <w:pStyle w:val="21"/>
        <w:ind w:left="850" w:firstLine="566"/>
      </w:pPr>
      <w:r w:rsidRPr="000C3FAA">
        <w:rPr>
          <w:rFonts w:hint="eastAsia"/>
        </w:rPr>
        <w:t>綜上，故宮文物基金</w:t>
      </w:r>
      <w:r>
        <w:rPr>
          <w:rFonts w:hint="eastAsia"/>
        </w:rPr>
        <w:t>11</w:t>
      </w:r>
      <w:r>
        <w:t>4</w:t>
      </w:r>
      <w:r w:rsidRPr="000C3FAA">
        <w:rPr>
          <w:rFonts w:hint="eastAsia"/>
        </w:rPr>
        <w:t>年度預算案「其他業務外收入-資</w:t>
      </w:r>
      <w:r w:rsidR="00FA1D34">
        <w:rPr>
          <w:rFonts w:hint="eastAsia"/>
        </w:rPr>
        <w:lastRenderedPageBreak/>
        <w:t>產使用及權利金收入」之餐飲服務委託經營權利金編列基礎係按</w:t>
      </w:r>
      <w:r w:rsidR="00FA1D34" w:rsidRPr="00FA1D34">
        <w:rPr>
          <w:rFonts w:hint="eastAsia"/>
        </w:rPr>
        <w:t>113年度全年度營業額預估數</w:t>
      </w:r>
      <w:r w:rsidR="00FA1D34">
        <w:rPr>
          <w:rFonts w:hint="eastAsia"/>
        </w:rPr>
        <w:t>計算</w:t>
      </w:r>
      <w:r w:rsidR="00FA1D34" w:rsidRPr="00FA1D34">
        <w:rPr>
          <w:rFonts w:hint="eastAsia"/>
        </w:rPr>
        <w:t>，</w:t>
      </w:r>
      <w:r w:rsidR="00FA1D34">
        <w:rPr>
          <w:rFonts w:hint="eastAsia"/>
        </w:rPr>
        <w:t>惟</w:t>
      </w:r>
      <w:r w:rsidR="00FA1D34" w:rsidRPr="00FA1D34">
        <w:rPr>
          <w:rFonts w:hint="eastAsia"/>
        </w:rPr>
        <w:t>與112</w:t>
      </w:r>
      <w:r w:rsidR="00FA1D34">
        <w:rPr>
          <w:rFonts w:hint="eastAsia"/>
        </w:rPr>
        <w:t>年度營業額實際數同，鑑於故宮北部院區113年迄7月底實際參觀人次較112年度增加，允宜</w:t>
      </w:r>
      <w:r w:rsidR="00136A96" w:rsidRPr="00136A96">
        <w:rPr>
          <w:rFonts w:hint="eastAsia"/>
        </w:rPr>
        <w:t>酌予將故宮參觀人次增幅納入考量</w:t>
      </w:r>
      <w:r w:rsidR="00136A96">
        <w:rPr>
          <w:rFonts w:hint="eastAsia"/>
        </w:rPr>
        <w:t>，以</w:t>
      </w:r>
      <w:r w:rsidR="00FA1D34">
        <w:rPr>
          <w:rFonts w:hint="eastAsia"/>
        </w:rPr>
        <w:t>合理估算113年度餐</w:t>
      </w:r>
      <w:r w:rsidR="00136A96">
        <w:rPr>
          <w:rFonts w:hint="eastAsia"/>
        </w:rPr>
        <w:t>飲服務營業額</w:t>
      </w:r>
      <w:r w:rsidR="00FA1D34">
        <w:rPr>
          <w:rFonts w:hint="eastAsia"/>
        </w:rPr>
        <w:t>，另</w:t>
      </w:r>
      <w:r w:rsidR="00136A96">
        <w:rPr>
          <w:rFonts w:hint="eastAsia"/>
        </w:rPr>
        <w:t>宜</w:t>
      </w:r>
      <w:r w:rsidRPr="000C3FAA">
        <w:rPr>
          <w:rFonts w:hint="eastAsia"/>
        </w:rPr>
        <w:t>研謀</w:t>
      </w:r>
      <w:r w:rsidR="00095250" w:rsidRPr="00095250">
        <w:rPr>
          <w:rFonts w:hint="eastAsia"/>
        </w:rPr>
        <w:t>拓展多樣化餐飲</w:t>
      </w:r>
      <w:r w:rsidR="00136A96">
        <w:rPr>
          <w:rFonts w:hint="eastAsia"/>
        </w:rPr>
        <w:t>之</w:t>
      </w:r>
      <w:r w:rsidR="007E4DCD">
        <w:rPr>
          <w:rFonts w:hint="eastAsia"/>
        </w:rPr>
        <w:t>可行性</w:t>
      </w:r>
      <w:r w:rsidR="00FA1D34">
        <w:rPr>
          <w:rFonts w:hint="eastAsia"/>
        </w:rPr>
        <w:t>，</w:t>
      </w:r>
      <w:r w:rsidR="00136A96">
        <w:rPr>
          <w:rFonts w:hint="eastAsia"/>
        </w:rPr>
        <w:t>以有效提高餐飲營業額俾</w:t>
      </w:r>
      <w:r w:rsidR="00095250" w:rsidRPr="00095250">
        <w:rPr>
          <w:rFonts w:hint="eastAsia"/>
        </w:rPr>
        <w:t>增裕權利金收入。</w:t>
      </w:r>
    </w:p>
    <w:p w:rsidR="0015132E" w:rsidRDefault="0015132E" w:rsidP="0015132E">
      <w:pPr>
        <w:pStyle w:val="aa"/>
      </w:pPr>
      <w:r>
        <w:rPr>
          <w:rFonts w:hint="eastAsia"/>
        </w:rPr>
        <w:t>(分機：1941 方淑玄)</w:t>
      </w:r>
    </w:p>
    <w:sectPr w:rsidR="0015132E"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3CC" w:rsidRDefault="007323CC" w:rsidP="009B732E">
      <w:pPr>
        <w:spacing w:line="240" w:lineRule="auto"/>
        <w:ind w:left="560" w:firstLine="560"/>
      </w:pPr>
      <w:r>
        <w:separator/>
      </w:r>
    </w:p>
  </w:endnote>
  <w:endnote w:type="continuationSeparator" w:id="0">
    <w:p w:rsidR="007323CC" w:rsidRDefault="007323C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AA48D2" w:rsidRPr="00AA48D2">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3CC" w:rsidRDefault="007323CC" w:rsidP="009B732E">
      <w:pPr>
        <w:spacing w:line="240" w:lineRule="auto"/>
        <w:ind w:left="560" w:firstLine="560"/>
      </w:pPr>
      <w:r>
        <w:separator/>
      </w:r>
    </w:p>
  </w:footnote>
  <w:footnote w:type="continuationSeparator" w:id="0">
    <w:p w:rsidR="007323CC" w:rsidRDefault="007323CC" w:rsidP="009B732E">
      <w:pPr>
        <w:spacing w:line="240" w:lineRule="auto"/>
        <w:ind w:left="560" w:firstLine="560"/>
      </w:pPr>
      <w:r>
        <w:continuationSeparator/>
      </w:r>
    </w:p>
  </w:footnote>
  <w:footnote w:id="1">
    <w:p w:rsidR="00023092" w:rsidRDefault="00023092" w:rsidP="00C32F75">
      <w:pPr>
        <w:pStyle w:val="144"/>
        <w:ind w:left="182" w:hanging="182"/>
      </w:pPr>
      <w:r>
        <w:rPr>
          <w:rStyle w:val="af2"/>
        </w:rPr>
        <w:footnoteRef/>
      </w:r>
      <w:r>
        <w:t xml:space="preserve"> </w:t>
      </w:r>
      <w:r w:rsidRPr="00C32F75">
        <w:rPr>
          <w:rFonts w:hint="eastAsia"/>
        </w:rPr>
        <w:t>權利金=每年營業收入總額*經營權利金百分比。1.營業收入未達1,000萬元(含)者，權利金為總營收之2%。2.營業收入超過1,000萬元，未達2,000萬元(含)者，權利金為總營收之3%。3.營業收入超過2,000萬元，未達3,000萬元(含)者，權利金為總營收之4%。4.營業收入超過3,000萬元，未達4,000萬元(含)者，權利金為總營收之5%。5.營業收入超過4,000萬元，未達5,000萬元(含)者，權利金為總營收之6%。6.營業收入超過5,000萬元者，權利金為總營收之10%。</w:t>
      </w:r>
    </w:p>
  </w:footnote>
  <w:footnote w:id="2">
    <w:p w:rsidR="00023092" w:rsidRDefault="00023092" w:rsidP="00936BBF">
      <w:pPr>
        <w:pStyle w:val="144"/>
        <w:ind w:left="182" w:hanging="182"/>
      </w:pPr>
      <w:r>
        <w:rPr>
          <w:rStyle w:val="af2"/>
        </w:rPr>
        <w:footnoteRef/>
      </w:r>
      <w:r>
        <w:t xml:space="preserve"> </w:t>
      </w:r>
      <w:r w:rsidRPr="00936BBF">
        <w:rPr>
          <w:rFonts w:hint="eastAsia"/>
        </w:rPr>
        <w:t>112與113年度預算(案)「業務外收入-資產使用及權利金收入」係餐飲服務委託經營權利金收入，爰以該餐飲服務所在地故宮北部院區之參觀人次為比較基礎。</w:t>
      </w:r>
    </w:p>
  </w:footnote>
  <w:footnote w:id="3">
    <w:p w:rsidR="00023092" w:rsidRDefault="00023092" w:rsidP="00832A74">
      <w:pPr>
        <w:pStyle w:val="144"/>
        <w:ind w:left="182" w:hanging="182"/>
      </w:pPr>
      <w:r>
        <w:rPr>
          <w:rStyle w:val="af2"/>
        </w:rPr>
        <w:footnoteRef/>
      </w:r>
      <w:r>
        <w:t xml:space="preserve"> </w:t>
      </w:r>
      <w:r>
        <w:rPr>
          <w:rFonts w:hint="eastAsia"/>
        </w:rPr>
        <w:t>本處係指「閒居賦」餐廳。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76D"/>
    <w:rsid w:val="00016DF2"/>
    <w:rsid w:val="00016F16"/>
    <w:rsid w:val="000205AC"/>
    <w:rsid w:val="00020F93"/>
    <w:rsid w:val="00021545"/>
    <w:rsid w:val="000216DC"/>
    <w:rsid w:val="000217D3"/>
    <w:rsid w:val="00022517"/>
    <w:rsid w:val="0002296E"/>
    <w:rsid w:val="00023092"/>
    <w:rsid w:val="00023CBF"/>
    <w:rsid w:val="00023CF1"/>
    <w:rsid w:val="00023E96"/>
    <w:rsid w:val="00023F21"/>
    <w:rsid w:val="00024E97"/>
    <w:rsid w:val="000251EF"/>
    <w:rsid w:val="000254EA"/>
    <w:rsid w:val="0002605E"/>
    <w:rsid w:val="00026612"/>
    <w:rsid w:val="000269EF"/>
    <w:rsid w:val="000326AC"/>
    <w:rsid w:val="00032AA1"/>
    <w:rsid w:val="00032FFA"/>
    <w:rsid w:val="000339B0"/>
    <w:rsid w:val="000339E6"/>
    <w:rsid w:val="00034155"/>
    <w:rsid w:val="00034180"/>
    <w:rsid w:val="00035C40"/>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078"/>
    <w:rsid w:val="000732B9"/>
    <w:rsid w:val="000735E0"/>
    <w:rsid w:val="000748B5"/>
    <w:rsid w:val="000749B9"/>
    <w:rsid w:val="00074A02"/>
    <w:rsid w:val="00074E3A"/>
    <w:rsid w:val="00074EE3"/>
    <w:rsid w:val="00075186"/>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805"/>
    <w:rsid w:val="000A0AE9"/>
    <w:rsid w:val="000A0F24"/>
    <w:rsid w:val="000A13FF"/>
    <w:rsid w:val="000A1EE9"/>
    <w:rsid w:val="000A2619"/>
    <w:rsid w:val="000A30B4"/>
    <w:rsid w:val="000A3218"/>
    <w:rsid w:val="000A331B"/>
    <w:rsid w:val="000A3E5C"/>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B9"/>
    <w:rsid w:val="000C6BED"/>
    <w:rsid w:val="000C77C5"/>
    <w:rsid w:val="000C7B18"/>
    <w:rsid w:val="000C7EC8"/>
    <w:rsid w:val="000C7F40"/>
    <w:rsid w:val="000D04F9"/>
    <w:rsid w:val="000D125B"/>
    <w:rsid w:val="000D132D"/>
    <w:rsid w:val="000D18C7"/>
    <w:rsid w:val="000D233B"/>
    <w:rsid w:val="000D2444"/>
    <w:rsid w:val="000D25BC"/>
    <w:rsid w:val="000D2A28"/>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D7D30"/>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A96"/>
    <w:rsid w:val="00136E81"/>
    <w:rsid w:val="001372F1"/>
    <w:rsid w:val="00137B74"/>
    <w:rsid w:val="00140555"/>
    <w:rsid w:val="00140F73"/>
    <w:rsid w:val="00141132"/>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C70"/>
    <w:rsid w:val="00161034"/>
    <w:rsid w:val="001617E2"/>
    <w:rsid w:val="00161D13"/>
    <w:rsid w:val="001622B5"/>
    <w:rsid w:val="00162496"/>
    <w:rsid w:val="00162880"/>
    <w:rsid w:val="001631E8"/>
    <w:rsid w:val="001645B0"/>
    <w:rsid w:val="00165160"/>
    <w:rsid w:val="001655B9"/>
    <w:rsid w:val="00165DA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887"/>
    <w:rsid w:val="00172A40"/>
    <w:rsid w:val="00172CE1"/>
    <w:rsid w:val="001731F9"/>
    <w:rsid w:val="001735AF"/>
    <w:rsid w:val="00173CE0"/>
    <w:rsid w:val="00174354"/>
    <w:rsid w:val="001744DD"/>
    <w:rsid w:val="00174F86"/>
    <w:rsid w:val="001755FA"/>
    <w:rsid w:val="001759DE"/>
    <w:rsid w:val="00175D0D"/>
    <w:rsid w:val="00175DE2"/>
    <w:rsid w:val="00175F90"/>
    <w:rsid w:val="00177076"/>
    <w:rsid w:val="001771ED"/>
    <w:rsid w:val="00177624"/>
    <w:rsid w:val="001811CA"/>
    <w:rsid w:val="00181493"/>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F68"/>
    <w:rsid w:val="00191508"/>
    <w:rsid w:val="0019175E"/>
    <w:rsid w:val="00193F59"/>
    <w:rsid w:val="001940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560"/>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82B"/>
    <w:rsid w:val="002B3B75"/>
    <w:rsid w:val="002B3C86"/>
    <w:rsid w:val="002B3C8F"/>
    <w:rsid w:val="002B40BA"/>
    <w:rsid w:val="002B46EC"/>
    <w:rsid w:val="002B50E9"/>
    <w:rsid w:val="002B5776"/>
    <w:rsid w:val="002B57FF"/>
    <w:rsid w:val="002B5E75"/>
    <w:rsid w:val="002B601C"/>
    <w:rsid w:val="002B68BF"/>
    <w:rsid w:val="002C06A7"/>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776"/>
    <w:rsid w:val="002C48EB"/>
    <w:rsid w:val="002C4CBF"/>
    <w:rsid w:val="002C5298"/>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4101"/>
    <w:rsid w:val="002D4EE3"/>
    <w:rsid w:val="002D55E1"/>
    <w:rsid w:val="002D5A20"/>
    <w:rsid w:val="002D5AC4"/>
    <w:rsid w:val="002D6964"/>
    <w:rsid w:val="002D6BEB"/>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2A"/>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67D"/>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5F3C"/>
    <w:rsid w:val="003668B7"/>
    <w:rsid w:val="00366A37"/>
    <w:rsid w:val="003670A3"/>
    <w:rsid w:val="003674A4"/>
    <w:rsid w:val="003678A9"/>
    <w:rsid w:val="00367D2F"/>
    <w:rsid w:val="0037025E"/>
    <w:rsid w:val="00370CA5"/>
    <w:rsid w:val="00370D7C"/>
    <w:rsid w:val="003713FA"/>
    <w:rsid w:val="00371E2B"/>
    <w:rsid w:val="003721E1"/>
    <w:rsid w:val="003728FE"/>
    <w:rsid w:val="00372EE8"/>
    <w:rsid w:val="003737F1"/>
    <w:rsid w:val="00374319"/>
    <w:rsid w:val="003759CF"/>
    <w:rsid w:val="0037644E"/>
    <w:rsid w:val="003765AF"/>
    <w:rsid w:val="003766B5"/>
    <w:rsid w:val="00376B9C"/>
    <w:rsid w:val="00376E27"/>
    <w:rsid w:val="00376EFB"/>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90B36"/>
    <w:rsid w:val="00391EA8"/>
    <w:rsid w:val="00392061"/>
    <w:rsid w:val="0039226B"/>
    <w:rsid w:val="003928A9"/>
    <w:rsid w:val="003934C9"/>
    <w:rsid w:val="003940ED"/>
    <w:rsid w:val="00394444"/>
    <w:rsid w:val="00394688"/>
    <w:rsid w:val="00394DFD"/>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6BAA"/>
    <w:rsid w:val="00457BAC"/>
    <w:rsid w:val="00457D37"/>
    <w:rsid w:val="004606D7"/>
    <w:rsid w:val="004610B1"/>
    <w:rsid w:val="004616E5"/>
    <w:rsid w:val="00462EBF"/>
    <w:rsid w:val="00463659"/>
    <w:rsid w:val="00463C64"/>
    <w:rsid w:val="00463DD0"/>
    <w:rsid w:val="00464574"/>
    <w:rsid w:val="004656F8"/>
    <w:rsid w:val="004659FA"/>
    <w:rsid w:val="00465AA9"/>
    <w:rsid w:val="00466099"/>
    <w:rsid w:val="004663E6"/>
    <w:rsid w:val="00466AAA"/>
    <w:rsid w:val="004670BE"/>
    <w:rsid w:val="00467E74"/>
    <w:rsid w:val="00470476"/>
    <w:rsid w:val="0047088A"/>
    <w:rsid w:val="0047112A"/>
    <w:rsid w:val="004713E6"/>
    <w:rsid w:val="00471B60"/>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33F"/>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FAA"/>
    <w:rsid w:val="004F1250"/>
    <w:rsid w:val="004F19A0"/>
    <w:rsid w:val="004F2E9C"/>
    <w:rsid w:val="004F3C33"/>
    <w:rsid w:val="004F4258"/>
    <w:rsid w:val="004F432A"/>
    <w:rsid w:val="004F48B9"/>
    <w:rsid w:val="004F4D5E"/>
    <w:rsid w:val="004F517C"/>
    <w:rsid w:val="004F59E6"/>
    <w:rsid w:val="004F5AB0"/>
    <w:rsid w:val="004F5AE2"/>
    <w:rsid w:val="004F5F40"/>
    <w:rsid w:val="004F6419"/>
    <w:rsid w:val="004F6525"/>
    <w:rsid w:val="004F701C"/>
    <w:rsid w:val="004F7F4A"/>
    <w:rsid w:val="00500373"/>
    <w:rsid w:val="00500528"/>
    <w:rsid w:val="0050157F"/>
    <w:rsid w:val="00501D3F"/>
    <w:rsid w:val="00502261"/>
    <w:rsid w:val="0050250A"/>
    <w:rsid w:val="005025E9"/>
    <w:rsid w:val="00502870"/>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05"/>
    <w:rsid w:val="00524951"/>
    <w:rsid w:val="00525E40"/>
    <w:rsid w:val="005260EB"/>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C9"/>
    <w:rsid w:val="005441EA"/>
    <w:rsid w:val="00544288"/>
    <w:rsid w:val="00544647"/>
    <w:rsid w:val="00544985"/>
    <w:rsid w:val="00545B5E"/>
    <w:rsid w:val="00545BA5"/>
    <w:rsid w:val="005463EE"/>
    <w:rsid w:val="00546A33"/>
    <w:rsid w:val="00546A4D"/>
    <w:rsid w:val="00546B69"/>
    <w:rsid w:val="00547064"/>
    <w:rsid w:val="00547246"/>
    <w:rsid w:val="00547471"/>
    <w:rsid w:val="0054748B"/>
    <w:rsid w:val="005478D5"/>
    <w:rsid w:val="00550819"/>
    <w:rsid w:val="005517B7"/>
    <w:rsid w:val="00551CF0"/>
    <w:rsid w:val="0055287C"/>
    <w:rsid w:val="0055306E"/>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50"/>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E71"/>
    <w:rsid w:val="005960AF"/>
    <w:rsid w:val="00596BF2"/>
    <w:rsid w:val="00597199"/>
    <w:rsid w:val="0059758E"/>
    <w:rsid w:val="00597C9A"/>
    <w:rsid w:val="005A0271"/>
    <w:rsid w:val="005A08CF"/>
    <w:rsid w:val="005A0D5B"/>
    <w:rsid w:val="005A0EE3"/>
    <w:rsid w:val="005A11D0"/>
    <w:rsid w:val="005A1DC8"/>
    <w:rsid w:val="005A296F"/>
    <w:rsid w:val="005A2A46"/>
    <w:rsid w:val="005A2A79"/>
    <w:rsid w:val="005A2B58"/>
    <w:rsid w:val="005A2D21"/>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738"/>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5EEA"/>
    <w:rsid w:val="00636E6F"/>
    <w:rsid w:val="00637085"/>
    <w:rsid w:val="006372BF"/>
    <w:rsid w:val="00637F36"/>
    <w:rsid w:val="0064012A"/>
    <w:rsid w:val="00640577"/>
    <w:rsid w:val="00640E9D"/>
    <w:rsid w:val="006413C1"/>
    <w:rsid w:val="006417C1"/>
    <w:rsid w:val="0064194F"/>
    <w:rsid w:val="006423D4"/>
    <w:rsid w:val="00642472"/>
    <w:rsid w:val="006429CB"/>
    <w:rsid w:val="0064366C"/>
    <w:rsid w:val="0064368C"/>
    <w:rsid w:val="00644625"/>
    <w:rsid w:val="00644ACF"/>
    <w:rsid w:val="00644BAC"/>
    <w:rsid w:val="0064624B"/>
    <w:rsid w:val="00646270"/>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1997"/>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B31"/>
    <w:rsid w:val="00682DC5"/>
    <w:rsid w:val="00683C04"/>
    <w:rsid w:val="00683D89"/>
    <w:rsid w:val="00683FAB"/>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ACD"/>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21A2"/>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9E5"/>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5254"/>
    <w:rsid w:val="00706690"/>
    <w:rsid w:val="007066F9"/>
    <w:rsid w:val="00706988"/>
    <w:rsid w:val="00706AC0"/>
    <w:rsid w:val="00706DF4"/>
    <w:rsid w:val="0070741C"/>
    <w:rsid w:val="00707A2F"/>
    <w:rsid w:val="0071043A"/>
    <w:rsid w:val="00711360"/>
    <w:rsid w:val="007116D6"/>
    <w:rsid w:val="0071203E"/>
    <w:rsid w:val="007131DC"/>
    <w:rsid w:val="00713878"/>
    <w:rsid w:val="00713C05"/>
    <w:rsid w:val="00715051"/>
    <w:rsid w:val="00715A0D"/>
    <w:rsid w:val="00715CBB"/>
    <w:rsid w:val="00716579"/>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30C"/>
    <w:rsid w:val="00726D58"/>
    <w:rsid w:val="0072743B"/>
    <w:rsid w:val="00727711"/>
    <w:rsid w:val="00730E06"/>
    <w:rsid w:val="0073153D"/>
    <w:rsid w:val="007317D2"/>
    <w:rsid w:val="007321DF"/>
    <w:rsid w:val="007323CC"/>
    <w:rsid w:val="0073273A"/>
    <w:rsid w:val="00732A4D"/>
    <w:rsid w:val="00733129"/>
    <w:rsid w:val="007333E2"/>
    <w:rsid w:val="0073407F"/>
    <w:rsid w:val="00734183"/>
    <w:rsid w:val="007342BA"/>
    <w:rsid w:val="00734BF5"/>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57F5D"/>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D01"/>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044"/>
    <w:rsid w:val="00797889"/>
    <w:rsid w:val="007A0590"/>
    <w:rsid w:val="007A10B4"/>
    <w:rsid w:val="007A2523"/>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D59"/>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3913"/>
    <w:rsid w:val="007F39A8"/>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1029"/>
    <w:rsid w:val="00861C84"/>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498"/>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3E4A"/>
    <w:rsid w:val="008A3E62"/>
    <w:rsid w:val="008A4573"/>
    <w:rsid w:val="008A4617"/>
    <w:rsid w:val="008A48F1"/>
    <w:rsid w:val="008A496F"/>
    <w:rsid w:val="008A4C96"/>
    <w:rsid w:val="008A4F1E"/>
    <w:rsid w:val="008A606C"/>
    <w:rsid w:val="008A646A"/>
    <w:rsid w:val="008A757D"/>
    <w:rsid w:val="008A76AF"/>
    <w:rsid w:val="008B0CCC"/>
    <w:rsid w:val="008B10B9"/>
    <w:rsid w:val="008B1593"/>
    <w:rsid w:val="008B25EF"/>
    <w:rsid w:val="008B2B85"/>
    <w:rsid w:val="008B38C4"/>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617"/>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A5A"/>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1A49"/>
    <w:rsid w:val="00962944"/>
    <w:rsid w:val="0096382F"/>
    <w:rsid w:val="00963CF9"/>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5779"/>
    <w:rsid w:val="009764F6"/>
    <w:rsid w:val="0098067B"/>
    <w:rsid w:val="00980B17"/>
    <w:rsid w:val="009813C9"/>
    <w:rsid w:val="00981567"/>
    <w:rsid w:val="00981F99"/>
    <w:rsid w:val="00982782"/>
    <w:rsid w:val="00982D18"/>
    <w:rsid w:val="00983BE0"/>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AFE"/>
    <w:rsid w:val="00991D59"/>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A11AF"/>
    <w:rsid w:val="009A1346"/>
    <w:rsid w:val="009A1830"/>
    <w:rsid w:val="009A1DE5"/>
    <w:rsid w:val="009A222B"/>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6CA7"/>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6DC"/>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B7F"/>
    <w:rsid w:val="00AA2704"/>
    <w:rsid w:val="00AA35B2"/>
    <w:rsid w:val="00AA439F"/>
    <w:rsid w:val="00AA48D2"/>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44CA"/>
    <w:rsid w:val="00AC4DFB"/>
    <w:rsid w:val="00AC58A2"/>
    <w:rsid w:val="00AC5EF0"/>
    <w:rsid w:val="00AC6F03"/>
    <w:rsid w:val="00AC776D"/>
    <w:rsid w:val="00AC7D83"/>
    <w:rsid w:val="00AD0507"/>
    <w:rsid w:val="00AD07FC"/>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E01E7"/>
    <w:rsid w:val="00AE0744"/>
    <w:rsid w:val="00AE1154"/>
    <w:rsid w:val="00AE1512"/>
    <w:rsid w:val="00AE1A1B"/>
    <w:rsid w:val="00AE1D39"/>
    <w:rsid w:val="00AE20AB"/>
    <w:rsid w:val="00AE3792"/>
    <w:rsid w:val="00AE37C9"/>
    <w:rsid w:val="00AE395B"/>
    <w:rsid w:val="00AE3976"/>
    <w:rsid w:val="00AE3EB6"/>
    <w:rsid w:val="00AE4AFB"/>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6F5"/>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2B5D"/>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418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9DE"/>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97DBF"/>
    <w:rsid w:val="00BA0601"/>
    <w:rsid w:val="00BA0B8A"/>
    <w:rsid w:val="00BA16B5"/>
    <w:rsid w:val="00BA1C43"/>
    <w:rsid w:val="00BA29AA"/>
    <w:rsid w:val="00BA2A0F"/>
    <w:rsid w:val="00BA2E3E"/>
    <w:rsid w:val="00BA3447"/>
    <w:rsid w:val="00BA3D70"/>
    <w:rsid w:val="00BA5975"/>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1E4"/>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9B6"/>
    <w:rsid w:val="00BF1C82"/>
    <w:rsid w:val="00BF2254"/>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A9D"/>
    <w:rsid w:val="00C02067"/>
    <w:rsid w:val="00C0240E"/>
    <w:rsid w:val="00C026F8"/>
    <w:rsid w:val="00C027F1"/>
    <w:rsid w:val="00C028BE"/>
    <w:rsid w:val="00C0296E"/>
    <w:rsid w:val="00C02AFC"/>
    <w:rsid w:val="00C02DA7"/>
    <w:rsid w:val="00C030A2"/>
    <w:rsid w:val="00C03418"/>
    <w:rsid w:val="00C0384E"/>
    <w:rsid w:val="00C03C82"/>
    <w:rsid w:val="00C03D61"/>
    <w:rsid w:val="00C0457B"/>
    <w:rsid w:val="00C049E0"/>
    <w:rsid w:val="00C075C8"/>
    <w:rsid w:val="00C101F6"/>
    <w:rsid w:val="00C10E0A"/>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3822"/>
    <w:rsid w:val="00C2490C"/>
    <w:rsid w:val="00C24B17"/>
    <w:rsid w:val="00C24C9A"/>
    <w:rsid w:val="00C25095"/>
    <w:rsid w:val="00C26C6F"/>
    <w:rsid w:val="00C27A1B"/>
    <w:rsid w:val="00C31820"/>
    <w:rsid w:val="00C324A1"/>
    <w:rsid w:val="00C328D2"/>
    <w:rsid w:val="00C32F75"/>
    <w:rsid w:val="00C3332C"/>
    <w:rsid w:val="00C335F5"/>
    <w:rsid w:val="00C354B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8FA"/>
    <w:rsid w:val="00CA0A30"/>
    <w:rsid w:val="00CA0AA6"/>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CDF"/>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672"/>
    <w:rsid w:val="00D10EA6"/>
    <w:rsid w:val="00D10F22"/>
    <w:rsid w:val="00D1139A"/>
    <w:rsid w:val="00D11488"/>
    <w:rsid w:val="00D11695"/>
    <w:rsid w:val="00D11C97"/>
    <w:rsid w:val="00D125C9"/>
    <w:rsid w:val="00D13EF8"/>
    <w:rsid w:val="00D142CA"/>
    <w:rsid w:val="00D148AC"/>
    <w:rsid w:val="00D1520B"/>
    <w:rsid w:val="00D164AD"/>
    <w:rsid w:val="00D164E5"/>
    <w:rsid w:val="00D166ED"/>
    <w:rsid w:val="00D17D5A"/>
    <w:rsid w:val="00D17EE3"/>
    <w:rsid w:val="00D20A27"/>
    <w:rsid w:val="00D2114D"/>
    <w:rsid w:val="00D21441"/>
    <w:rsid w:val="00D222B5"/>
    <w:rsid w:val="00D223D2"/>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3D7"/>
    <w:rsid w:val="00D55707"/>
    <w:rsid w:val="00D55A93"/>
    <w:rsid w:val="00D55EDA"/>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E7B"/>
    <w:rsid w:val="00D702B1"/>
    <w:rsid w:val="00D704F2"/>
    <w:rsid w:val="00D70897"/>
    <w:rsid w:val="00D70B1D"/>
    <w:rsid w:val="00D70CD3"/>
    <w:rsid w:val="00D71BEE"/>
    <w:rsid w:val="00D7216B"/>
    <w:rsid w:val="00D72355"/>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19AC"/>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8"/>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1729"/>
    <w:rsid w:val="00E337BE"/>
    <w:rsid w:val="00E3383E"/>
    <w:rsid w:val="00E34FE7"/>
    <w:rsid w:val="00E3531F"/>
    <w:rsid w:val="00E3573D"/>
    <w:rsid w:val="00E35881"/>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6E4"/>
    <w:rsid w:val="00E57AC2"/>
    <w:rsid w:val="00E57ADC"/>
    <w:rsid w:val="00E57E7D"/>
    <w:rsid w:val="00E57FDD"/>
    <w:rsid w:val="00E6031B"/>
    <w:rsid w:val="00E60EB6"/>
    <w:rsid w:val="00E61FA5"/>
    <w:rsid w:val="00E64218"/>
    <w:rsid w:val="00E65682"/>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D05"/>
    <w:rsid w:val="00E82631"/>
    <w:rsid w:val="00E8280A"/>
    <w:rsid w:val="00E82D94"/>
    <w:rsid w:val="00E83830"/>
    <w:rsid w:val="00E83E1E"/>
    <w:rsid w:val="00E842A8"/>
    <w:rsid w:val="00E84804"/>
    <w:rsid w:val="00E85265"/>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6"/>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AB0"/>
    <w:rsid w:val="00EC4D4C"/>
    <w:rsid w:val="00EC545A"/>
    <w:rsid w:val="00EC55DC"/>
    <w:rsid w:val="00EC5C1D"/>
    <w:rsid w:val="00EC5CE7"/>
    <w:rsid w:val="00EC6088"/>
    <w:rsid w:val="00EC6535"/>
    <w:rsid w:val="00EC684F"/>
    <w:rsid w:val="00ED05D5"/>
    <w:rsid w:val="00ED067C"/>
    <w:rsid w:val="00ED0AB8"/>
    <w:rsid w:val="00ED0AD2"/>
    <w:rsid w:val="00ED0C1C"/>
    <w:rsid w:val="00ED0FD0"/>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770"/>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11AB"/>
    <w:rsid w:val="00F32014"/>
    <w:rsid w:val="00F32E44"/>
    <w:rsid w:val="00F32E65"/>
    <w:rsid w:val="00F33BD7"/>
    <w:rsid w:val="00F33D99"/>
    <w:rsid w:val="00F34359"/>
    <w:rsid w:val="00F345DC"/>
    <w:rsid w:val="00F34A00"/>
    <w:rsid w:val="00F34A44"/>
    <w:rsid w:val="00F34A9C"/>
    <w:rsid w:val="00F35010"/>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99"/>
    <w:rsid w:val="00F45AE1"/>
    <w:rsid w:val="00F467EB"/>
    <w:rsid w:val="00F507BE"/>
    <w:rsid w:val="00F50921"/>
    <w:rsid w:val="00F50A4B"/>
    <w:rsid w:val="00F50A5A"/>
    <w:rsid w:val="00F50C4E"/>
    <w:rsid w:val="00F50F00"/>
    <w:rsid w:val="00F50F32"/>
    <w:rsid w:val="00F518DE"/>
    <w:rsid w:val="00F52971"/>
    <w:rsid w:val="00F52B47"/>
    <w:rsid w:val="00F53F81"/>
    <w:rsid w:val="00F54380"/>
    <w:rsid w:val="00F5496E"/>
    <w:rsid w:val="00F55150"/>
    <w:rsid w:val="00F55310"/>
    <w:rsid w:val="00F56461"/>
    <w:rsid w:val="00F56DCF"/>
    <w:rsid w:val="00F571A2"/>
    <w:rsid w:val="00F57BF2"/>
    <w:rsid w:val="00F57C6B"/>
    <w:rsid w:val="00F57EE2"/>
    <w:rsid w:val="00F60A31"/>
    <w:rsid w:val="00F61683"/>
    <w:rsid w:val="00F61E7E"/>
    <w:rsid w:val="00F6252E"/>
    <w:rsid w:val="00F62732"/>
    <w:rsid w:val="00F62DA3"/>
    <w:rsid w:val="00F62FDE"/>
    <w:rsid w:val="00F63375"/>
    <w:rsid w:val="00F63CBB"/>
    <w:rsid w:val="00F63CF4"/>
    <w:rsid w:val="00F6402F"/>
    <w:rsid w:val="00F6414B"/>
    <w:rsid w:val="00F64310"/>
    <w:rsid w:val="00F643ED"/>
    <w:rsid w:val="00F643EF"/>
    <w:rsid w:val="00F64F03"/>
    <w:rsid w:val="00F64FE4"/>
    <w:rsid w:val="00F65077"/>
    <w:rsid w:val="00F66113"/>
    <w:rsid w:val="00F6696B"/>
    <w:rsid w:val="00F66A56"/>
    <w:rsid w:val="00F67BFE"/>
    <w:rsid w:val="00F70CBC"/>
    <w:rsid w:val="00F70E79"/>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426"/>
    <w:rsid w:val="00F84573"/>
    <w:rsid w:val="00F84B49"/>
    <w:rsid w:val="00F85D9A"/>
    <w:rsid w:val="00F86D20"/>
    <w:rsid w:val="00F87D7A"/>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34"/>
    <w:rsid w:val="00FA1D7B"/>
    <w:rsid w:val="00FA1EFC"/>
    <w:rsid w:val="00FA2032"/>
    <w:rsid w:val="00FA27E5"/>
    <w:rsid w:val="00FA28E6"/>
    <w:rsid w:val="00FA308D"/>
    <w:rsid w:val="00FA3A7B"/>
    <w:rsid w:val="00FA41E8"/>
    <w:rsid w:val="00FA46D1"/>
    <w:rsid w:val="00FA546B"/>
    <w:rsid w:val="00FA5942"/>
    <w:rsid w:val="00FA5F27"/>
    <w:rsid w:val="00FA6B64"/>
    <w:rsid w:val="00FA6BB3"/>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F69"/>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F6E"/>
    <w:rsid w:val="00FC2170"/>
    <w:rsid w:val="00FC219B"/>
    <w:rsid w:val="00FC384D"/>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6E2"/>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B4FFC-D11F-469D-B528-7B55F439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216</Words>
  <Characters>1232</Characters>
  <Application>Microsoft Office Word</Application>
  <DocSecurity>0</DocSecurity>
  <Lines>10</Lines>
  <Paragraphs>2</Paragraphs>
  <ScaleCrop>false</ScaleCrop>
  <Company>HOME</Company>
  <LinksUpToDate>false</LinksUpToDate>
  <CharactersWithSpaces>1446</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2024-10-29T03:24:00Z</dcterms:created>
  <dcterms:modified xsi:type="dcterms:W3CDTF">2024-10-29T03:24:00Z</dcterms:modified>
</cp:coreProperties>
</file>