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CC5F13" w:rsidRPr="00CB16AB" w:rsidRDefault="00CC5F13" w:rsidP="00CC5F13">
      <w:pPr>
        <w:pStyle w:val="14"/>
      </w:pPr>
      <w:bookmarkStart w:id="2" w:name="_Toc181190085"/>
      <w:bookmarkEnd w:id="1"/>
      <w:r w:rsidRPr="00CB16AB">
        <w:t>三</w:t>
      </w:r>
      <w:r w:rsidRPr="00CB16AB">
        <w:rPr>
          <w:rFonts w:hint="eastAsia"/>
        </w:rPr>
        <w:t>、</w:t>
      </w:r>
      <w:r w:rsidR="00954403" w:rsidRPr="00CB16AB">
        <w:rPr>
          <w:rFonts w:hint="eastAsia"/>
        </w:rPr>
        <w:t>受氣候變遷影響，</w:t>
      </w:r>
      <w:r w:rsidRPr="00CB16AB">
        <w:rPr>
          <w:rFonts w:hint="eastAsia"/>
        </w:rPr>
        <w:t>連3年度</w:t>
      </w:r>
      <w:r w:rsidR="005D577E" w:rsidRPr="00CB16AB">
        <w:rPr>
          <w:rFonts w:hint="eastAsia"/>
        </w:rPr>
        <w:t>所屬農場之農產品(果品、杭菊)</w:t>
      </w:r>
      <w:r w:rsidRPr="00CB16AB">
        <w:rPr>
          <w:rFonts w:hint="eastAsia"/>
        </w:rPr>
        <w:t>產銷數量</w:t>
      </w:r>
      <w:r w:rsidR="005D577E" w:rsidRPr="00CB16AB">
        <w:rPr>
          <w:rFonts w:hint="eastAsia"/>
        </w:rPr>
        <w:t>均</w:t>
      </w:r>
      <w:r w:rsidRPr="00CB16AB">
        <w:rPr>
          <w:rFonts w:hint="eastAsia"/>
        </w:rPr>
        <w:t>不如預期，允宜妥為因應氣候變遷農產調適作為，以促進農產之韌性與產銷績效</w:t>
      </w:r>
      <w:bookmarkEnd w:id="2"/>
    </w:p>
    <w:p w:rsidR="00CC5F13" w:rsidRPr="00CB16AB" w:rsidRDefault="00CC5F13" w:rsidP="00CC5F13">
      <w:pPr>
        <w:rPr>
          <w:rFonts w:hint="eastAsia"/>
          <w:snapToGrid w:val="0"/>
        </w:rPr>
      </w:pPr>
      <w:r w:rsidRPr="00CB16AB">
        <w:rPr>
          <w:rFonts w:hint="eastAsia"/>
          <w:snapToGrid w:val="0"/>
        </w:rPr>
        <w:t>安置基金114年度主要農產品預計產銷數量包括果品13萬5,300公斤，較113年度</w:t>
      </w:r>
      <w:r w:rsidR="004652F6" w:rsidRPr="00CB16AB">
        <w:rPr>
          <w:rFonts w:hint="eastAsia"/>
          <w:snapToGrid w:val="0"/>
        </w:rPr>
        <w:t>預算之14萬800公斤</w:t>
      </w:r>
      <w:r w:rsidR="004652F6" w:rsidRPr="00CB16AB">
        <w:rPr>
          <w:rFonts w:hAnsi="標楷體" w:hint="eastAsia"/>
          <w:snapToGrid w:val="0"/>
        </w:rPr>
        <w:t>，</w:t>
      </w:r>
      <w:r w:rsidRPr="00CB16AB">
        <w:rPr>
          <w:rFonts w:hint="eastAsia"/>
          <w:snapToGrid w:val="0"/>
        </w:rPr>
        <w:t>減少5,500公斤；香米、黑糯米1萬3,750公斤，同113年度預算數；茶葉1萬4,820公斤，較113年度預算</w:t>
      </w:r>
      <w:r w:rsidR="004652F6" w:rsidRPr="00CB16AB">
        <w:rPr>
          <w:rFonts w:hint="eastAsia"/>
          <w:snapToGrid w:val="0"/>
        </w:rPr>
        <w:t>之1萬4,520公斤</w:t>
      </w:r>
      <w:r w:rsidR="004652F6" w:rsidRPr="00CB16AB">
        <w:rPr>
          <w:rFonts w:hAnsi="標楷體" w:hint="eastAsia"/>
          <w:snapToGrid w:val="0"/>
        </w:rPr>
        <w:t>，</w:t>
      </w:r>
      <w:r w:rsidRPr="00CB16AB">
        <w:rPr>
          <w:rFonts w:hint="eastAsia"/>
          <w:snapToGrid w:val="0"/>
        </w:rPr>
        <w:t>增</w:t>
      </w:r>
      <w:r w:rsidR="004652F6" w:rsidRPr="00CB16AB">
        <w:rPr>
          <w:rFonts w:hint="eastAsia"/>
          <w:snapToGrid w:val="0"/>
        </w:rPr>
        <w:t>加</w:t>
      </w:r>
      <w:r w:rsidRPr="00CB16AB">
        <w:rPr>
          <w:rFonts w:hint="eastAsia"/>
          <w:snapToGrid w:val="0"/>
        </w:rPr>
        <w:t>300公斤；杭菊</w:t>
      </w:r>
      <w:r w:rsidRPr="00CB16AB">
        <w:rPr>
          <w:snapToGrid w:val="0"/>
        </w:rPr>
        <w:t>400</w:t>
      </w:r>
      <w:r w:rsidRPr="00CB16AB">
        <w:rPr>
          <w:rFonts w:hint="eastAsia"/>
          <w:snapToGrid w:val="0"/>
        </w:rPr>
        <w:t>公斤，較113年度預算</w:t>
      </w:r>
      <w:r w:rsidR="004652F6" w:rsidRPr="00CB16AB">
        <w:rPr>
          <w:rFonts w:hint="eastAsia"/>
          <w:snapToGrid w:val="0"/>
        </w:rPr>
        <w:t>之</w:t>
      </w:r>
      <w:r w:rsidR="004652F6" w:rsidRPr="00CB16AB">
        <w:rPr>
          <w:snapToGrid w:val="0"/>
        </w:rPr>
        <w:t>550</w:t>
      </w:r>
      <w:r w:rsidR="004652F6" w:rsidRPr="00CB16AB">
        <w:rPr>
          <w:rFonts w:hint="eastAsia"/>
          <w:snapToGrid w:val="0"/>
        </w:rPr>
        <w:t>公斤</w:t>
      </w:r>
      <w:r w:rsidR="004652F6" w:rsidRPr="00CB16AB">
        <w:rPr>
          <w:rFonts w:hAnsi="標楷體" w:hint="eastAsia"/>
          <w:snapToGrid w:val="0"/>
        </w:rPr>
        <w:t>，</w:t>
      </w:r>
      <w:r w:rsidRPr="00CB16AB">
        <w:rPr>
          <w:rFonts w:hint="eastAsia"/>
          <w:snapToGrid w:val="0"/>
        </w:rPr>
        <w:t>減少150公斤。</w:t>
      </w:r>
      <w:r w:rsidR="004652F6" w:rsidRPr="00CB16AB">
        <w:rPr>
          <w:snapToGrid w:val="0"/>
        </w:rPr>
        <w:t>經查</w:t>
      </w:r>
      <w:r w:rsidRPr="00CB16AB">
        <w:rPr>
          <w:rFonts w:hint="eastAsia"/>
          <w:snapToGrid w:val="0"/>
        </w:rPr>
        <w:t>：</w:t>
      </w:r>
    </w:p>
    <w:p w:rsidR="00CC5F13" w:rsidRPr="00CB16AB" w:rsidRDefault="00CC5F13" w:rsidP="00CC5F13">
      <w:pPr>
        <w:pStyle w:val="a4"/>
        <w:rPr>
          <w:rFonts w:hint="eastAsia"/>
          <w:snapToGrid w:val="0"/>
        </w:rPr>
      </w:pPr>
      <w:r w:rsidRPr="00CB16AB">
        <w:rPr>
          <w:rFonts w:hint="eastAsia"/>
          <w:snapToGrid w:val="0"/>
        </w:rPr>
        <w:t>(一)受氣候變遷影響，</w:t>
      </w:r>
      <w:r w:rsidR="005D577E" w:rsidRPr="00CB16AB">
        <w:rPr>
          <w:rFonts w:hint="eastAsia"/>
          <w:snapToGrid w:val="0"/>
        </w:rPr>
        <w:t>連3(110至112)年度所屬農場之農產品(果品、杭菊)產銷數量均不如預期</w:t>
      </w:r>
    </w:p>
    <w:p w:rsidR="00CC5F13" w:rsidRPr="00CB16AB" w:rsidRDefault="00CC5F13" w:rsidP="00954403">
      <w:pPr>
        <w:pStyle w:val="21"/>
        <w:rPr>
          <w:rFonts w:hint="eastAsia"/>
          <w:snapToGrid w:val="0"/>
        </w:rPr>
      </w:pPr>
      <w:r w:rsidRPr="00CB16AB">
        <w:rPr>
          <w:snapToGrid w:val="0"/>
        </w:rPr>
        <w:t>檢視</w:t>
      </w:r>
      <w:r w:rsidRPr="00CB16AB">
        <w:rPr>
          <w:rFonts w:hint="eastAsia"/>
          <w:snapToGrid w:val="0"/>
        </w:rPr>
        <w:t>安置基金</w:t>
      </w:r>
      <w:r w:rsidR="005D577E" w:rsidRPr="00CB16AB">
        <w:rPr>
          <w:rFonts w:hint="eastAsia"/>
          <w:snapToGrid w:val="0"/>
        </w:rPr>
        <w:t>所屬農場近年度主要農產品產銷數量達標情形</w:t>
      </w:r>
      <w:r w:rsidR="001E3B05" w:rsidRPr="00CB16AB">
        <w:rPr>
          <w:rFonts w:hint="eastAsia"/>
          <w:snapToGrid w:val="0"/>
        </w:rPr>
        <w:t>(詳表1)</w:t>
      </w:r>
      <w:r w:rsidRPr="00CB16AB">
        <w:rPr>
          <w:rFonts w:hint="eastAsia"/>
          <w:snapToGrid w:val="0"/>
        </w:rPr>
        <w:t>，</w:t>
      </w:r>
      <w:r w:rsidR="00954403" w:rsidRPr="00CB16AB">
        <w:rPr>
          <w:rFonts w:hint="eastAsia"/>
          <w:snapToGrid w:val="0"/>
        </w:rPr>
        <w:t>該基金主要農產品包括果品、香米及黑糯米、茶葉、</w:t>
      </w:r>
      <w:r w:rsidR="00954403" w:rsidRPr="00CB16AB">
        <w:rPr>
          <w:rFonts w:hint="eastAsia"/>
          <w:snapToGrid w:val="0"/>
        </w:rPr>
        <w:lastRenderedPageBreak/>
        <w:t>猴頭菇及杭菊等項目</w:t>
      </w:r>
      <w:r w:rsidR="00954403" w:rsidRPr="00CB16AB">
        <w:rPr>
          <w:rFonts w:hAnsi="標楷體" w:hint="eastAsia"/>
          <w:snapToGrid w:val="0"/>
        </w:rPr>
        <w:t>，</w:t>
      </w:r>
      <w:r w:rsidR="00954403" w:rsidRPr="00CB16AB">
        <w:rPr>
          <w:rFonts w:hint="eastAsia"/>
          <w:snapToGrid w:val="0"/>
        </w:rPr>
        <w:t>其中</w:t>
      </w:r>
      <w:r w:rsidR="00FD595A" w:rsidRPr="00CB16AB">
        <w:rPr>
          <w:rFonts w:hint="eastAsia"/>
          <w:snapToGrid w:val="0"/>
        </w:rPr>
        <w:t>110至112年度</w:t>
      </w:r>
      <w:r w:rsidR="001E3B05" w:rsidRPr="00CB16AB">
        <w:rPr>
          <w:rFonts w:hint="eastAsia"/>
          <w:snapToGrid w:val="0"/>
        </w:rPr>
        <w:t>農產品(果品)</w:t>
      </w:r>
      <w:r w:rsidRPr="00CB16AB">
        <w:rPr>
          <w:rFonts w:hint="eastAsia"/>
          <w:snapToGrid w:val="0"/>
        </w:rPr>
        <w:t>產銷數量</w:t>
      </w:r>
      <w:r w:rsidR="001E3B05" w:rsidRPr="00CB16AB">
        <w:rPr>
          <w:rFonts w:hint="eastAsia"/>
          <w:snapToGrid w:val="0"/>
        </w:rPr>
        <w:t>之</w:t>
      </w:r>
      <w:r w:rsidRPr="00CB16AB">
        <w:rPr>
          <w:rFonts w:hint="eastAsia"/>
          <w:snapToGrid w:val="0"/>
        </w:rPr>
        <w:t>達標率分別為</w:t>
      </w:r>
      <w:r w:rsidR="001E3B05" w:rsidRPr="00CB16AB">
        <w:rPr>
          <w:snapToGrid w:val="0"/>
        </w:rPr>
        <w:t>0.69</w:t>
      </w:r>
      <w:r w:rsidRPr="00CB16AB">
        <w:rPr>
          <w:rFonts w:hint="eastAsia"/>
          <w:snapToGrid w:val="0"/>
        </w:rPr>
        <w:t>、</w:t>
      </w:r>
      <w:r w:rsidR="001E3B05" w:rsidRPr="00CB16AB">
        <w:rPr>
          <w:snapToGrid w:val="0"/>
        </w:rPr>
        <w:t>0.27</w:t>
      </w:r>
      <w:r w:rsidRPr="00CB16AB">
        <w:rPr>
          <w:rFonts w:hint="eastAsia"/>
          <w:snapToGrid w:val="0"/>
        </w:rPr>
        <w:t>及</w:t>
      </w:r>
      <w:r w:rsidR="001E3B05" w:rsidRPr="00CB16AB">
        <w:rPr>
          <w:snapToGrid w:val="0"/>
        </w:rPr>
        <w:t>0.35</w:t>
      </w:r>
      <w:r w:rsidR="001E3B05" w:rsidRPr="00CB16AB">
        <w:rPr>
          <w:rFonts w:hAnsi="標楷體" w:hint="eastAsia"/>
          <w:snapToGrid w:val="0"/>
        </w:rPr>
        <w:t>，</w:t>
      </w:r>
      <w:r w:rsidR="005D577E" w:rsidRPr="00CB16AB">
        <w:rPr>
          <w:rFonts w:hAnsi="標楷體" w:hint="eastAsia"/>
          <w:snapToGrid w:val="0"/>
        </w:rPr>
        <w:t>各</w:t>
      </w:r>
      <w:r w:rsidR="00FD595A" w:rsidRPr="00CB16AB">
        <w:rPr>
          <w:rFonts w:hAnsi="標楷體" w:hint="eastAsia"/>
          <w:snapToGrid w:val="0"/>
        </w:rPr>
        <w:t>年度產銷數量</w:t>
      </w:r>
      <w:r w:rsidR="001E3B05" w:rsidRPr="00CB16AB">
        <w:rPr>
          <w:rFonts w:hint="eastAsia"/>
          <w:snapToGrid w:val="0"/>
        </w:rPr>
        <w:t>均未達標</w:t>
      </w:r>
      <w:r w:rsidRPr="00CB16AB">
        <w:rPr>
          <w:rFonts w:hint="eastAsia"/>
          <w:snapToGrid w:val="0"/>
        </w:rPr>
        <w:t>，</w:t>
      </w:r>
      <w:r w:rsidR="001E3B05" w:rsidRPr="00CB16AB">
        <w:rPr>
          <w:rFonts w:hint="eastAsia"/>
          <w:snapToGrid w:val="0"/>
        </w:rPr>
        <w:t>主</w:t>
      </w:r>
      <w:r w:rsidRPr="00CB16AB">
        <w:rPr>
          <w:rFonts w:hint="eastAsia"/>
          <w:snapToGrid w:val="0"/>
        </w:rPr>
        <w:t>係受颱風侵襲、溫寒害、缺水影響，果樹開花結果不如預期及福壽山農場蘋果產量較預計減少所致；另</w:t>
      </w:r>
      <w:r w:rsidR="00954403" w:rsidRPr="00CB16AB">
        <w:rPr>
          <w:rFonts w:hint="eastAsia"/>
          <w:snapToGrid w:val="0"/>
        </w:rPr>
        <w:t>其他農產品部分111及112年度</w:t>
      </w:r>
      <w:r w:rsidR="00FD595A" w:rsidRPr="00CB16AB">
        <w:rPr>
          <w:rFonts w:hint="eastAsia"/>
          <w:snapToGrid w:val="0"/>
        </w:rPr>
        <w:t>產銷數量未達標</w:t>
      </w:r>
      <w:r w:rsidR="00954403" w:rsidRPr="00CB16AB">
        <w:rPr>
          <w:rFonts w:hint="eastAsia"/>
          <w:snapToGrid w:val="0"/>
        </w:rPr>
        <w:t>項目</w:t>
      </w:r>
      <w:r w:rsidRPr="00CB16AB">
        <w:rPr>
          <w:rFonts w:hint="eastAsia"/>
          <w:snapToGrid w:val="0"/>
        </w:rPr>
        <w:t>包括香米與黑糯米</w:t>
      </w:r>
      <w:r w:rsidR="00FD595A" w:rsidRPr="00CB16AB">
        <w:rPr>
          <w:rFonts w:hint="eastAsia"/>
          <w:snapToGrid w:val="0"/>
        </w:rPr>
        <w:t>各為0.64、</w:t>
      </w:r>
      <w:r w:rsidR="00FD595A" w:rsidRPr="00CB16AB">
        <w:rPr>
          <w:snapToGrid w:val="0"/>
        </w:rPr>
        <w:t>0.50</w:t>
      </w:r>
      <w:r w:rsidR="00FD595A" w:rsidRPr="00CB16AB">
        <w:rPr>
          <w:rFonts w:hint="eastAsia"/>
          <w:snapToGrid w:val="0"/>
        </w:rPr>
        <w:t>及猴頭菇各為</w:t>
      </w:r>
      <w:r w:rsidR="00FD595A" w:rsidRPr="00CB16AB">
        <w:rPr>
          <w:snapToGrid w:val="0"/>
        </w:rPr>
        <w:t>0.80</w:t>
      </w:r>
      <w:r w:rsidR="00FD595A" w:rsidRPr="00CB16AB">
        <w:rPr>
          <w:rFonts w:hint="eastAsia"/>
          <w:snapToGrid w:val="0"/>
        </w:rPr>
        <w:t>、</w:t>
      </w:r>
      <w:r w:rsidR="00FD595A" w:rsidRPr="00CB16AB">
        <w:rPr>
          <w:snapToGrid w:val="0"/>
        </w:rPr>
        <w:t>0.72與</w:t>
      </w:r>
      <w:r w:rsidR="00FD595A" w:rsidRPr="00CB16AB">
        <w:rPr>
          <w:rFonts w:hint="eastAsia"/>
          <w:snapToGrid w:val="0"/>
        </w:rPr>
        <w:t>杭菊各為</w:t>
      </w:r>
      <w:r w:rsidR="00FD595A" w:rsidRPr="00CB16AB">
        <w:rPr>
          <w:snapToGrid w:val="0"/>
        </w:rPr>
        <w:t>0.98</w:t>
      </w:r>
      <w:r w:rsidR="00FD595A" w:rsidRPr="00CB16AB">
        <w:rPr>
          <w:rFonts w:hint="eastAsia"/>
          <w:snapToGrid w:val="0"/>
        </w:rPr>
        <w:t>、</w:t>
      </w:r>
      <w:r w:rsidR="00FD595A" w:rsidRPr="00CB16AB">
        <w:rPr>
          <w:snapToGrid w:val="0"/>
        </w:rPr>
        <w:t>0.27</w:t>
      </w:r>
      <w:r w:rsidR="00FD595A" w:rsidRPr="00CB16AB">
        <w:rPr>
          <w:rFonts w:hAnsi="標楷體" w:hint="eastAsia"/>
          <w:snapToGrid w:val="0"/>
        </w:rPr>
        <w:t>，</w:t>
      </w:r>
      <w:r w:rsidR="00FD595A" w:rsidRPr="00CB16AB">
        <w:rPr>
          <w:snapToGrid w:val="0"/>
        </w:rPr>
        <w:t>其中</w:t>
      </w:r>
      <w:r w:rsidR="00FD595A" w:rsidRPr="00CB16AB">
        <w:rPr>
          <w:rFonts w:hint="eastAsia"/>
          <w:snapToGrid w:val="0"/>
        </w:rPr>
        <w:t>杭菊</w:t>
      </w:r>
      <w:r w:rsidR="00954403" w:rsidRPr="00CB16AB">
        <w:rPr>
          <w:rFonts w:hint="eastAsia"/>
          <w:snapToGrid w:val="0"/>
        </w:rPr>
        <w:t>部分亦</w:t>
      </w:r>
      <w:r w:rsidR="00FD595A" w:rsidRPr="00CB16AB">
        <w:rPr>
          <w:rFonts w:hint="eastAsia"/>
          <w:snapToGrid w:val="0"/>
        </w:rPr>
        <w:t>連續3</w:t>
      </w:r>
      <w:r w:rsidR="00954403" w:rsidRPr="00CB16AB">
        <w:rPr>
          <w:rFonts w:hint="eastAsia"/>
          <w:snapToGrid w:val="0"/>
        </w:rPr>
        <w:t>(110至112)</w:t>
      </w:r>
      <w:r w:rsidR="00FD595A" w:rsidRPr="00CB16AB">
        <w:rPr>
          <w:rFonts w:hint="eastAsia"/>
          <w:snapToGrid w:val="0"/>
        </w:rPr>
        <w:t>年度產銷數量未達標</w:t>
      </w:r>
      <w:r w:rsidR="007759EE" w:rsidRPr="00CB16AB">
        <w:rPr>
          <w:rFonts w:hAnsi="標楷體" w:hint="eastAsia"/>
          <w:snapToGrid w:val="0"/>
        </w:rPr>
        <w:t>。</w:t>
      </w:r>
      <w:r w:rsidR="005D577E" w:rsidRPr="00CB16AB">
        <w:rPr>
          <w:rFonts w:hint="eastAsia"/>
          <w:snapToGrid w:val="0"/>
        </w:rPr>
        <w:t>由上揭數據可悉</w:t>
      </w:r>
      <w:r w:rsidRPr="00CB16AB">
        <w:rPr>
          <w:rFonts w:hint="eastAsia"/>
          <w:snapToGrid w:val="0"/>
        </w:rPr>
        <w:t>，</w:t>
      </w:r>
      <w:r w:rsidR="005D577E" w:rsidRPr="00CB16AB">
        <w:rPr>
          <w:rFonts w:hint="eastAsia"/>
          <w:snapToGrid w:val="0"/>
        </w:rPr>
        <w:t>該</w:t>
      </w:r>
      <w:r w:rsidRPr="00CB16AB">
        <w:rPr>
          <w:rFonts w:hint="eastAsia"/>
          <w:snapToGrid w:val="0"/>
        </w:rPr>
        <w:t>基金所屬農場部分農產品近年產銷數量減少，與氣候變遷所帶來風險息息相關。</w:t>
      </w:r>
    </w:p>
    <w:p w:rsidR="00954403" w:rsidRPr="00CB16AB" w:rsidRDefault="00CC5F13" w:rsidP="00954403">
      <w:pPr>
        <w:ind w:leftChars="-5" w:left="685" w:rightChars="-2" w:right="-6" w:hangingChars="250" w:hanging="699"/>
        <w:jc w:val="left"/>
        <w:rPr>
          <w:rFonts w:hAnsi="標楷體" w:hint="eastAsia"/>
          <w:b/>
          <w:spacing w:val="-2"/>
          <w:szCs w:val="20"/>
        </w:rPr>
      </w:pPr>
      <w:r w:rsidRPr="00CB16AB">
        <w:rPr>
          <w:rFonts w:hAnsi="標楷體" w:hint="eastAsia"/>
          <w:b/>
          <w:spacing w:val="-2"/>
          <w:szCs w:val="20"/>
        </w:rPr>
        <w:t xml:space="preserve">表1 </w:t>
      </w:r>
      <w:r w:rsidR="005D577E" w:rsidRPr="00CB16AB">
        <w:rPr>
          <w:rFonts w:hAnsi="標楷體" w:hint="eastAsia"/>
          <w:b/>
          <w:spacing w:val="-2"/>
          <w:szCs w:val="20"/>
        </w:rPr>
        <w:t>110至112年</w:t>
      </w:r>
      <w:r w:rsidR="00954403" w:rsidRPr="00CB16AB">
        <w:rPr>
          <w:rFonts w:hAnsi="標楷體" w:hint="eastAsia"/>
          <w:b/>
          <w:spacing w:val="-2"/>
          <w:szCs w:val="20"/>
        </w:rPr>
        <w:t>度</w:t>
      </w:r>
      <w:r w:rsidRPr="00CB16AB">
        <w:rPr>
          <w:rFonts w:hAnsi="標楷體" w:hint="eastAsia"/>
          <w:b/>
          <w:spacing w:val="-2"/>
          <w:szCs w:val="20"/>
        </w:rPr>
        <w:t>安置基金所屬農場</w:t>
      </w:r>
      <w:r w:rsidR="00954403" w:rsidRPr="00CB16AB">
        <w:rPr>
          <w:rFonts w:hAnsi="標楷體" w:hint="eastAsia"/>
          <w:b/>
          <w:spacing w:val="-2"/>
          <w:szCs w:val="20"/>
        </w:rPr>
        <w:t>之</w:t>
      </w:r>
      <w:r w:rsidRPr="00CB16AB">
        <w:rPr>
          <w:rFonts w:hAnsi="標楷體" w:hint="eastAsia"/>
          <w:b/>
          <w:spacing w:val="-2"/>
          <w:szCs w:val="20"/>
        </w:rPr>
        <w:t>農產品產銷數量達標情形表</w:t>
      </w:r>
    </w:p>
    <w:p w:rsidR="00CC5F13" w:rsidRPr="00CB16AB" w:rsidRDefault="00CC5F13" w:rsidP="00850D77">
      <w:pPr>
        <w:spacing w:line="440" w:lineRule="exact"/>
        <w:ind w:leftChars="-5" w:left="525" w:rightChars="-2" w:right="-6" w:hangingChars="250" w:hanging="539"/>
        <w:jc w:val="right"/>
        <w:rPr>
          <w:rFonts w:hAnsi="標楷體" w:hint="eastAsia"/>
          <w:b/>
          <w:spacing w:val="-20"/>
          <w:w w:val="90"/>
          <w:szCs w:val="20"/>
        </w:rPr>
      </w:pPr>
      <w:r w:rsidRPr="00CB16AB">
        <w:rPr>
          <w:rFonts w:hAnsi="標楷體" w:hint="eastAsia"/>
          <w:b/>
          <w:spacing w:val="-20"/>
          <w:w w:val="90"/>
          <w:szCs w:val="20"/>
        </w:rPr>
        <w:t xml:space="preserve">                   </w:t>
      </w:r>
      <w:r w:rsidRPr="00CB16AB">
        <w:rPr>
          <w:rFonts w:hAnsi="標楷體" w:hint="eastAsia"/>
          <w:b/>
          <w:spacing w:val="-20"/>
          <w:w w:val="90"/>
          <w:sz w:val="24"/>
          <w:szCs w:val="24"/>
        </w:rPr>
        <w:t xml:space="preserve">                                               </w:t>
      </w:r>
      <w:r w:rsidR="00954403" w:rsidRPr="00CB16AB">
        <w:rPr>
          <w:rFonts w:hAnsi="標楷體" w:hint="eastAsia"/>
          <w:b/>
          <w:spacing w:val="-20"/>
          <w:w w:val="90"/>
          <w:sz w:val="24"/>
          <w:szCs w:val="24"/>
        </w:rPr>
        <w:t xml:space="preserve">        </w:t>
      </w:r>
      <w:r w:rsidRPr="00CB16AB">
        <w:rPr>
          <w:rFonts w:hAnsi="標楷體" w:hint="eastAsia"/>
          <w:b/>
          <w:spacing w:val="-20"/>
          <w:w w:val="90"/>
          <w:sz w:val="24"/>
          <w:szCs w:val="24"/>
        </w:rPr>
        <w:t xml:space="preserve"> </w:t>
      </w:r>
      <w:r w:rsidR="005E07DD" w:rsidRPr="00CB16AB">
        <w:rPr>
          <w:rFonts w:hAnsi="標楷體" w:hint="eastAsia"/>
          <w:b/>
          <w:spacing w:val="-20"/>
          <w:w w:val="90"/>
          <w:sz w:val="24"/>
          <w:szCs w:val="24"/>
        </w:rPr>
        <w:t xml:space="preserve">     </w:t>
      </w:r>
      <w:r w:rsidRPr="00CB16AB">
        <w:rPr>
          <w:rFonts w:hAnsi="標楷體" w:hint="eastAsia"/>
          <w:b/>
          <w:spacing w:val="-20"/>
          <w:w w:val="90"/>
          <w:sz w:val="24"/>
          <w:szCs w:val="24"/>
        </w:rPr>
        <w:t xml:space="preserve">     </w:t>
      </w:r>
      <w:r w:rsidRPr="00CB16AB">
        <w:rPr>
          <w:rFonts w:hAnsi="標楷體" w:cs="細明體" w:hint="eastAsia"/>
          <w:sz w:val="24"/>
          <w:szCs w:val="24"/>
        </w:rPr>
        <w:t>單位：公斤</w:t>
      </w:r>
      <w:r w:rsidRPr="00CB16AB">
        <w:rPr>
          <w:rFonts w:hAnsi="標楷體" w:hint="eastAsia"/>
          <w:b/>
          <w:spacing w:val="-20"/>
          <w:w w:val="90"/>
          <w:szCs w:val="20"/>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18"/>
        <w:gridCol w:w="1358"/>
        <w:gridCol w:w="1853"/>
        <w:gridCol w:w="1853"/>
        <w:gridCol w:w="1781"/>
      </w:tblGrid>
      <w:tr w:rsidR="00CC5F13" w:rsidRPr="00CB16AB" w:rsidTr="005720C7">
        <w:trPr>
          <w:tblHeader/>
          <w:jc w:val="center"/>
        </w:trPr>
        <w:tc>
          <w:tcPr>
            <w:tcW w:w="2976" w:type="dxa"/>
            <w:gridSpan w:val="2"/>
            <w:shd w:val="clear" w:color="auto" w:fill="auto"/>
          </w:tcPr>
          <w:p w:rsidR="00CC5F13" w:rsidRPr="00CB16AB" w:rsidRDefault="00954403" w:rsidP="001D3A08">
            <w:pPr>
              <w:pStyle w:val="141"/>
              <w:jc w:val="center"/>
              <w:rPr>
                <w:rFonts w:hint="eastAsia"/>
              </w:rPr>
            </w:pPr>
            <w:r w:rsidRPr="00CB16AB">
              <w:rPr>
                <w:rFonts w:hint="eastAsia"/>
              </w:rPr>
              <w:t>主要</w:t>
            </w:r>
            <w:r w:rsidR="00CC5F13" w:rsidRPr="00CB16AB">
              <w:rPr>
                <w:rFonts w:hint="eastAsia"/>
              </w:rPr>
              <w:t>農產品項目</w:t>
            </w:r>
            <w:r w:rsidR="001D3A08" w:rsidRPr="00CB16AB">
              <w:rPr>
                <w:rFonts w:hint="eastAsia"/>
              </w:rPr>
              <w:t>/年度</w:t>
            </w:r>
          </w:p>
        </w:tc>
        <w:tc>
          <w:tcPr>
            <w:tcW w:w="1853" w:type="dxa"/>
            <w:shd w:val="clear" w:color="auto" w:fill="auto"/>
            <w:vAlign w:val="center"/>
          </w:tcPr>
          <w:p w:rsidR="00CC5F13" w:rsidRPr="00CB16AB" w:rsidRDefault="00CC5F13" w:rsidP="00754823">
            <w:pPr>
              <w:pStyle w:val="141"/>
              <w:jc w:val="center"/>
              <w:rPr>
                <w:rFonts w:hint="eastAsia"/>
              </w:rPr>
            </w:pPr>
            <w:r w:rsidRPr="00CB16AB">
              <w:rPr>
                <w:rFonts w:hint="eastAsia"/>
              </w:rPr>
              <w:t>110</w:t>
            </w:r>
          </w:p>
        </w:tc>
        <w:tc>
          <w:tcPr>
            <w:tcW w:w="1853" w:type="dxa"/>
            <w:shd w:val="clear" w:color="auto" w:fill="auto"/>
            <w:vAlign w:val="center"/>
          </w:tcPr>
          <w:p w:rsidR="00CC5F13" w:rsidRPr="00CB16AB" w:rsidRDefault="00CC5F13" w:rsidP="00754823">
            <w:pPr>
              <w:pStyle w:val="141"/>
              <w:jc w:val="center"/>
              <w:rPr>
                <w:rFonts w:hint="eastAsia"/>
              </w:rPr>
            </w:pPr>
            <w:r w:rsidRPr="00CB16AB">
              <w:rPr>
                <w:rFonts w:hint="eastAsia"/>
              </w:rPr>
              <w:t>111</w:t>
            </w:r>
          </w:p>
        </w:tc>
        <w:tc>
          <w:tcPr>
            <w:tcW w:w="1781" w:type="dxa"/>
            <w:shd w:val="clear" w:color="auto" w:fill="auto"/>
            <w:vAlign w:val="center"/>
          </w:tcPr>
          <w:p w:rsidR="00CC5F13" w:rsidRPr="00CB16AB" w:rsidRDefault="00CC5F13" w:rsidP="00754823">
            <w:pPr>
              <w:pStyle w:val="141"/>
              <w:jc w:val="center"/>
              <w:rPr>
                <w:rFonts w:hint="eastAsia"/>
              </w:rPr>
            </w:pPr>
            <w:r w:rsidRPr="00CB16AB">
              <w:rPr>
                <w:rFonts w:hint="eastAsia"/>
              </w:rPr>
              <w:t>112</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果品</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226</w:t>
            </w:r>
            <w:r w:rsidRPr="00CB16AB">
              <w:t>,</w:t>
            </w:r>
            <w:r w:rsidRPr="00CB16AB">
              <w:rPr>
                <w:rFonts w:hint="eastAsia"/>
              </w:rPr>
              <w:t>685</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226</w:t>
            </w:r>
            <w:r w:rsidRPr="00CB16AB">
              <w:t>,</w:t>
            </w:r>
            <w:r w:rsidRPr="00CB16AB">
              <w:rPr>
                <w:rFonts w:hint="eastAsia"/>
              </w:rPr>
              <w:t>400</w:t>
            </w:r>
          </w:p>
        </w:tc>
        <w:tc>
          <w:tcPr>
            <w:tcW w:w="1781" w:type="dxa"/>
            <w:shd w:val="clear" w:color="auto" w:fill="auto"/>
            <w:vAlign w:val="center"/>
          </w:tcPr>
          <w:p w:rsidR="00CC5F13" w:rsidRPr="00CB16AB" w:rsidRDefault="00CC5F13" w:rsidP="000D0B36">
            <w:pPr>
              <w:pStyle w:val="141"/>
              <w:jc w:val="right"/>
            </w:pPr>
            <w:r w:rsidRPr="00CB16AB">
              <w:rPr>
                <w:rFonts w:hint="eastAsia"/>
              </w:rPr>
              <w:t>144,250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155</w:t>
            </w:r>
            <w:r w:rsidRPr="00CB16AB">
              <w:t>,</w:t>
            </w:r>
            <w:r w:rsidRPr="00CB16AB">
              <w:rPr>
                <w:rFonts w:hint="eastAsia"/>
              </w:rPr>
              <w:t>751</w:t>
            </w:r>
          </w:p>
        </w:tc>
        <w:tc>
          <w:tcPr>
            <w:tcW w:w="1853" w:type="dxa"/>
            <w:shd w:val="clear" w:color="auto" w:fill="auto"/>
            <w:vAlign w:val="center"/>
          </w:tcPr>
          <w:p w:rsidR="00CC5F13" w:rsidRPr="00CB16AB" w:rsidRDefault="00CC5F13" w:rsidP="000D0B36">
            <w:pPr>
              <w:pStyle w:val="141"/>
              <w:jc w:val="right"/>
              <w:rPr>
                <w:rFonts w:hint="eastAsia"/>
              </w:rPr>
            </w:pPr>
            <w:r w:rsidRPr="00CB16AB">
              <w:rPr>
                <w:rFonts w:hint="eastAsia"/>
              </w:rPr>
              <w:t>60</w:t>
            </w:r>
            <w:r w:rsidRPr="00CB16AB">
              <w:t>,</w:t>
            </w:r>
            <w:r w:rsidRPr="00CB16AB">
              <w:rPr>
                <w:rFonts w:hint="eastAsia"/>
              </w:rPr>
              <w:t>766</w:t>
            </w:r>
          </w:p>
        </w:tc>
        <w:tc>
          <w:tcPr>
            <w:tcW w:w="1781" w:type="dxa"/>
            <w:shd w:val="clear" w:color="auto" w:fill="auto"/>
            <w:vAlign w:val="center"/>
          </w:tcPr>
          <w:p w:rsidR="00CC5F13" w:rsidRPr="00CB16AB" w:rsidRDefault="00CC5F13" w:rsidP="000D0B36">
            <w:pPr>
              <w:pStyle w:val="141"/>
              <w:jc w:val="right"/>
            </w:pPr>
            <w:r w:rsidRPr="00CB16AB">
              <w:rPr>
                <w:rFonts w:hint="eastAsia"/>
              </w:rPr>
              <w:t>50,936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0.69 </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0.27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0.35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pPr>
            <w:r w:rsidRPr="00CB16AB">
              <w:rPr>
                <w:rFonts w:hint="eastAsia"/>
              </w:rPr>
              <w:t>香米及</w:t>
            </w:r>
          </w:p>
          <w:p w:rsidR="00CC5F13" w:rsidRPr="00CB16AB" w:rsidRDefault="00CC5F13" w:rsidP="002C722E">
            <w:pPr>
              <w:pStyle w:val="141"/>
              <w:jc w:val="center"/>
              <w:rPr>
                <w:rFonts w:hint="eastAsia"/>
              </w:rPr>
            </w:pPr>
            <w:r w:rsidRPr="00CB16AB">
              <w:rPr>
                <w:rFonts w:hint="eastAsia"/>
              </w:rPr>
              <w:t>黑糯米</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t>9,000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8,748</w:t>
            </w:r>
          </w:p>
        </w:tc>
        <w:tc>
          <w:tcPr>
            <w:tcW w:w="1781" w:type="dxa"/>
            <w:shd w:val="clear" w:color="auto" w:fill="auto"/>
            <w:vAlign w:val="center"/>
          </w:tcPr>
          <w:p w:rsidR="00CC5F13" w:rsidRPr="00CB16AB" w:rsidRDefault="00CC5F13" w:rsidP="000D0B36">
            <w:pPr>
              <w:pStyle w:val="141"/>
              <w:jc w:val="right"/>
            </w:pPr>
            <w:r w:rsidRPr="00CB16AB">
              <w:rPr>
                <w:rFonts w:hint="eastAsia"/>
              </w:rPr>
              <w:t>16,505</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4,729</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1,954</w:t>
            </w:r>
          </w:p>
        </w:tc>
        <w:tc>
          <w:tcPr>
            <w:tcW w:w="1781" w:type="dxa"/>
            <w:shd w:val="clear" w:color="auto" w:fill="auto"/>
            <w:vAlign w:val="center"/>
          </w:tcPr>
          <w:p w:rsidR="00CC5F13" w:rsidRPr="00CB16AB" w:rsidRDefault="00CC5F13" w:rsidP="000D0B36">
            <w:pPr>
              <w:pStyle w:val="141"/>
              <w:jc w:val="right"/>
            </w:pPr>
            <w:r w:rsidRPr="00CB16AB">
              <w:rPr>
                <w:rFonts w:hint="eastAsia"/>
              </w:rPr>
              <w:t>8,266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1.64 </w:t>
            </w:r>
          </w:p>
        </w:tc>
        <w:tc>
          <w:tcPr>
            <w:tcW w:w="1853" w:type="dxa"/>
            <w:shd w:val="clear" w:color="auto" w:fill="auto"/>
            <w:vAlign w:val="center"/>
          </w:tcPr>
          <w:p w:rsidR="001E3B05" w:rsidRPr="00CB16AB" w:rsidRDefault="001E3B05" w:rsidP="001E3B05">
            <w:pPr>
              <w:pStyle w:val="141"/>
              <w:jc w:val="right"/>
            </w:pPr>
            <w:r w:rsidRPr="00CB16AB">
              <w:rPr>
                <w:rFonts w:hint="eastAsia"/>
                <w:shd w:val="pct15" w:color="auto" w:fill="FFFFFF"/>
              </w:rPr>
              <w:t>0.64</w:t>
            </w:r>
            <w:r w:rsidRPr="00CB16AB">
              <w:rPr>
                <w:rFonts w:hint="eastAsia"/>
              </w:rPr>
              <w:t xml:space="preserve">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0.50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茶葉</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5,500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4,870</w:t>
            </w:r>
          </w:p>
        </w:tc>
        <w:tc>
          <w:tcPr>
            <w:tcW w:w="1781" w:type="dxa"/>
            <w:shd w:val="clear" w:color="auto" w:fill="auto"/>
            <w:vAlign w:val="center"/>
          </w:tcPr>
          <w:p w:rsidR="00CC5F13" w:rsidRPr="00CB16AB" w:rsidRDefault="00CC5F13" w:rsidP="000D0B36">
            <w:pPr>
              <w:pStyle w:val="141"/>
              <w:jc w:val="right"/>
            </w:pPr>
            <w:r w:rsidRPr="00CB16AB">
              <w:rPr>
                <w:rFonts w:hint="eastAsia"/>
              </w:rPr>
              <w:t>14,500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5,970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5,730</w:t>
            </w:r>
          </w:p>
        </w:tc>
        <w:tc>
          <w:tcPr>
            <w:tcW w:w="1781" w:type="dxa"/>
            <w:shd w:val="clear" w:color="auto" w:fill="auto"/>
            <w:vAlign w:val="center"/>
          </w:tcPr>
          <w:p w:rsidR="00CC5F13" w:rsidRPr="00CB16AB" w:rsidRDefault="00CC5F13" w:rsidP="000D0B36">
            <w:pPr>
              <w:pStyle w:val="141"/>
              <w:jc w:val="right"/>
            </w:pPr>
            <w:r w:rsidRPr="00CB16AB">
              <w:rPr>
                <w:rFonts w:hint="eastAsia"/>
              </w:rPr>
              <w:t>15,652</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1.03 </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1.06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rPr>
              <w:t>1.08</w:t>
            </w:r>
            <w:r w:rsidRPr="00CB16AB">
              <w:rPr>
                <w:rFonts w:hint="eastAsia"/>
                <w:shd w:val="pct15" w:color="auto" w:fill="FFFFFF"/>
              </w:rPr>
              <w:t xml:space="preserve">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猴頭菇</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,500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,570</w:t>
            </w:r>
          </w:p>
        </w:tc>
        <w:tc>
          <w:tcPr>
            <w:tcW w:w="1781" w:type="dxa"/>
            <w:shd w:val="clear" w:color="auto" w:fill="auto"/>
            <w:vAlign w:val="center"/>
          </w:tcPr>
          <w:p w:rsidR="00CC5F13" w:rsidRPr="00CB16AB" w:rsidRDefault="00CC5F13" w:rsidP="000D0B36">
            <w:pPr>
              <w:pStyle w:val="141"/>
              <w:jc w:val="right"/>
            </w:pPr>
            <w:r w:rsidRPr="00CB16AB">
              <w:rPr>
                <w:rFonts w:hint="eastAsia"/>
              </w:rPr>
              <w:t>1,640</w:t>
            </w:r>
          </w:p>
        </w:tc>
      </w:tr>
      <w:tr w:rsidR="00CC5F13" w:rsidRPr="00CB16AB" w:rsidTr="005720C7">
        <w:trPr>
          <w:jc w:val="center"/>
        </w:trPr>
        <w:tc>
          <w:tcPr>
            <w:tcW w:w="1618" w:type="dxa"/>
            <w:vMerge/>
            <w:shd w:val="clear" w:color="auto" w:fill="auto"/>
            <w:vAlign w:val="center"/>
          </w:tcPr>
          <w:p w:rsidR="00CC5F13" w:rsidRPr="00CB16AB" w:rsidRDefault="00CC5F13" w:rsidP="002C722E">
            <w:pPr>
              <w:pStyle w:val="141"/>
              <w:jc w:val="center"/>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2</w:t>
            </w:r>
            <w:r w:rsidRPr="00CB16AB">
              <w:t>,028</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1</w:t>
            </w:r>
            <w:r w:rsidRPr="00CB16AB">
              <w:t>,252</w:t>
            </w:r>
          </w:p>
        </w:tc>
        <w:tc>
          <w:tcPr>
            <w:tcW w:w="1781" w:type="dxa"/>
            <w:shd w:val="clear" w:color="auto" w:fill="auto"/>
            <w:vAlign w:val="center"/>
          </w:tcPr>
          <w:p w:rsidR="00CC5F13" w:rsidRPr="00CB16AB" w:rsidRDefault="00CC5F13" w:rsidP="000D0B36">
            <w:pPr>
              <w:pStyle w:val="141"/>
              <w:jc w:val="right"/>
            </w:pPr>
            <w:r w:rsidRPr="00CB16AB">
              <w:rPr>
                <w:rFonts w:hint="eastAsia"/>
              </w:rPr>
              <w:t>1,186</w:t>
            </w:r>
          </w:p>
        </w:tc>
      </w:tr>
      <w:tr w:rsidR="001E3B05" w:rsidRPr="00CB16AB" w:rsidTr="00627FF0">
        <w:trPr>
          <w:jc w:val="center"/>
        </w:trPr>
        <w:tc>
          <w:tcPr>
            <w:tcW w:w="1618" w:type="dxa"/>
            <w:vMerge/>
            <w:shd w:val="clear" w:color="auto" w:fill="auto"/>
            <w:vAlign w:val="center"/>
          </w:tcPr>
          <w:p w:rsidR="001E3B05" w:rsidRPr="00CB16AB" w:rsidRDefault="001E3B05" w:rsidP="002C722E">
            <w:pPr>
              <w:pStyle w:val="141"/>
              <w:jc w:val="center"/>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pPr>
            <w:r w:rsidRPr="00CB16AB">
              <w:rPr>
                <w:rFonts w:hint="eastAsia"/>
              </w:rPr>
              <w:t xml:space="preserve">1.35 </w:t>
            </w:r>
          </w:p>
        </w:tc>
        <w:tc>
          <w:tcPr>
            <w:tcW w:w="1853" w:type="dxa"/>
            <w:shd w:val="clear" w:color="auto" w:fill="auto"/>
            <w:vAlign w:val="center"/>
          </w:tcPr>
          <w:p w:rsidR="001E3B05" w:rsidRPr="00CB16AB" w:rsidRDefault="001E3B05" w:rsidP="001E3B05">
            <w:pPr>
              <w:pStyle w:val="141"/>
              <w:jc w:val="right"/>
            </w:pPr>
            <w:r w:rsidRPr="00CB16AB">
              <w:rPr>
                <w:rFonts w:hint="eastAsia"/>
                <w:shd w:val="pct15" w:color="auto" w:fill="FFFFFF"/>
              </w:rPr>
              <w:t>0.80</w:t>
            </w:r>
            <w:r w:rsidRPr="00CB16AB">
              <w:rPr>
                <w:rFonts w:hint="eastAsia"/>
              </w:rPr>
              <w:t xml:space="preserve">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0.72 </w:t>
            </w:r>
          </w:p>
        </w:tc>
      </w:tr>
      <w:tr w:rsidR="00CC5F13" w:rsidRPr="00CB16AB" w:rsidTr="005720C7">
        <w:trPr>
          <w:jc w:val="center"/>
        </w:trPr>
        <w:tc>
          <w:tcPr>
            <w:tcW w:w="1618" w:type="dxa"/>
            <w:vMerge w:val="restart"/>
            <w:shd w:val="clear" w:color="auto" w:fill="auto"/>
            <w:vAlign w:val="center"/>
          </w:tcPr>
          <w:p w:rsidR="00CC5F13" w:rsidRPr="00CB16AB" w:rsidRDefault="00CC5F13" w:rsidP="002C722E">
            <w:pPr>
              <w:pStyle w:val="141"/>
              <w:jc w:val="center"/>
              <w:rPr>
                <w:rFonts w:hint="eastAsia"/>
              </w:rPr>
            </w:pPr>
            <w:r w:rsidRPr="00CB16AB">
              <w:rPr>
                <w:rFonts w:hint="eastAsia"/>
              </w:rPr>
              <w:t>杭菊</w:t>
            </w:r>
          </w:p>
        </w:tc>
        <w:tc>
          <w:tcPr>
            <w:tcW w:w="1358" w:type="dxa"/>
            <w:shd w:val="clear" w:color="auto" w:fill="auto"/>
          </w:tcPr>
          <w:p w:rsidR="00CC5F13" w:rsidRPr="00CB16AB" w:rsidRDefault="00CC5F13" w:rsidP="000D0B36">
            <w:pPr>
              <w:pStyle w:val="141"/>
              <w:rPr>
                <w:rFonts w:hint="eastAsia"/>
              </w:rPr>
            </w:pPr>
            <w:r w:rsidRPr="00CB16AB">
              <w:rPr>
                <w:rFonts w:hint="eastAsia"/>
              </w:rPr>
              <w:t>預期數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50</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22</w:t>
            </w:r>
          </w:p>
        </w:tc>
        <w:tc>
          <w:tcPr>
            <w:tcW w:w="1781" w:type="dxa"/>
            <w:shd w:val="clear" w:color="auto" w:fill="auto"/>
            <w:vAlign w:val="center"/>
          </w:tcPr>
          <w:p w:rsidR="00CC5F13" w:rsidRPr="00CB16AB" w:rsidRDefault="00CC5F13" w:rsidP="000D0B36">
            <w:pPr>
              <w:pStyle w:val="141"/>
              <w:jc w:val="right"/>
            </w:pPr>
            <w:r w:rsidRPr="00CB16AB">
              <w:rPr>
                <w:rFonts w:hint="eastAsia"/>
              </w:rPr>
              <w:t>570</w:t>
            </w:r>
          </w:p>
        </w:tc>
      </w:tr>
      <w:tr w:rsidR="00CC5F13" w:rsidRPr="00CB16AB" w:rsidTr="005720C7">
        <w:trPr>
          <w:jc w:val="center"/>
        </w:trPr>
        <w:tc>
          <w:tcPr>
            <w:tcW w:w="1618" w:type="dxa"/>
            <w:vMerge/>
            <w:shd w:val="clear" w:color="auto" w:fill="auto"/>
          </w:tcPr>
          <w:p w:rsidR="00CC5F13" w:rsidRPr="00CB16AB" w:rsidRDefault="00CC5F13" w:rsidP="000D0B36">
            <w:pPr>
              <w:pStyle w:val="141"/>
              <w:rPr>
                <w:rFonts w:hint="eastAsia"/>
              </w:rPr>
            </w:pPr>
          </w:p>
        </w:tc>
        <w:tc>
          <w:tcPr>
            <w:tcW w:w="1358" w:type="dxa"/>
            <w:shd w:val="clear" w:color="auto" w:fill="auto"/>
          </w:tcPr>
          <w:p w:rsidR="00CC5F13" w:rsidRPr="00CB16AB" w:rsidRDefault="00CC5F13" w:rsidP="000D0B36">
            <w:pPr>
              <w:pStyle w:val="141"/>
              <w:rPr>
                <w:rFonts w:hint="eastAsia"/>
              </w:rPr>
            </w:pPr>
            <w:r w:rsidRPr="00CB16AB">
              <w:rPr>
                <w:rFonts w:hint="eastAsia"/>
              </w:rPr>
              <w:t>實際數</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5</w:t>
            </w:r>
            <w:r w:rsidRPr="00CB16AB">
              <w:t>87</w:t>
            </w:r>
          </w:p>
        </w:tc>
        <w:tc>
          <w:tcPr>
            <w:tcW w:w="1853" w:type="dxa"/>
            <w:shd w:val="clear" w:color="auto" w:fill="auto"/>
          </w:tcPr>
          <w:p w:rsidR="00CC5F13" w:rsidRPr="00CB16AB" w:rsidRDefault="00CC5F13" w:rsidP="000D0B36">
            <w:pPr>
              <w:pStyle w:val="141"/>
              <w:jc w:val="right"/>
              <w:rPr>
                <w:rFonts w:hint="eastAsia"/>
              </w:rPr>
            </w:pPr>
            <w:r w:rsidRPr="00CB16AB">
              <w:rPr>
                <w:rFonts w:hint="eastAsia"/>
              </w:rPr>
              <w:t>6</w:t>
            </w:r>
            <w:r w:rsidRPr="00CB16AB">
              <w:t>09</w:t>
            </w:r>
          </w:p>
        </w:tc>
        <w:tc>
          <w:tcPr>
            <w:tcW w:w="1781" w:type="dxa"/>
            <w:shd w:val="clear" w:color="auto" w:fill="auto"/>
            <w:vAlign w:val="center"/>
          </w:tcPr>
          <w:p w:rsidR="00CC5F13" w:rsidRPr="00CB16AB" w:rsidRDefault="00CC5F13" w:rsidP="000D0B36">
            <w:pPr>
              <w:pStyle w:val="141"/>
              <w:jc w:val="right"/>
            </w:pPr>
            <w:r w:rsidRPr="00CB16AB">
              <w:rPr>
                <w:rFonts w:hint="eastAsia"/>
              </w:rPr>
              <w:t>152</w:t>
            </w:r>
          </w:p>
        </w:tc>
      </w:tr>
      <w:tr w:rsidR="001E3B05" w:rsidRPr="00CB16AB" w:rsidTr="00627FF0">
        <w:trPr>
          <w:jc w:val="center"/>
        </w:trPr>
        <w:tc>
          <w:tcPr>
            <w:tcW w:w="1618" w:type="dxa"/>
            <w:vMerge/>
            <w:shd w:val="clear" w:color="auto" w:fill="auto"/>
          </w:tcPr>
          <w:p w:rsidR="001E3B05" w:rsidRPr="00CB16AB" w:rsidRDefault="001E3B05" w:rsidP="000D0B36">
            <w:pPr>
              <w:pStyle w:val="141"/>
              <w:rPr>
                <w:rFonts w:hint="eastAsia"/>
              </w:rPr>
            </w:pPr>
          </w:p>
        </w:tc>
        <w:tc>
          <w:tcPr>
            <w:tcW w:w="1358" w:type="dxa"/>
            <w:shd w:val="clear" w:color="auto" w:fill="auto"/>
          </w:tcPr>
          <w:p w:rsidR="001E3B05" w:rsidRPr="00CB16AB" w:rsidRDefault="001E3B05" w:rsidP="000D0B36">
            <w:pPr>
              <w:pStyle w:val="141"/>
              <w:rPr>
                <w:rFonts w:hint="eastAsia"/>
              </w:rPr>
            </w:pPr>
            <w:r w:rsidRPr="00CB16AB">
              <w:rPr>
                <w:rFonts w:hint="eastAsia"/>
              </w:rPr>
              <w:t>達標率</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0.90 </w:t>
            </w:r>
          </w:p>
        </w:tc>
        <w:tc>
          <w:tcPr>
            <w:tcW w:w="1853"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0.98 </w:t>
            </w:r>
          </w:p>
        </w:tc>
        <w:tc>
          <w:tcPr>
            <w:tcW w:w="1781" w:type="dxa"/>
            <w:shd w:val="clear" w:color="auto" w:fill="auto"/>
            <w:vAlign w:val="center"/>
          </w:tcPr>
          <w:p w:rsidR="001E3B05" w:rsidRPr="00CB16AB" w:rsidRDefault="001E3B05" w:rsidP="001E3B05">
            <w:pPr>
              <w:pStyle w:val="141"/>
              <w:jc w:val="right"/>
              <w:rPr>
                <w:shd w:val="pct15" w:color="auto" w:fill="FFFFFF"/>
              </w:rPr>
            </w:pPr>
            <w:r w:rsidRPr="00CB16AB">
              <w:rPr>
                <w:rFonts w:hint="eastAsia"/>
                <w:shd w:val="pct15" w:color="auto" w:fill="FFFFFF"/>
              </w:rPr>
              <w:t xml:space="preserve">0.27 </w:t>
            </w:r>
          </w:p>
        </w:tc>
      </w:tr>
    </w:tbl>
    <w:p w:rsidR="00CC5F13" w:rsidRPr="00CB16AB" w:rsidRDefault="00CC5F13" w:rsidP="00BB6CB4">
      <w:pPr>
        <w:pStyle w:val="141"/>
        <w:rPr>
          <w:rFonts w:hint="eastAsia"/>
        </w:rPr>
      </w:pPr>
      <w:r w:rsidRPr="00CB16AB">
        <w:rPr>
          <w:rFonts w:hint="eastAsia"/>
        </w:rPr>
        <w:t>資料來源：安置基金歷年決算書，本中心整理。</w:t>
      </w:r>
    </w:p>
    <w:p w:rsidR="00CC5F13" w:rsidRPr="00CB16AB" w:rsidRDefault="00CC5F13" w:rsidP="00D40A23">
      <w:pPr>
        <w:pStyle w:val="a4"/>
        <w:rPr>
          <w:rFonts w:hint="eastAsia"/>
          <w:snapToGrid w:val="0"/>
        </w:rPr>
      </w:pPr>
      <w:r w:rsidRPr="00CB16AB">
        <w:rPr>
          <w:rFonts w:hint="eastAsia"/>
          <w:snapToGrid w:val="0"/>
        </w:rPr>
        <w:t xml:space="preserve">(二)氣候變遷帶來多元之風險衝擊，允宜妥為因應農業調適策略 </w:t>
      </w:r>
    </w:p>
    <w:p w:rsidR="00CC5F13" w:rsidRPr="00CB16AB" w:rsidRDefault="00CC5F13" w:rsidP="00CC5F13">
      <w:pPr>
        <w:pStyle w:val="21"/>
        <w:rPr>
          <w:rFonts w:hint="eastAsia"/>
          <w:snapToGrid w:val="0"/>
        </w:rPr>
      </w:pPr>
      <w:r w:rsidRPr="00CB16AB">
        <w:rPr>
          <w:rFonts w:hint="eastAsia"/>
          <w:snapToGrid w:val="0"/>
        </w:rPr>
        <w:t>氣候變遷對農業生產帶來重大影響,包括溫度上升、降雨模式改變、極端天氣增加等,需要採取全面之調適策略，以減緩氣候變遷可能帶來農業衝擊，行政院於112年10月4日公布「氣</w:t>
      </w:r>
      <w:r w:rsidRPr="00CB16AB">
        <w:rPr>
          <w:rFonts w:hint="eastAsia"/>
          <w:snapToGrid w:val="0"/>
        </w:rPr>
        <w:lastRenderedPageBreak/>
        <w:t>候變遷調適行動計畫</w:t>
      </w:r>
      <w:r w:rsidR="006437E7" w:rsidRPr="00CB16AB">
        <w:rPr>
          <w:rFonts w:hint="eastAsia"/>
          <w:snapToGrid w:val="0"/>
        </w:rPr>
        <w:t>(</w:t>
      </w:r>
      <w:r w:rsidRPr="00CB16AB">
        <w:rPr>
          <w:rFonts w:hint="eastAsia"/>
          <w:snapToGrid w:val="0"/>
        </w:rPr>
        <w:t>112-115年</w:t>
      </w:r>
      <w:r w:rsidR="006437E7" w:rsidRPr="00CB16AB">
        <w:rPr>
          <w:rFonts w:hint="eastAsia"/>
          <w:snapToGrid w:val="0"/>
        </w:rPr>
        <w:t>)</w:t>
      </w:r>
      <w:r w:rsidRPr="00CB16AB">
        <w:rPr>
          <w:rFonts w:hint="eastAsia"/>
          <w:snapToGrid w:val="0"/>
        </w:rPr>
        <w:t>」</w:t>
      </w:r>
      <w:r w:rsidRPr="00CB16AB">
        <w:rPr>
          <w:snapToGrid w:val="0"/>
          <w:vertAlign w:val="superscript"/>
        </w:rPr>
        <w:footnoteReference w:id="1"/>
      </w:r>
      <w:r w:rsidRPr="00CB16AB">
        <w:rPr>
          <w:rFonts w:hint="eastAsia"/>
          <w:snapToGrid w:val="0"/>
        </w:rPr>
        <w:t>，該行動計畫以國家氣候變遷調適領域架構包括「維生基礎設施」、「水資源」、「土地利用」、「海岸及海洋」、「能源供給及產業」、「農業生產及生物多樣性」、「健康」與「能力建構」等8大領域，由國發會會同環境部等機關共同推動</w:t>
      </w:r>
      <w:r w:rsidRPr="00CB16AB">
        <w:rPr>
          <w:snapToGrid w:val="0"/>
          <w:vertAlign w:val="superscript"/>
        </w:rPr>
        <w:footnoteReference w:id="2"/>
      </w:r>
      <w:r w:rsidRPr="00CB16AB">
        <w:rPr>
          <w:rFonts w:hint="eastAsia"/>
          <w:snapToGrid w:val="0"/>
        </w:rPr>
        <w:t>，俾以建構我國因應氣候變遷之韌性體制。</w:t>
      </w:r>
    </w:p>
    <w:p w:rsidR="00CC5F13" w:rsidRPr="00CB16AB" w:rsidRDefault="00CC5F13" w:rsidP="00CC5F13">
      <w:pPr>
        <w:pStyle w:val="21"/>
        <w:rPr>
          <w:rFonts w:hint="eastAsia"/>
          <w:snapToGrid w:val="0"/>
        </w:rPr>
      </w:pPr>
      <w:r w:rsidRPr="00CB16AB">
        <w:rPr>
          <w:rFonts w:hint="eastAsia"/>
          <w:snapToGrid w:val="0"/>
        </w:rPr>
        <w:t>另農業部亦提出「調適」(adaptation)與「減緩」兩大策略，針對氣候變遷加強調適能力、強化韌性及降低脆弱度；透過風險評估、逆境調適、強化硬體、降低農損、災害預警等方式打造韌性農業系</w:t>
      </w:r>
      <w:r w:rsidRPr="00CB16AB">
        <w:rPr>
          <w:snapToGrid w:val="0"/>
          <w:vertAlign w:val="superscript"/>
        </w:rPr>
        <w:footnoteReference w:id="3"/>
      </w:r>
      <w:r w:rsidRPr="00CB16AB">
        <w:rPr>
          <w:rFonts w:hint="eastAsia"/>
          <w:snapToGrid w:val="0"/>
        </w:rPr>
        <w:t>。</w:t>
      </w:r>
    </w:p>
    <w:p w:rsidR="005720C7" w:rsidRPr="00CB16AB" w:rsidRDefault="00CC5F13" w:rsidP="00CC5F13">
      <w:pPr>
        <w:pStyle w:val="21"/>
        <w:rPr>
          <w:rFonts w:hint="eastAsia"/>
          <w:highlight w:val="yellow"/>
        </w:rPr>
      </w:pPr>
      <w:r w:rsidRPr="00CB16AB">
        <w:rPr>
          <w:rFonts w:hint="eastAsia"/>
        </w:rPr>
        <w:t>又多位學者亦提出氣候變遷農業調適策略之重要論述包括自然解方為本</w:t>
      </w:r>
      <w:r w:rsidR="005F7DE4" w:rsidRPr="00CB16AB">
        <w:rPr>
          <w:rFonts w:hAnsi="標楷體" w:hint="eastAsia"/>
        </w:rPr>
        <w:t>；</w:t>
      </w:r>
      <w:r w:rsidRPr="00CB16AB">
        <w:rPr>
          <w:rFonts w:hint="eastAsia"/>
        </w:rPr>
        <w:t>強化科學基礎</w:t>
      </w:r>
      <w:r w:rsidR="005F7DE4" w:rsidRPr="00CB16AB">
        <w:rPr>
          <w:rFonts w:hAnsi="標楷體" w:hint="eastAsia"/>
        </w:rPr>
        <w:t>；</w:t>
      </w:r>
      <w:r w:rsidRPr="00CB16AB">
        <w:rPr>
          <w:rFonts w:hint="eastAsia"/>
        </w:rPr>
        <w:t>建構知識平台</w:t>
      </w:r>
      <w:r w:rsidRPr="00CB16AB">
        <w:rPr>
          <w:vertAlign w:val="superscript"/>
        </w:rPr>
        <w:footnoteReference w:id="4"/>
      </w:r>
      <w:r w:rsidRPr="00CB16AB">
        <w:rPr>
          <w:rFonts w:hint="eastAsia"/>
        </w:rPr>
        <w:t>；以永續農業觀點經營農業</w:t>
      </w:r>
      <w:r w:rsidR="005F7DE4" w:rsidRPr="00CB16AB">
        <w:rPr>
          <w:rFonts w:hAnsi="標楷體" w:hint="eastAsia"/>
        </w:rPr>
        <w:t>；以及</w:t>
      </w:r>
      <w:r w:rsidRPr="00CB16AB">
        <w:rPr>
          <w:rFonts w:hint="eastAsia"/>
        </w:rPr>
        <w:t>韌性農業系統</w:t>
      </w:r>
      <w:r w:rsidRPr="00CB16AB">
        <w:rPr>
          <w:vertAlign w:val="superscript"/>
        </w:rPr>
        <w:footnoteReference w:id="5"/>
      </w:r>
      <w:r w:rsidR="003E39CB" w:rsidRPr="00CB16AB">
        <w:rPr>
          <w:rFonts w:hint="eastAsia"/>
        </w:rPr>
        <w:t>等。爰</w:t>
      </w:r>
      <w:r w:rsidRPr="00CB16AB">
        <w:rPr>
          <w:rFonts w:hint="eastAsia"/>
        </w:rPr>
        <w:t>氣候變遷係長期性議題，近年安置基金所屬農場之部分農產品產銷數量不如預期，允宜妥為因應氣候變遷農產調適作為。</w:t>
      </w:r>
    </w:p>
    <w:p w:rsidR="00CC5F13" w:rsidRPr="00CB16AB" w:rsidRDefault="00FD3BE3" w:rsidP="00CC5F13">
      <w:pPr>
        <w:pStyle w:val="21"/>
        <w:rPr>
          <w:rFonts w:hint="eastAsia"/>
        </w:rPr>
      </w:pPr>
      <w:r w:rsidRPr="00CB16AB">
        <w:rPr>
          <w:rFonts w:hint="eastAsia"/>
        </w:rPr>
        <w:t>據</w:t>
      </w:r>
      <w:r w:rsidR="00F246D0" w:rsidRPr="00CB16AB">
        <w:rPr>
          <w:rFonts w:hint="eastAsia"/>
        </w:rPr>
        <w:t>輔導會</w:t>
      </w:r>
      <w:r w:rsidRPr="00CB16AB">
        <w:rPr>
          <w:rFonts w:hint="eastAsia"/>
        </w:rPr>
        <w:t>表示，</w:t>
      </w:r>
      <w:r w:rsidR="000D0B36" w:rsidRPr="00CB16AB">
        <w:rPr>
          <w:rFonts w:hint="eastAsia"/>
        </w:rPr>
        <w:t>所屬</w:t>
      </w:r>
      <w:r w:rsidRPr="00CB16AB">
        <w:rPr>
          <w:rFonts w:hint="eastAsia"/>
        </w:rPr>
        <w:t>部分</w:t>
      </w:r>
      <w:r w:rsidR="000D0B36" w:rsidRPr="00CB16AB">
        <w:rPr>
          <w:rFonts w:hint="eastAsia"/>
        </w:rPr>
        <w:t>農場</w:t>
      </w:r>
      <w:r w:rsidRPr="00CB16AB">
        <w:rPr>
          <w:rFonts w:hint="eastAsia"/>
        </w:rPr>
        <w:t>已設置灌溉及蓄水設施管線</w:t>
      </w:r>
      <w:r w:rsidRPr="00CB16AB">
        <w:rPr>
          <w:rFonts w:ascii="新細明體" w:eastAsia="新細明體" w:hAnsi="新細明體" w:hint="eastAsia"/>
        </w:rPr>
        <w:t>、</w:t>
      </w:r>
      <w:r w:rsidRPr="00CB16AB">
        <w:rPr>
          <w:rFonts w:hint="eastAsia"/>
        </w:rPr>
        <w:t>防霜風扇、</w:t>
      </w:r>
      <w:r w:rsidR="005F7DE4" w:rsidRPr="00CB16AB">
        <w:rPr>
          <w:rFonts w:hint="eastAsia"/>
        </w:rPr>
        <w:t>千</w:t>
      </w:r>
      <w:r w:rsidRPr="00CB16AB">
        <w:rPr>
          <w:rFonts w:hint="eastAsia"/>
        </w:rPr>
        <w:t>噸水池，以及增設儲水塔</w:t>
      </w:r>
      <w:r w:rsidR="000D0B36" w:rsidRPr="00CB16AB">
        <w:rPr>
          <w:rFonts w:hint="eastAsia"/>
        </w:rPr>
        <w:t>等設施</w:t>
      </w:r>
      <w:r w:rsidRPr="00CB16AB">
        <w:rPr>
          <w:rFonts w:hAnsi="標楷體" w:hint="eastAsia"/>
        </w:rPr>
        <w:t>，</w:t>
      </w:r>
      <w:r w:rsidR="000D0B36" w:rsidRPr="00CB16AB">
        <w:rPr>
          <w:rFonts w:hAnsi="標楷體" w:hint="eastAsia"/>
        </w:rPr>
        <w:t>另</w:t>
      </w:r>
      <w:r w:rsidRPr="00CB16AB">
        <w:rPr>
          <w:rFonts w:hint="eastAsia"/>
        </w:rPr>
        <w:t>藉產學合作汲取智慧節水技能，</w:t>
      </w:r>
      <w:r w:rsidR="000D0B36" w:rsidRPr="00CB16AB">
        <w:rPr>
          <w:rFonts w:hint="eastAsia"/>
        </w:rPr>
        <w:t>該會所屬農場</w:t>
      </w:r>
      <w:r w:rsidRPr="00CB16AB">
        <w:rPr>
          <w:rFonts w:hint="eastAsia"/>
        </w:rPr>
        <w:t>將加強茶園耕作栽培管理、病蟲害防治</w:t>
      </w:r>
      <w:r w:rsidR="000D0B36" w:rsidRPr="00CB16AB">
        <w:rPr>
          <w:rFonts w:hint="eastAsia"/>
        </w:rPr>
        <w:t>等工作，並注意氣象預測及天候狀況</w:t>
      </w:r>
      <w:r w:rsidR="00CC5F13" w:rsidRPr="00CB16AB">
        <w:rPr>
          <w:rFonts w:hint="eastAsia"/>
        </w:rPr>
        <w:t>，</w:t>
      </w:r>
      <w:r w:rsidR="000D0B36" w:rsidRPr="00CB16AB">
        <w:rPr>
          <w:rFonts w:hint="eastAsia"/>
        </w:rPr>
        <w:t>以因應強降雨、寒害及霜害等極端</w:t>
      </w:r>
      <w:r w:rsidR="00CC5F13" w:rsidRPr="00CB16AB">
        <w:rPr>
          <w:rFonts w:hint="eastAsia"/>
        </w:rPr>
        <w:t>氣候</w:t>
      </w:r>
      <w:r w:rsidR="000D0B36" w:rsidRPr="00CB16AB">
        <w:rPr>
          <w:rFonts w:hint="eastAsia"/>
        </w:rPr>
        <w:t>之</w:t>
      </w:r>
      <w:r w:rsidR="00CC5F13" w:rsidRPr="00CB16AB">
        <w:rPr>
          <w:rFonts w:hint="eastAsia"/>
        </w:rPr>
        <w:t>衝擊。</w:t>
      </w:r>
    </w:p>
    <w:p w:rsidR="00CC5F13" w:rsidRPr="00CB16AB" w:rsidRDefault="00CC5F13" w:rsidP="00CC5F13">
      <w:pPr>
        <w:rPr>
          <w:rFonts w:hint="eastAsia"/>
        </w:rPr>
      </w:pPr>
      <w:r w:rsidRPr="00CB16AB">
        <w:rPr>
          <w:rFonts w:hint="eastAsia"/>
        </w:rPr>
        <w:t>綜上，</w:t>
      </w:r>
      <w:r w:rsidR="00954403" w:rsidRPr="00CB16AB">
        <w:rPr>
          <w:rFonts w:hint="eastAsia"/>
        </w:rPr>
        <w:t>受氣候變遷影響，</w:t>
      </w:r>
      <w:r w:rsidR="005D577E" w:rsidRPr="00CB16AB">
        <w:rPr>
          <w:rFonts w:hint="eastAsia"/>
        </w:rPr>
        <w:t>連3(110至112)年度</w:t>
      </w:r>
      <w:r w:rsidR="00954403" w:rsidRPr="00CB16AB">
        <w:rPr>
          <w:rFonts w:hint="eastAsia"/>
        </w:rPr>
        <w:t>安置基金所屬</w:t>
      </w:r>
      <w:r w:rsidR="00954403" w:rsidRPr="00CB16AB">
        <w:rPr>
          <w:rFonts w:hint="eastAsia"/>
        </w:rPr>
        <w:lastRenderedPageBreak/>
        <w:t>農場</w:t>
      </w:r>
      <w:r w:rsidR="005D577E" w:rsidRPr="00CB16AB">
        <w:rPr>
          <w:rFonts w:hint="eastAsia"/>
        </w:rPr>
        <w:t>之農產品(果品、杭菊)產銷數量均不如預期</w:t>
      </w:r>
      <w:r w:rsidRPr="00CB16AB">
        <w:rPr>
          <w:rFonts w:hint="eastAsia"/>
        </w:rPr>
        <w:t>。鑒於極端氣候對農業發展造成重大衝擊，該基金允宜妥為因應氣候變遷農產調適作為，</w:t>
      </w:r>
      <w:r w:rsidR="000D0B36" w:rsidRPr="00CB16AB">
        <w:rPr>
          <w:rFonts w:hint="eastAsia"/>
        </w:rPr>
        <w:t>賡續</w:t>
      </w:r>
      <w:r w:rsidRPr="00CB16AB">
        <w:rPr>
          <w:rFonts w:hint="eastAsia"/>
        </w:rPr>
        <w:t>與產官學界跨域合作研擬具體可行之調適方案，俾促進農產之韌性與產銷績效。</w:t>
      </w:r>
    </w:p>
    <w:sectPr w:rsidR="00CC5F13"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5214ED" w:rsidRPr="005214ED">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 w:id="1">
    <w:p w:rsidR="00E02D5B" w:rsidRPr="005B6067" w:rsidRDefault="00E02D5B" w:rsidP="007759EE">
      <w:pPr>
        <w:pStyle w:val="af5"/>
        <w:rPr>
          <w:rFonts w:hint="eastAsia"/>
        </w:rPr>
      </w:pPr>
      <w:r>
        <w:rPr>
          <w:rStyle w:val="af0"/>
        </w:rPr>
        <w:footnoteRef/>
      </w:r>
      <w:r w:rsidRPr="005B6067">
        <w:rPr>
          <w:rFonts w:hint="eastAsia"/>
        </w:rPr>
        <w:t>「氣候變遷調適行動計畫</w:t>
      </w:r>
      <w:r w:rsidR="005F7DE4">
        <w:rPr>
          <w:rFonts w:hint="eastAsia"/>
        </w:rPr>
        <w:t>(</w:t>
      </w:r>
      <w:r w:rsidRPr="005B6067">
        <w:rPr>
          <w:rFonts w:hint="eastAsia"/>
        </w:rPr>
        <w:t>112-115年）」於112年10月4日經行政院院臺綠能字第1121034942號函核定。</w:t>
      </w:r>
    </w:p>
  </w:footnote>
  <w:footnote w:id="2">
    <w:p w:rsidR="00E02D5B" w:rsidRPr="00AC0244" w:rsidRDefault="00E02D5B" w:rsidP="007759EE">
      <w:pPr>
        <w:pStyle w:val="af5"/>
        <w:rPr>
          <w:rFonts w:hint="eastAsia"/>
        </w:rPr>
      </w:pPr>
      <w:r>
        <w:rPr>
          <w:rStyle w:val="af0"/>
        </w:rPr>
        <w:footnoteRef/>
      </w:r>
      <w:r w:rsidRPr="00B40E64">
        <w:rPr>
          <w:rFonts w:hint="eastAsia"/>
        </w:rPr>
        <w:t>國發會</w:t>
      </w:r>
      <w:r>
        <w:rPr>
          <w:rFonts w:ascii="新細明體" w:eastAsia="新細明體" w:hAnsi="新細明體" w:hint="eastAsia"/>
        </w:rPr>
        <w:t>、</w:t>
      </w:r>
      <w:r w:rsidRPr="00B53993">
        <w:rPr>
          <w:rFonts w:hint="eastAsia"/>
        </w:rPr>
        <w:t>環境部、交通部、經濟部、內政部、農業部、衛福部、勞動部、文化部、工程會、通傳會、海委會、國科會</w:t>
      </w:r>
      <w:r>
        <w:rPr>
          <w:rFonts w:hAnsi="標楷體" w:hint="eastAsia"/>
        </w:rPr>
        <w:t>。</w:t>
      </w:r>
    </w:p>
  </w:footnote>
  <w:footnote w:id="3">
    <w:p w:rsidR="00E02D5B" w:rsidRPr="00610E93" w:rsidRDefault="00E02D5B" w:rsidP="007759EE">
      <w:pPr>
        <w:pStyle w:val="af5"/>
      </w:pPr>
      <w:r w:rsidRPr="00610E93">
        <w:rPr>
          <w:rStyle w:val="af0"/>
        </w:rPr>
        <w:footnoteRef/>
      </w:r>
      <w:r w:rsidR="005F7DE4">
        <w:rPr>
          <w:rFonts w:hAnsi="標楷體" w:hint="eastAsia"/>
        </w:rPr>
        <w:t>農業部</w:t>
      </w:r>
      <w:r>
        <w:rPr>
          <w:rFonts w:hAnsi="標楷體" w:hint="eastAsia"/>
        </w:rPr>
        <w:t>「</w:t>
      </w:r>
      <w:r w:rsidRPr="00610E93">
        <w:rPr>
          <w:rFonts w:hint="eastAsia"/>
        </w:rPr>
        <w:t>韌性農業計畫成果暨資訊交流平台」，資料網址：</w:t>
      </w:r>
      <w:r w:rsidRPr="00610E93">
        <w:t>https://raip.triwra.org.tw</w:t>
      </w:r>
      <w:r w:rsidRPr="00610E93">
        <w:rPr>
          <w:rFonts w:hint="eastAsia"/>
        </w:rPr>
        <w:t>，</w:t>
      </w:r>
      <w:r w:rsidR="005F7DE4">
        <w:rPr>
          <w:rFonts w:hint="eastAsia"/>
        </w:rPr>
        <w:t>最後瀏覽日</w:t>
      </w:r>
      <w:r w:rsidRPr="00610E93">
        <w:rPr>
          <w:rFonts w:hint="eastAsia"/>
        </w:rPr>
        <w:t>：113年9月27日。</w:t>
      </w:r>
    </w:p>
  </w:footnote>
  <w:footnote w:id="4">
    <w:p w:rsidR="00E02D5B" w:rsidRPr="009E2010" w:rsidRDefault="00E02D5B" w:rsidP="007759EE">
      <w:pPr>
        <w:pStyle w:val="af5"/>
        <w:rPr>
          <w:rFonts w:hint="eastAsia"/>
        </w:rPr>
      </w:pPr>
      <w:r w:rsidRPr="009E2010">
        <w:rPr>
          <w:rStyle w:val="af0"/>
          <w:rFonts w:hAnsi="標楷體"/>
        </w:rPr>
        <w:footnoteRef/>
      </w:r>
      <w:r w:rsidRPr="009E2010">
        <w:rPr>
          <w:rFonts w:hint="eastAsia"/>
        </w:rPr>
        <w:t>黃德秀，</w:t>
      </w:r>
      <w:r w:rsidRPr="009E2010">
        <w:t>國際農業調適策略重點簡述</w:t>
      </w:r>
      <w:r w:rsidRPr="009E2010">
        <w:t>–</w:t>
      </w:r>
      <w:r w:rsidRPr="009E2010">
        <w:t>韌性農業計畫成果暨資訊交流平台</w:t>
      </w:r>
      <w:r w:rsidR="005F7DE4">
        <w:rPr>
          <w:rFonts w:hAnsi="標楷體" w:hint="eastAsia"/>
        </w:rPr>
        <w:t>，</w:t>
      </w:r>
      <w:r w:rsidRPr="009E2010">
        <w:t>triwra.org.tw</w:t>
      </w:r>
      <w:r w:rsidRPr="009E2010">
        <w:rPr>
          <w:rFonts w:hint="eastAsia"/>
        </w:rPr>
        <w:t>，</w:t>
      </w:r>
      <w:r w:rsidR="005F7DE4" w:rsidRPr="005F7DE4">
        <w:rPr>
          <w:rFonts w:hint="eastAsia"/>
        </w:rPr>
        <w:t>最後瀏覽日</w:t>
      </w:r>
      <w:r w:rsidRPr="009E2010">
        <w:rPr>
          <w:rFonts w:hint="eastAsia"/>
        </w:rPr>
        <w:t>：113年9月7日。</w:t>
      </w:r>
    </w:p>
  </w:footnote>
  <w:footnote w:id="5">
    <w:p w:rsidR="00E02D5B" w:rsidRPr="000D362C" w:rsidRDefault="00E02D5B" w:rsidP="007759EE">
      <w:pPr>
        <w:pStyle w:val="af5"/>
        <w:rPr>
          <w:rFonts w:hint="eastAsia"/>
        </w:rPr>
      </w:pPr>
      <w:r>
        <w:rPr>
          <w:rStyle w:val="af0"/>
        </w:rPr>
        <w:footnoteRef/>
      </w:r>
      <w:r w:rsidRPr="006510B3">
        <w:rPr>
          <w:rFonts w:hint="eastAsia"/>
        </w:rPr>
        <w:t>楊純明</w:t>
      </w:r>
      <w:r>
        <w:rPr>
          <w:rFonts w:ascii="新細明體" w:eastAsia="新細明體" w:hAnsi="新細明體" w:hint="eastAsia"/>
        </w:rPr>
        <w:t>、</w:t>
      </w:r>
      <w:r w:rsidRPr="006510B3">
        <w:rPr>
          <w:rFonts w:hint="eastAsia"/>
        </w:rPr>
        <w:t>蕭巧玲</w:t>
      </w:r>
      <w:r w:rsidR="005F7DE4">
        <w:rPr>
          <w:rFonts w:hAnsi="標楷體" w:hint="eastAsia"/>
        </w:rPr>
        <w:t>，</w:t>
      </w:r>
      <w:r w:rsidRPr="000D362C">
        <w:rPr>
          <w:rFonts w:hint="eastAsia"/>
        </w:rPr>
        <w:t>〈</w:t>
      </w:r>
      <w:r w:rsidRPr="006510B3">
        <w:rPr>
          <w:rFonts w:hint="eastAsia"/>
        </w:rPr>
        <w:t>氣候變遷下的永續農業</w:t>
      </w:r>
      <w:r w:rsidRPr="000D362C">
        <w:rPr>
          <w:rFonts w:hint="eastAsia"/>
        </w:rPr>
        <w:t>〉</w:t>
      </w:r>
      <w:r w:rsidR="005F7DE4">
        <w:rPr>
          <w:rFonts w:hAnsi="標楷體" w:hint="eastAsia"/>
        </w:rPr>
        <w:t>，</w:t>
      </w:r>
      <w:r w:rsidRPr="000D362C">
        <w:rPr>
          <w:rFonts w:hint="eastAsia"/>
        </w:rPr>
        <w:t>《</w:t>
      </w:r>
      <w:r w:rsidRPr="006510B3">
        <w:rPr>
          <w:rFonts w:hint="eastAsia"/>
        </w:rPr>
        <w:t>台灣農業研究</w:t>
      </w:r>
      <w:r w:rsidRPr="000D362C">
        <w:rPr>
          <w:rFonts w:hint="eastAsia"/>
        </w:rPr>
        <w:t>》，</w:t>
      </w:r>
      <w:r w:rsidRPr="006510B3">
        <w:t>71(3):185</w:t>
      </w:r>
      <w:r w:rsidRPr="006510B3">
        <w:t>–</w:t>
      </w:r>
      <w:r w:rsidRPr="006510B3">
        <w:t>197</w:t>
      </w:r>
      <w:r w:rsidR="005F7DE4">
        <w:rPr>
          <w:rFonts w:hAnsi="標楷體" w:hint="eastAsia"/>
        </w:rPr>
        <w:t>，</w:t>
      </w:r>
      <w:r w:rsidR="005F7DE4">
        <w:rPr>
          <w:rFonts w:hint="eastAsia"/>
        </w:rPr>
        <w:t>2022年</w:t>
      </w:r>
      <w:r w:rsidRPr="000D362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14ED"/>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68D99C-3136-41A5-A6B1-D081B5CFB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B4884-013E-4F4A-B978-C232C984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345</Words>
  <Characters>1967</Characters>
  <Application>Microsoft Office Word</Application>
  <DocSecurity>0</DocSecurity>
  <Lines>16</Lines>
  <Paragraphs>4</Paragraphs>
  <ScaleCrop>false</ScaleCrop>
  <Company/>
  <LinksUpToDate>false</LinksUpToDate>
  <CharactersWithSpaces>2308</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