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EB6" w:rsidRPr="00CB16AB" w:rsidRDefault="00B66EB6" w:rsidP="00A15422">
      <w:pPr>
        <w:pStyle w:val="a9"/>
        <w:rPr>
          <w:noProof/>
        </w:rPr>
      </w:pPr>
      <w:bookmarkStart w:id="0" w:name="_GoBack"/>
      <w:bookmarkEnd w:id="0"/>
      <w:r w:rsidRPr="00CB16AB">
        <w:rPr>
          <w:rFonts w:hint="eastAsia"/>
          <w:noProof/>
        </w:rPr>
        <w:t>國軍退除役官兵安置基金114年度預算評估報告</w:t>
      </w:r>
    </w:p>
    <w:p w:rsidR="00B72A55" w:rsidRPr="00CB16AB" w:rsidRDefault="00B66EB6" w:rsidP="00A15422">
      <w:pPr>
        <w:pStyle w:val="a7"/>
        <w:rPr>
          <w:b/>
          <w:szCs w:val="20"/>
        </w:rPr>
      </w:pPr>
      <w:r w:rsidRPr="00CB16AB">
        <w:rPr>
          <w:rFonts w:hint="eastAsia"/>
        </w:rPr>
        <w:t>國軍退除役官兵輔導委員會(以下簡稱</w:t>
      </w:r>
      <w:r w:rsidR="00F246D0" w:rsidRPr="00CB16AB">
        <w:rPr>
          <w:rFonts w:hint="eastAsia"/>
        </w:rPr>
        <w:t>輔導會</w:t>
      </w:r>
      <w:r w:rsidRPr="00CB16AB">
        <w:rPr>
          <w:rFonts w:hint="eastAsia"/>
        </w:rPr>
        <w:t>)為協助志願役國軍官兵(包括輔導期限內之第二類退除役官兵)退伍後順利開展職涯新頁，特設國軍退除役官兵安置基金(以下簡稱安置基金)。原屬</w:t>
      </w:r>
      <w:r w:rsidRPr="00CB16AB">
        <w:t>該基</w:t>
      </w:r>
      <w:r w:rsidRPr="00CB16AB">
        <w:rPr>
          <w:rFonts w:hint="eastAsia"/>
        </w:rPr>
        <w:t>金榮民森林保育事業管理處配合組改，於112 年8 月起移撥至農業部林業及自然保育署，相關業務分別移交武陵農場及農業部辦理。</w:t>
      </w:r>
      <w:r w:rsidR="001D282F" w:rsidRPr="00CB16AB">
        <w:rPr>
          <w:rFonts w:hint="eastAsia"/>
        </w:rPr>
        <w:t>安置基金</w:t>
      </w:r>
      <w:r w:rsidRPr="00CB16AB">
        <w:rPr>
          <w:rFonts w:hint="eastAsia"/>
        </w:rPr>
        <w:t>爰經整併及組改後轄下包括清境、福壽山、武陵等3家高山農場，彰化及臺東2家平地農場</w:t>
      </w:r>
      <w:r w:rsidR="001D282F" w:rsidRPr="00CB16AB">
        <w:rPr>
          <w:rFonts w:hAnsi="標楷體" w:hint="eastAsia"/>
        </w:rPr>
        <w:t>，</w:t>
      </w:r>
      <w:r w:rsidRPr="00CB16AB">
        <w:rPr>
          <w:rFonts w:hint="eastAsia"/>
        </w:rPr>
        <w:t>主要營運項目包括退除役官兵就學進修、職業訓練及就業輔導、農產品供銷、旅遊服務，委外(託)經營勞務計畫等。</w:t>
      </w:r>
      <w:r w:rsidR="001D282F" w:rsidRPr="00CB16AB">
        <w:rPr>
          <w:rFonts w:hint="eastAsia"/>
        </w:rPr>
        <w:t>該基金</w:t>
      </w:r>
      <w:r w:rsidRPr="00CB16AB">
        <w:rPr>
          <w:rFonts w:hint="eastAsia"/>
        </w:rPr>
        <w:t>114年度編列業務收入</w:t>
      </w:r>
      <w:r w:rsidRPr="00CB16AB">
        <w:t>27</w:t>
      </w:r>
      <w:r w:rsidRPr="00CB16AB">
        <w:rPr>
          <w:rFonts w:hint="eastAsia"/>
        </w:rPr>
        <w:t>億</w:t>
      </w:r>
      <w:r w:rsidRPr="00CB16AB">
        <w:t>7</w:t>
      </w:r>
      <w:r w:rsidRPr="00CB16AB">
        <w:rPr>
          <w:rFonts w:hint="eastAsia"/>
        </w:rPr>
        <w:t>,</w:t>
      </w:r>
      <w:r w:rsidRPr="00CB16AB">
        <w:t>587</w:t>
      </w:r>
      <w:r w:rsidRPr="00CB16AB">
        <w:rPr>
          <w:rFonts w:hint="eastAsia"/>
        </w:rPr>
        <w:t>萬</w:t>
      </w:r>
      <w:r w:rsidRPr="00CB16AB">
        <w:t>8</w:t>
      </w:r>
      <w:r w:rsidRPr="00CB16AB">
        <w:rPr>
          <w:rFonts w:hint="eastAsia"/>
        </w:rPr>
        <w:t>千元，業務成本與費用</w:t>
      </w:r>
      <w:r w:rsidRPr="00CB16AB">
        <w:t>20</w:t>
      </w:r>
      <w:r w:rsidRPr="00CB16AB">
        <w:rPr>
          <w:rFonts w:hint="eastAsia"/>
        </w:rPr>
        <w:t>億</w:t>
      </w:r>
      <w:r w:rsidRPr="00CB16AB">
        <w:t>259</w:t>
      </w:r>
      <w:r w:rsidRPr="00CB16AB">
        <w:rPr>
          <w:rFonts w:hint="eastAsia"/>
        </w:rPr>
        <w:t>萬</w:t>
      </w:r>
      <w:r w:rsidRPr="00CB16AB">
        <w:t>9</w:t>
      </w:r>
      <w:r w:rsidRPr="00CB16AB">
        <w:rPr>
          <w:rFonts w:hint="eastAsia"/>
        </w:rPr>
        <w:t>千元，業務外收入</w:t>
      </w:r>
      <w:r w:rsidRPr="00CB16AB">
        <w:t>1</w:t>
      </w:r>
      <w:r w:rsidRPr="00CB16AB">
        <w:rPr>
          <w:rFonts w:hint="eastAsia"/>
        </w:rPr>
        <w:t>億</w:t>
      </w:r>
      <w:r w:rsidRPr="00CB16AB">
        <w:t>6</w:t>
      </w:r>
      <w:r w:rsidRPr="00CB16AB">
        <w:rPr>
          <w:rFonts w:hint="eastAsia"/>
        </w:rPr>
        <w:t>,</w:t>
      </w:r>
      <w:r w:rsidRPr="00CB16AB">
        <w:t>628</w:t>
      </w:r>
      <w:r w:rsidRPr="00CB16AB">
        <w:rPr>
          <w:rFonts w:hint="eastAsia"/>
        </w:rPr>
        <w:t>萬</w:t>
      </w:r>
      <w:r w:rsidRPr="00CB16AB">
        <w:t>4</w:t>
      </w:r>
      <w:r w:rsidRPr="00CB16AB">
        <w:rPr>
          <w:rFonts w:hint="eastAsia"/>
        </w:rPr>
        <w:t>千元，業務外費用</w:t>
      </w:r>
      <w:r w:rsidRPr="00CB16AB">
        <w:t>8</w:t>
      </w:r>
      <w:r w:rsidRPr="00CB16AB">
        <w:rPr>
          <w:rFonts w:hint="eastAsia"/>
        </w:rPr>
        <w:t>,</w:t>
      </w:r>
      <w:r w:rsidRPr="00CB16AB">
        <w:t>512</w:t>
      </w:r>
      <w:r w:rsidRPr="00CB16AB">
        <w:rPr>
          <w:rFonts w:hint="eastAsia"/>
        </w:rPr>
        <w:t>萬</w:t>
      </w:r>
      <w:r w:rsidRPr="00CB16AB">
        <w:t>1</w:t>
      </w:r>
      <w:r w:rsidRPr="00CB16AB">
        <w:rPr>
          <w:rFonts w:hint="eastAsia"/>
        </w:rPr>
        <w:t>千元，收支相抵後預計賸餘</w:t>
      </w:r>
      <w:r w:rsidRPr="00CB16AB">
        <w:t>8</w:t>
      </w:r>
      <w:r w:rsidRPr="00CB16AB">
        <w:rPr>
          <w:rFonts w:hint="eastAsia"/>
        </w:rPr>
        <w:t>億</w:t>
      </w:r>
      <w:r w:rsidRPr="00CB16AB">
        <w:t>5</w:t>
      </w:r>
      <w:r w:rsidRPr="00CB16AB">
        <w:rPr>
          <w:rFonts w:hint="eastAsia"/>
        </w:rPr>
        <w:t>,</w:t>
      </w:r>
      <w:r w:rsidRPr="00CB16AB">
        <w:t>444</w:t>
      </w:r>
      <w:r w:rsidRPr="00CB16AB">
        <w:rPr>
          <w:rFonts w:hint="eastAsia"/>
        </w:rPr>
        <w:t>萬</w:t>
      </w:r>
      <w:r w:rsidRPr="00CB16AB">
        <w:t>2</w:t>
      </w:r>
      <w:r w:rsidRPr="00CB16AB">
        <w:rPr>
          <w:rFonts w:hint="eastAsia"/>
        </w:rPr>
        <w:t>千元，較1</w:t>
      </w:r>
      <w:r w:rsidRPr="00CB16AB">
        <w:t>1</w:t>
      </w:r>
      <w:r w:rsidRPr="00CB16AB">
        <w:rPr>
          <w:rFonts w:hint="eastAsia"/>
        </w:rPr>
        <w:t>3年度預算賸餘減少</w:t>
      </w:r>
      <w:r w:rsidRPr="00CB16AB">
        <w:t>3</w:t>
      </w:r>
      <w:r w:rsidRPr="00CB16AB">
        <w:rPr>
          <w:rFonts w:hint="eastAsia"/>
        </w:rPr>
        <w:t>億</w:t>
      </w:r>
      <w:r w:rsidRPr="00CB16AB">
        <w:t>5</w:t>
      </w:r>
      <w:r w:rsidRPr="00CB16AB">
        <w:rPr>
          <w:rFonts w:hint="eastAsia"/>
        </w:rPr>
        <w:t>,</w:t>
      </w:r>
      <w:r w:rsidRPr="00CB16AB">
        <w:t>446</w:t>
      </w:r>
      <w:r w:rsidRPr="00CB16AB">
        <w:rPr>
          <w:rFonts w:hint="eastAsia"/>
        </w:rPr>
        <w:t>萬</w:t>
      </w:r>
      <w:r w:rsidRPr="00CB16AB">
        <w:t>2</w:t>
      </w:r>
      <w:r w:rsidRPr="00CB16AB">
        <w:rPr>
          <w:rFonts w:hint="eastAsia"/>
        </w:rPr>
        <w:t>千元(減幅</w:t>
      </w:r>
      <w:r w:rsidRPr="00CB16AB">
        <w:t>29.32%)</w:t>
      </w:r>
      <w:r w:rsidRPr="00CB16AB">
        <w:rPr>
          <w:rFonts w:hint="eastAsia"/>
        </w:rPr>
        <w:t>。謹就安置基金1</w:t>
      </w:r>
      <w:r w:rsidRPr="00CB16AB">
        <w:t>1</w:t>
      </w:r>
      <w:r w:rsidRPr="00CB16AB">
        <w:rPr>
          <w:rFonts w:hint="eastAsia"/>
        </w:rPr>
        <w:t>4年度預算案評估如下：</w:t>
      </w:r>
      <w:bookmarkStart w:id="1" w:name="_Toc109918603"/>
    </w:p>
    <w:p w:rsidR="00B66EB6" w:rsidRPr="00CB16AB" w:rsidRDefault="00CC5F13" w:rsidP="00D97268">
      <w:pPr>
        <w:pStyle w:val="14"/>
      </w:pPr>
      <w:bookmarkStart w:id="2" w:name="_Toc176604308"/>
      <w:bookmarkStart w:id="3" w:name="_Toc176677677"/>
      <w:bookmarkStart w:id="4" w:name="_Toc176677981"/>
      <w:bookmarkStart w:id="5" w:name="_Toc181190086"/>
      <w:bookmarkEnd w:id="1"/>
      <w:r w:rsidRPr="00CB16AB">
        <w:t>四</w:t>
      </w:r>
      <w:r w:rsidR="00B66EB6" w:rsidRPr="00CB16AB">
        <w:rPr>
          <w:rFonts w:hint="eastAsia"/>
        </w:rPr>
        <w:t>、112年度部分轉投資事業之投資報酬率未達10%，且較111年度下滑者達8家，</w:t>
      </w:r>
      <w:r w:rsidR="00B66E2D" w:rsidRPr="00CB16AB">
        <w:rPr>
          <w:rFonts w:hint="eastAsia"/>
        </w:rPr>
        <w:t>轉投資績效容待提升</w:t>
      </w:r>
      <w:bookmarkEnd w:id="2"/>
      <w:bookmarkEnd w:id="3"/>
      <w:bookmarkEnd w:id="4"/>
      <w:bookmarkEnd w:id="5"/>
    </w:p>
    <w:p w:rsidR="00B66EB6" w:rsidRPr="00CB16AB" w:rsidRDefault="00B66EB6" w:rsidP="00B72A55">
      <w:r w:rsidRPr="00CB16AB">
        <w:rPr>
          <w:rFonts w:hint="eastAsia"/>
        </w:rPr>
        <w:t>依據安置基金114年度附屬單位預算書所載，該基金轉投資事業計28家</w:t>
      </w:r>
      <w:r w:rsidRPr="00CB16AB">
        <w:rPr>
          <w:vertAlign w:val="superscript"/>
        </w:rPr>
        <w:footnoteReference w:id="1"/>
      </w:r>
      <w:r w:rsidRPr="00CB16AB">
        <w:rPr>
          <w:rFonts w:hint="eastAsia"/>
        </w:rPr>
        <w:t>，投資淨額合計</w:t>
      </w:r>
      <w:r w:rsidRPr="00CB16AB">
        <w:t>43</w:t>
      </w:r>
      <w:r w:rsidRPr="00CB16AB">
        <w:rPr>
          <w:rFonts w:hint="eastAsia"/>
        </w:rPr>
        <w:t>億</w:t>
      </w:r>
      <w:r w:rsidRPr="00CB16AB">
        <w:t>9</w:t>
      </w:r>
      <w:r w:rsidRPr="00CB16AB">
        <w:rPr>
          <w:rFonts w:hint="eastAsia"/>
        </w:rPr>
        <w:t>,</w:t>
      </w:r>
      <w:r w:rsidRPr="00CB16AB">
        <w:t>357</w:t>
      </w:r>
      <w:r w:rsidRPr="00CB16AB">
        <w:rPr>
          <w:rFonts w:hint="eastAsia"/>
        </w:rPr>
        <w:t>萬</w:t>
      </w:r>
      <w:r w:rsidRPr="00CB16AB">
        <w:t>1</w:t>
      </w:r>
      <w:r w:rsidRPr="00CB16AB">
        <w:rPr>
          <w:rFonts w:hint="eastAsia"/>
        </w:rPr>
        <w:t>千元，預估年度投資收益</w:t>
      </w:r>
      <w:r w:rsidRPr="00CB16AB">
        <w:t>14</w:t>
      </w:r>
      <w:r w:rsidRPr="00CB16AB">
        <w:rPr>
          <w:rFonts w:hint="eastAsia"/>
        </w:rPr>
        <w:t>億</w:t>
      </w:r>
      <w:r w:rsidRPr="00CB16AB">
        <w:t>2</w:t>
      </w:r>
      <w:r w:rsidRPr="00CB16AB">
        <w:rPr>
          <w:rFonts w:hint="eastAsia"/>
        </w:rPr>
        <w:t>,</w:t>
      </w:r>
      <w:r w:rsidRPr="00CB16AB">
        <w:t>417</w:t>
      </w:r>
      <w:r w:rsidRPr="00CB16AB">
        <w:rPr>
          <w:rFonts w:hint="eastAsia"/>
        </w:rPr>
        <w:t>萬</w:t>
      </w:r>
      <w:r w:rsidRPr="00CB16AB">
        <w:t>4</w:t>
      </w:r>
      <w:r w:rsidRPr="00CB16AB">
        <w:rPr>
          <w:rFonts w:hint="eastAsia"/>
        </w:rPr>
        <w:t>千元，</w:t>
      </w:r>
      <w:r w:rsidR="00201093" w:rsidRPr="00CB16AB">
        <w:rPr>
          <w:rFonts w:hint="eastAsia"/>
        </w:rPr>
        <w:t>預估</w:t>
      </w:r>
      <w:r w:rsidRPr="00CB16AB">
        <w:rPr>
          <w:rFonts w:hint="eastAsia"/>
        </w:rPr>
        <w:t>投資報酬率約為</w:t>
      </w:r>
      <w:r w:rsidRPr="00CB16AB">
        <w:t>32.41%</w:t>
      </w:r>
      <w:r w:rsidRPr="00CB16AB">
        <w:rPr>
          <w:rFonts w:hint="eastAsia"/>
        </w:rPr>
        <w:t>。</w:t>
      </w:r>
    </w:p>
    <w:p w:rsidR="00B66EB6" w:rsidRPr="00CB16AB" w:rsidRDefault="00E668D8" w:rsidP="00E668D8">
      <w:r w:rsidRPr="00CB16AB">
        <w:rPr>
          <w:rFonts w:hint="eastAsia"/>
        </w:rPr>
        <w:t>按</w:t>
      </w:r>
      <w:r w:rsidR="00B66EB6" w:rsidRPr="00CB16AB">
        <w:rPr>
          <w:rFonts w:hint="eastAsia"/>
        </w:rPr>
        <w:t>安置基金收支保管運用辦法第3條</w:t>
      </w:r>
      <w:r w:rsidR="00B66EB6" w:rsidRPr="00CB16AB">
        <w:rPr>
          <w:vertAlign w:val="superscript"/>
        </w:rPr>
        <w:footnoteReference w:id="2"/>
      </w:r>
      <w:r w:rsidR="00B66EB6" w:rsidRPr="00CB16AB">
        <w:rPr>
          <w:rFonts w:hint="eastAsia"/>
        </w:rPr>
        <w:t>規定，</w:t>
      </w:r>
      <w:r w:rsidR="00F246D0" w:rsidRPr="00CB16AB">
        <w:rPr>
          <w:rFonts w:hint="eastAsia"/>
        </w:rPr>
        <w:t>輔導會</w:t>
      </w:r>
      <w:r w:rsidR="00B66EB6" w:rsidRPr="00CB16AB">
        <w:rPr>
          <w:rFonts w:hint="eastAsia"/>
        </w:rPr>
        <w:t>各項投資計畫之投資收入係該基金之來源之一，亦即透過轉投資事業之投</w:t>
      </w:r>
      <w:r w:rsidR="00B66EB6" w:rsidRPr="00CB16AB">
        <w:rPr>
          <w:rFonts w:hint="eastAsia"/>
        </w:rPr>
        <w:lastRenderedPageBreak/>
        <w:t>資收益挹注基金，將有助於健全該基金之財務。依安置基金統計資料，112年度持股比率超過20%之轉投資事業計有23家(詳表1)，</w:t>
      </w:r>
      <w:r w:rsidR="005F7DE4" w:rsidRPr="00CB16AB">
        <w:rPr>
          <w:rFonts w:hint="eastAsia"/>
        </w:rPr>
        <w:t>係</w:t>
      </w:r>
      <w:r w:rsidR="000C3005">
        <w:rPr>
          <w:rFonts w:hint="eastAsia"/>
        </w:rPr>
        <w:t>以</w:t>
      </w:r>
      <w:r w:rsidR="005F7DE4" w:rsidRPr="00CB16AB">
        <w:rPr>
          <w:rFonts w:hint="eastAsia"/>
        </w:rPr>
        <w:t>各</w:t>
      </w:r>
      <w:r w:rsidR="00B66EB6" w:rsidRPr="00CB16AB">
        <w:rPr>
          <w:rFonts w:hint="eastAsia"/>
        </w:rPr>
        <w:t>該等轉投資事業之投資報酬率作為經營績效參考指標，觀察各事業112年度投資報酬率最高前2名以達榮環保公司</w:t>
      </w:r>
      <w:r w:rsidR="00B66EB6" w:rsidRPr="00CB16AB">
        <w:t>61.78%</w:t>
      </w:r>
      <w:r w:rsidR="00B66EB6" w:rsidRPr="00CB16AB">
        <w:rPr>
          <w:rFonts w:hint="eastAsia"/>
        </w:rPr>
        <w:t>最高、欣桃天然氣公司</w:t>
      </w:r>
      <w:r w:rsidR="00B66EB6" w:rsidRPr="00CB16AB">
        <w:t>31.78%</w:t>
      </w:r>
      <w:r w:rsidR="00B66EB6" w:rsidRPr="00CB16AB">
        <w:rPr>
          <w:rFonts w:hint="eastAsia"/>
        </w:rPr>
        <w:t>居次。然112年度投資報酬率未達10%者計有欣南天然氣公司、欣欣客運公司、大南汽車公司、欣欣大眾公司、欣欣水泥公司、欣泉投資公司等6家</w:t>
      </w:r>
      <w:r w:rsidR="00B66EB6" w:rsidRPr="00CB16AB">
        <w:rPr>
          <w:vertAlign w:val="superscript"/>
        </w:rPr>
        <w:footnoteReference w:id="3"/>
      </w:r>
      <w:r w:rsidR="00B66EB6" w:rsidRPr="00CB16AB">
        <w:rPr>
          <w:rFonts w:hint="eastAsia"/>
        </w:rPr>
        <w:t>，且該等轉投資事業之投資報酬率，較111年度下滑者亦計有8家</w:t>
      </w:r>
      <w:r w:rsidR="00B66EB6" w:rsidRPr="00CB16AB">
        <w:rPr>
          <w:vertAlign w:val="superscript"/>
        </w:rPr>
        <w:footnoteReference w:id="4"/>
      </w:r>
      <w:r w:rsidR="00B66EB6" w:rsidRPr="00CB16AB">
        <w:rPr>
          <w:rFonts w:hint="eastAsia"/>
        </w:rPr>
        <w:t>，</w:t>
      </w:r>
      <w:r w:rsidR="00184B4F" w:rsidRPr="00CB16AB">
        <w:rPr>
          <w:rFonts w:hint="eastAsia"/>
        </w:rPr>
        <w:t>轉投資績效</w:t>
      </w:r>
      <w:r w:rsidR="00B66EB6" w:rsidRPr="00CB16AB">
        <w:rPr>
          <w:rFonts w:hint="eastAsia"/>
        </w:rPr>
        <w:t>容待提升。</w:t>
      </w:r>
    </w:p>
    <w:p w:rsidR="00B66EB6" w:rsidRPr="00CB16AB" w:rsidRDefault="00B66EB6" w:rsidP="00E668D8">
      <w:pPr>
        <w:rPr>
          <w:b/>
          <w:spacing w:val="-2"/>
        </w:rPr>
      </w:pPr>
      <w:r w:rsidRPr="00CB16AB">
        <w:t>詢據</w:t>
      </w:r>
      <w:r w:rsidR="00F246D0" w:rsidRPr="00CB16AB">
        <w:t>輔導會</w:t>
      </w:r>
      <w:r w:rsidRPr="00CB16AB">
        <w:t>說明</w:t>
      </w:r>
      <w:r w:rsidRPr="00CB16AB">
        <w:rPr>
          <w:rFonts w:hint="eastAsia"/>
        </w:rPr>
        <w:t>，8家轉投資事業之投資報酬率下滑係因112年疫情後製造業復甦力道緩慢，出口持續衰退，加上氣溫升高等大環境不可抗力因素之影響，工業用戶出現停用或觀望情形，民生用戶則為用氣量減少或新建案遲滯交屋掛表，致整體售氣量不如預期。雖因新冠肺炎疫情期間部分大眾運輸、製造業等轉投資事業可能受影響致營運收入降低，惟該基金仍宜審慎評估其轉投資事業之潛在風險及投資收益，逐步提升投資報酬率，俾發揮基金財務最大收益。</w:t>
      </w:r>
    </w:p>
    <w:p w:rsidR="00B66EB6" w:rsidRPr="00CB16AB" w:rsidRDefault="00B66EB6" w:rsidP="00B72A55">
      <w:pPr>
        <w:ind w:leftChars="-9" w:left="531" w:rightChars="-2" w:right="-6" w:hangingChars="199" w:hanging="556"/>
        <w:rPr>
          <w:b/>
          <w:spacing w:val="-2"/>
        </w:rPr>
      </w:pPr>
      <w:r w:rsidRPr="00CB16AB">
        <w:rPr>
          <w:rFonts w:hint="eastAsia"/>
          <w:b/>
          <w:spacing w:val="-2"/>
        </w:rPr>
        <w:t>表1 112年度安置基金轉投資事業投資報酬率概況表</w:t>
      </w:r>
      <w:r w:rsidR="00B72A55" w:rsidRPr="00CB16AB">
        <w:rPr>
          <w:rFonts w:hint="eastAsia"/>
          <w:b/>
          <w:spacing w:val="-2"/>
        </w:rPr>
        <w:t xml:space="preserve"> </w:t>
      </w:r>
      <w:r w:rsidR="00691D09" w:rsidRPr="00CB16AB">
        <w:rPr>
          <w:rFonts w:hint="eastAsia"/>
          <w:b/>
          <w:spacing w:val="-2"/>
        </w:rPr>
        <w:t xml:space="preserve"> </w:t>
      </w:r>
      <w:r w:rsidR="00B72A55" w:rsidRPr="00CB16AB">
        <w:rPr>
          <w:rFonts w:hint="eastAsia"/>
          <w:spacing w:val="-2"/>
          <w:sz w:val="24"/>
          <w:szCs w:val="24"/>
        </w:rPr>
        <w:t>單位：</w:t>
      </w:r>
      <w:r w:rsidR="00691D09" w:rsidRPr="00CB16AB">
        <w:rPr>
          <w:rFonts w:hint="eastAsia"/>
          <w:spacing w:val="-2"/>
          <w:sz w:val="24"/>
          <w:szCs w:val="24"/>
        </w:rPr>
        <w:t>新臺幣千元</w:t>
      </w:r>
      <w:r w:rsidRPr="00CB16AB">
        <w:rPr>
          <w:rFonts w:hint="eastAsia"/>
          <w:b/>
          <w:spacing w:val="-2"/>
        </w:rPr>
        <w:t xml:space="preserve">                                                                                             </w:t>
      </w:r>
    </w:p>
    <w:tbl>
      <w:tblPr>
        <w:tblW w:w="0" w:type="auto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11"/>
        <w:gridCol w:w="1231"/>
        <w:gridCol w:w="1232"/>
        <w:gridCol w:w="1288"/>
        <w:gridCol w:w="1158"/>
        <w:gridCol w:w="1284"/>
      </w:tblGrid>
      <w:tr w:rsidR="00B66EB6" w:rsidRPr="00CB16AB" w:rsidTr="00D97268">
        <w:trPr>
          <w:trHeight w:val="420"/>
          <w:tblHeader/>
          <w:jc w:val="center"/>
        </w:trPr>
        <w:tc>
          <w:tcPr>
            <w:tcW w:w="2411" w:type="dxa"/>
            <w:vMerge w:val="restart"/>
            <w:shd w:val="clear" w:color="auto" w:fill="auto"/>
            <w:vAlign w:val="center"/>
          </w:tcPr>
          <w:p w:rsidR="00B66EB6" w:rsidRPr="00CB16AB" w:rsidRDefault="00B66EB6" w:rsidP="00691D09">
            <w:pPr>
              <w:pStyle w:val="141"/>
              <w:jc w:val="center"/>
              <w:rPr>
                <w:szCs w:val="22"/>
              </w:rPr>
            </w:pPr>
            <w:r w:rsidRPr="00CB16AB">
              <w:rPr>
                <w:rFonts w:hint="eastAsia"/>
              </w:rPr>
              <w:t>轉投資事業</w:t>
            </w:r>
          </w:p>
        </w:tc>
        <w:tc>
          <w:tcPr>
            <w:tcW w:w="1231" w:type="dxa"/>
            <w:vMerge w:val="restart"/>
            <w:shd w:val="clear" w:color="auto" w:fill="auto"/>
            <w:vAlign w:val="center"/>
          </w:tcPr>
          <w:p w:rsidR="00B66EB6" w:rsidRPr="00CB16AB" w:rsidRDefault="00B66EB6" w:rsidP="00691D09">
            <w:pPr>
              <w:pStyle w:val="141"/>
              <w:jc w:val="center"/>
              <w:rPr>
                <w:szCs w:val="22"/>
              </w:rPr>
            </w:pPr>
            <w:r w:rsidRPr="00CB16AB">
              <w:rPr>
                <w:rFonts w:hint="eastAsia"/>
              </w:rPr>
              <w:t>資本額</w:t>
            </w:r>
          </w:p>
        </w:tc>
        <w:tc>
          <w:tcPr>
            <w:tcW w:w="1232" w:type="dxa"/>
            <w:vMerge w:val="restart"/>
            <w:shd w:val="clear" w:color="auto" w:fill="auto"/>
            <w:vAlign w:val="center"/>
          </w:tcPr>
          <w:p w:rsidR="00B66EB6" w:rsidRPr="00CB16AB" w:rsidRDefault="00B66EB6" w:rsidP="00691D09">
            <w:pPr>
              <w:pStyle w:val="141"/>
              <w:jc w:val="center"/>
              <w:rPr>
                <w:szCs w:val="22"/>
              </w:rPr>
            </w:pPr>
            <w:r w:rsidRPr="00CB16AB">
              <w:rPr>
                <w:rFonts w:hint="eastAsia"/>
              </w:rPr>
              <w:t>稅後盈餘</w:t>
            </w:r>
          </w:p>
        </w:tc>
        <w:tc>
          <w:tcPr>
            <w:tcW w:w="2446" w:type="dxa"/>
            <w:gridSpan w:val="2"/>
            <w:shd w:val="clear" w:color="auto" w:fill="auto"/>
            <w:vAlign w:val="center"/>
          </w:tcPr>
          <w:p w:rsidR="00B66EB6" w:rsidRPr="00CB16AB" w:rsidRDefault="00B66EB6" w:rsidP="00691D09">
            <w:pPr>
              <w:pStyle w:val="141"/>
              <w:jc w:val="center"/>
              <w:rPr>
                <w:szCs w:val="22"/>
              </w:rPr>
            </w:pPr>
            <w:r w:rsidRPr="00CB16AB">
              <w:rPr>
                <w:rFonts w:hint="eastAsia"/>
              </w:rPr>
              <w:t>投資報酬率</w:t>
            </w:r>
          </w:p>
        </w:tc>
        <w:tc>
          <w:tcPr>
            <w:tcW w:w="1284" w:type="dxa"/>
            <w:vMerge w:val="restart"/>
            <w:shd w:val="clear" w:color="auto" w:fill="auto"/>
            <w:vAlign w:val="center"/>
          </w:tcPr>
          <w:p w:rsidR="00B66EB6" w:rsidRPr="00CB16AB" w:rsidRDefault="00B66EB6" w:rsidP="00E668D8">
            <w:pPr>
              <w:pStyle w:val="141"/>
              <w:jc w:val="center"/>
              <w:rPr>
                <w:szCs w:val="22"/>
              </w:rPr>
            </w:pPr>
            <w:r w:rsidRPr="00CB16AB">
              <w:rPr>
                <w:rFonts w:hint="eastAsia"/>
              </w:rPr>
              <w:t>持股比率</w:t>
            </w:r>
          </w:p>
        </w:tc>
      </w:tr>
      <w:tr w:rsidR="00B66EB6" w:rsidRPr="00CB16AB" w:rsidTr="00D97268">
        <w:trPr>
          <w:trHeight w:val="510"/>
          <w:tblHeader/>
          <w:jc w:val="center"/>
        </w:trPr>
        <w:tc>
          <w:tcPr>
            <w:tcW w:w="2411" w:type="dxa"/>
            <w:vMerge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</w:pPr>
          </w:p>
        </w:tc>
        <w:tc>
          <w:tcPr>
            <w:tcW w:w="1231" w:type="dxa"/>
            <w:vMerge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</w:pPr>
          </w:p>
        </w:tc>
        <w:tc>
          <w:tcPr>
            <w:tcW w:w="1232" w:type="dxa"/>
            <w:vMerge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</w:pPr>
          </w:p>
        </w:tc>
        <w:tc>
          <w:tcPr>
            <w:tcW w:w="1288" w:type="dxa"/>
            <w:shd w:val="clear" w:color="auto" w:fill="auto"/>
            <w:vAlign w:val="center"/>
          </w:tcPr>
          <w:p w:rsidR="00B66EB6" w:rsidRPr="00CB16AB" w:rsidRDefault="00B66EB6" w:rsidP="00691D09">
            <w:pPr>
              <w:pStyle w:val="141"/>
              <w:jc w:val="center"/>
              <w:rPr>
                <w:szCs w:val="22"/>
              </w:rPr>
            </w:pPr>
            <w:r w:rsidRPr="00CB16AB">
              <w:rPr>
                <w:rFonts w:hint="eastAsia"/>
              </w:rPr>
              <w:t>112年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B66EB6" w:rsidRPr="00CB16AB" w:rsidRDefault="00B66EB6" w:rsidP="00691D09">
            <w:pPr>
              <w:pStyle w:val="141"/>
              <w:jc w:val="center"/>
              <w:rPr>
                <w:szCs w:val="22"/>
              </w:rPr>
            </w:pPr>
            <w:r w:rsidRPr="00CB16AB">
              <w:rPr>
                <w:rFonts w:hint="eastAsia"/>
              </w:rPr>
              <w:t>較111年度增減%</w:t>
            </w:r>
          </w:p>
        </w:tc>
        <w:tc>
          <w:tcPr>
            <w:tcW w:w="1284" w:type="dxa"/>
            <w:vMerge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</w:pPr>
          </w:p>
        </w:tc>
      </w:tr>
      <w:tr w:rsidR="00B66EB6" w:rsidRPr="00CB16AB" w:rsidTr="00D97268">
        <w:trPr>
          <w:trHeight w:val="340"/>
          <w:jc w:val="center"/>
        </w:trPr>
        <w:tc>
          <w:tcPr>
            <w:tcW w:w="2411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rPr>
                <w:szCs w:val="22"/>
              </w:rPr>
            </w:pPr>
            <w:r w:rsidRPr="00CB16AB">
              <w:rPr>
                <w:rFonts w:hint="eastAsia"/>
              </w:rPr>
              <w:t>1.欣隆天然氣公司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699,000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76,715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10.97%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0.58%</w:t>
            </w:r>
          </w:p>
        </w:tc>
        <w:tc>
          <w:tcPr>
            <w:tcW w:w="1284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42.00%</w:t>
            </w:r>
          </w:p>
        </w:tc>
      </w:tr>
      <w:tr w:rsidR="00B66EB6" w:rsidRPr="00CB16AB" w:rsidTr="00D97268">
        <w:trPr>
          <w:trHeight w:val="340"/>
          <w:jc w:val="center"/>
        </w:trPr>
        <w:tc>
          <w:tcPr>
            <w:tcW w:w="2411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rPr>
                <w:szCs w:val="22"/>
              </w:rPr>
            </w:pPr>
            <w:r w:rsidRPr="00CB16AB">
              <w:rPr>
                <w:rFonts w:hint="eastAsia"/>
              </w:rPr>
              <w:t>2.欣湖天然氣公司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1,184,743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153,831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12.98%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0.43%</w:t>
            </w:r>
          </w:p>
        </w:tc>
        <w:tc>
          <w:tcPr>
            <w:tcW w:w="1284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32.95%</w:t>
            </w:r>
          </w:p>
        </w:tc>
      </w:tr>
      <w:tr w:rsidR="00B66EB6" w:rsidRPr="00CB16AB" w:rsidTr="00D97268">
        <w:trPr>
          <w:trHeight w:val="340"/>
          <w:jc w:val="center"/>
        </w:trPr>
        <w:tc>
          <w:tcPr>
            <w:tcW w:w="2411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rPr>
                <w:szCs w:val="22"/>
              </w:rPr>
            </w:pPr>
            <w:r w:rsidRPr="00CB16AB">
              <w:rPr>
                <w:rFonts w:hint="eastAsia"/>
              </w:rPr>
              <w:t>3.欣欣天然氣公司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1,805,375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355,885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19.71%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11.74%</w:t>
            </w:r>
          </w:p>
        </w:tc>
        <w:tc>
          <w:tcPr>
            <w:tcW w:w="1284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25.79%</w:t>
            </w:r>
          </w:p>
        </w:tc>
      </w:tr>
      <w:tr w:rsidR="00B66EB6" w:rsidRPr="00CB16AB" w:rsidTr="00D97268">
        <w:trPr>
          <w:trHeight w:val="340"/>
          <w:jc w:val="center"/>
        </w:trPr>
        <w:tc>
          <w:tcPr>
            <w:tcW w:w="2411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rPr>
                <w:szCs w:val="22"/>
              </w:rPr>
            </w:pPr>
            <w:r w:rsidRPr="00CB16AB">
              <w:rPr>
                <w:rFonts w:hint="eastAsia"/>
              </w:rPr>
              <w:t>4.欣泰石油氣公司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1,626,525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387,367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23.82%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</w:pPr>
            <w:r w:rsidRPr="00CB16AB">
              <w:rPr>
                <w:rFonts w:hint="eastAsia"/>
              </w:rPr>
              <w:t>1.20%</w:t>
            </w:r>
          </w:p>
        </w:tc>
        <w:tc>
          <w:tcPr>
            <w:tcW w:w="1284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24.62%</w:t>
            </w:r>
          </w:p>
        </w:tc>
      </w:tr>
      <w:tr w:rsidR="00B66EB6" w:rsidRPr="00CB16AB" w:rsidTr="00D97268">
        <w:trPr>
          <w:trHeight w:val="340"/>
          <w:jc w:val="center"/>
        </w:trPr>
        <w:tc>
          <w:tcPr>
            <w:tcW w:w="2411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rPr>
                <w:szCs w:val="22"/>
              </w:rPr>
            </w:pPr>
            <w:r w:rsidRPr="00CB16AB">
              <w:rPr>
                <w:rFonts w:hint="eastAsia"/>
              </w:rPr>
              <w:lastRenderedPageBreak/>
              <w:t>5.</w:t>
            </w:r>
            <w:r w:rsidRPr="00CB16AB">
              <w:rPr>
                <w:rFonts w:hint="eastAsia"/>
                <w:shd w:val="clear" w:color="auto" w:fill="D8D8D8"/>
              </w:rPr>
              <w:t>欣桃天然氣公司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1,828,449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581,000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  <w:highlight w:val="lightGray"/>
              </w:rPr>
              <w:t>31.78%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  <w:shd w:val="pct15" w:color="auto" w:fill="FFFFFF"/>
              </w:rPr>
              <w:t>-1.06%</w:t>
            </w:r>
          </w:p>
        </w:tc>
        <w:tc>
          <w:tcPr>
            <w:tcW w:w="1284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41.45%</w:t>
            </w:r>
          </w:p>
        </w:tc>
      </w:tr>
      <w:tr w:rsidR="00B66EB6" w:rsidRPr="00CB16AB" w:rsidTr="00D97268">
        <w:trPr>
          <w:trHeight w:val="340"/>
          <w:jc w:val="center"/>
        </w:trPr>
        <w:tc>
          <w:tcPr>
            <w:tcW w:w="2411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rPr>
                <w:szCs w:val="22"/>
              </w:rPr>
            </w:pPr>
            <w:r w:rsidRPr="00CB16AB">
              <w:rPr>
                <w:rFonts w:hint="eastAsia"/>
              </w:rPr>
              <w:t>6.欣中天然氣公司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1,803,073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430,105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23.85%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0.56%</w:t>
            </w:r>
          </w:p>
        </w:tc>
        <w:tc>
          <w:tcPr>
            <w:tcW w:w="1284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40.06%</w:t>
            </w:r>
          </w:p>
        </w:tc>
      </w:tr>
      <w:tr w:rsidR="00B66EB6" w:rsidRPr="00CB16AB" w:rsidTr="00D97268">
        <w:trPr>
          <w:trHeight w:val="340"/>
          <w:jc w:val="center"/>
        </w:trPr>
        <w:tc>
          <w:tcPr>
            <w:tcW w:w="2411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rPr>
                <w:szCs w:val="22"/>
              </w:rPr>
            </w:pPr>
            <w:r w:rsidRPr="00CB16AB">
              <w:rPr>
                <w:rFonts w:hint="eastAsia"/>
              </w:rPr>
              <w:t>7.欣林天然氣公司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1,386,578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246,948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17.81%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2.74%</w:t>
            </w:r>
          </w:p>
        </w:tc>
        <w:tc>
          <w:tcPr>
            <w:tcW w:w="1284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42.37%</w:t>
            </w:r>
          </w:p>
        </w:tc>
      </w:tr>
      <w:tr w:rsidR="00B66EB6" w:rsidRPr="00CB16AB" w:rsidTr="00D97268">
        <w:trPr>
          <w:trHeight w:val="340"/>
          <w:jc w:val="center"/>
        </w:trPr>
        <w:tc>
          <w:tcPr>
            <w:tcW w:w="2411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rPr>
                <w:szCs w:val="22"/>
              </w:rPr>
            </w:pPr>
            <w:r w:rsidRPr="00CB16AB">
              <w:rPr>
                <w:rFonts w:hint="eastAsia"/>
              </w:rPr>
              <w:t>8.欣彰天然氣公司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4,007,834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609,564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15.21%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  <w:shd w:val="pct15" w:color="auto" w:fill="FFFFFF"/>
              </w:rPr>
              <w:t>-2.27%</w:t>
            </w:r>
          </w:p>
        </w:tc>
        <w:tc>
          <w:tcPr>
            <w:tcW w:w="1284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34.08%</w:t>
            </w:r>
          </w:p>
        </w:tc>
      </w:tr>
      <w:tr w:rsidR="00B66EB6" w:rsidRPr="00CB16AB" w:rsidTr="00D97268">
        <w:trPr>
          <w:trHeight w:val="340"/>
          <w:jc w:val="center"/>
        </w:trPr>
        <w:tc>
          <w:tcPr>
            <w:tcW w:w="2411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rPr>
                <w:szCs w:val="22"/>
              </w:rPr>
            </w:pPr>
            <w:r w:rsidRPr="00CB16AB">
              <w:rPr>
                <w:rFonts w:hint="eastAsia"/>
              </w:rPr>
              <w:t>9.欣雲天然氣公司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790,345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158,194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20.02%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0.32%</w:t>
            </w:r>
          </w:p>
        </w:tc>
        <w:tc>
          <w:tcPr>
            <w:tcW w:w="1284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28.80%</w:t>
            </w:r>
          </w:p>
        </w:tc>
      </w:tr>
      <w:tr w:rsidR="00B66EB6" w:rsidRPr="00CB16AB" w:rsidTr="00D97268">
        <w:trPr>
          <w:trHeight w:val="340"/>
          <w:jc w:val="center"/>
        </w:trPr>
        <w:tc>
          <w:tcPr>
            <w:tcW w:w="2411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rPr>
                <w:szCs w:val="22"/>
              </w:rPr>
            </w:pPr>
            <w:r w:rsidRPr="00CB16AB">
              <w:rPr>
                <w:rFonts w:hint="eastAsia"/>
              </w:rPr>
              <w:t>10.欣嘉石油氣公司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377,295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57,567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15.26%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0.02%</w:t>
            </w:r>
          </w:p>
        </w:tc>
        <w:tc>
          <w:tcPr>
            <w:tcW w:w="1284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39.00%</w:t>
            </w:r>
          </w:p>
        </w:tc>
      </w:tr>
      <w:tr w:rsidR="00B66EB6" w:rsidRPr="00CB16AB" w:rsidTr="00D97268">
        <w:trPr>
          <w:trHeight w:val="340"/>
          <w:jc w:val="center"/>
        </w:trPr>
        <w:tc>
          <w:tcPr>
            <w:tcW w:w="2411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rPr>
                <w:szCs w:val="22"/>
              </w:rPr>
            </w:pPr>
            <w:r w:rsidRPr="00CB16AB">
              <w:rPr>
                <w:rFonts w:hint="eastAsia"/>
              </w:rPr>
              <w:t>11.</w:t>
            </w:r>
            <w:r w:rsidRPr="00CB16AB">
              <w:rPr>
                <w:rFonts w:hint="eastAsia"/>
                <w:shd w:val="clear" w:color="auto" w:fill="D8D8D8"/>
              </w:rPr>
              <w:t>欣南天然氣公司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1,846,337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129,219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7.00%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  <w:shd w:val="pct15" w:color="auto" w:fill="FFFFFF"/>
              </w:rPr>
              <w:t>-1.12%</w:t>
            </w:r>
          </w:p>
        </w:tc>
        <w:tc>
          <w:tcPr>
            <w:tcW w:w="1284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26.07%</w:t>
            </w:r>
          </w:p>
        </w:tc>
      </w:tr>
      <w:tr w:rsidR="00B66EB6" w:rsidRPr="00CB16AB" w:rsidTr="00D97268">
        <w:trPr>
          <w:trHeight w:val="340"/>
          <w:jc w:val="center"/>
        </w:trPr>
        <w:tc>
          <w:tcPr>
            <w:tcW w:w="2411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rPr>
                <w:szCs w:val="22"/>
              </w:rPr>
            </w:pPr>
            <w:r w:rsidRPr="00CB16AB">
              <w:rPr>
                <w:rFonts w:hint="eastAsia"/>
              </w:rPr>
              <w:t>12.大台南天然氣公司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1,200,000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174,973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14.58%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  <w:shd w:val="pct15" w:color="auto" w:fill="FFFFFF"/>
              </w:rPr>
            </w:pPr>
            <w:r w:rsidRPr="00CB16AB">
              <w:rPr>
                <w:rFonts w:hint="eastAsia"/>
                <w:shd w:val="pct15" w:color="auto" w:fill="FFFFFF"/>
              </w:rPr>
              <w:t>-3.38%</w:t>
            </w:r>
          </w:p>
        </w:tc>
        <w:tc>
          <w:tcPr>
            <w:tcW w:w="1284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28.80%</w:t>
            </w:r>
          </w:p>
        </w:tc>
      </w:tr>
      <w:tr w:rsidR="00B66EB6" w:rsidRPr="00CB16AB" w:rsidTr="00D97268">
        <w:trPr>
          <w:trHeight w:val="340"/>
          <w:jc w:val="center"/>
        </w:trPr>
        <w:tc>
          <w:tcPr>
            <w:tcW w:w="2411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rPr>
                <w:szCs w:val="22"/>
              </w:rPr>
            </w:pPr>
            <w:r w:rsidRPr="00CB16AB">
              <w:rPr>
                <w:rFonts w:hint="eastAsia"/>
              </w:rPr>
              <w:t>13.欣高石油氣公司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1,203,693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173,220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14.39%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  <w:shd w:val="pct15" w:color="auto" w:fill="FFFFFF"/>
              </w:rPr>
            </w:pPr>
            <w:r w:rsidRPr="00CB16AB">
              <w:rPr>
                <w:rFonts w:hint="eastAsia"/>
                <w:shd w:val="pct15" w:color="auto" w:fill="FFFFFF"/>
              </w:rPr>
              <w:t>-1.30%</w:t>
            </w:r>
          </w:p>
        </w:tc>
        <w:tc>
          <w:tcPr>
            <w:tcW w:w="1284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21.26%</w:t>
            </w:r>
          </w:p>
        </w:tc>
      </w:tr>
      <w:tr w:rsidR="00B66EB6" w:rsidRPr="00CB16AB" w:rsidTr="00D97268">
        <w:trPr>
          <w:trHeight w:val="340"/>
          <w:jc w:val="center"/>
        </w:trPr>
        <w:tc>
          <w:tcPr>
            <w:tcW w:w="2411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rPr>
                <w:szCs w:val="22"/>
              </w:rPr>
            </w:pPr>
            <w:r w:rsidRPr="00CB16AB">
              <w:rPr>
                <w:rFonts w:hint="eastAsia"/>
              </w:rPr>
              <w:t>14.欣雄天然氣公司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2,834,706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519,642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18.33%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  <w:shd w:val="pct15" w:color="auto" w:fill="FFFFFF"/>
              </w:rPr>
            </w:pPr>
            <w:r w:rsidRPr="00CB16AB">
              <w:rPr>
                <w:rFonts w:hint="eastAsia"/>
                <w:shd w:val="pct15" w:color="auto" w:fill="FFFFFF"/>
              </w:rPr>
              <w:t>-5.33%</w:t>
            </w:r>
          </w:p>
        </w:tc>
        <w:tc>
          <w:tcPr>
            <w:tcW w:w="1284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23.56%</w:t>
            </w:r>
          </w:p>
        </w:tc>
      </w:tr>
      <w:tr w:rsidR="00B66EB6" w:rsidRPr="00CB16AB" w:rsidTr="00D97268">
        <w:trPr>
          <w:trHeight w:val="340"/>
          <w:jc w:val="center"/>
        </w:trPr>
        <w:tc>
          <w:tcPr>
            <w:tcW w:w="2411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rPr>
                <w:szCs w:val="22"/>
              </w:rPr>
            </w:pPr>
            <w:r w:rsidRPr="00CB16AB">
              <w:rPr>
                <w:rFonts w:hint="eastAsia"/>
              </w:rPr>
              <w:t>15.欣屏天然氣公司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436,894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82,533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18.89%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  <w:shd w:val="pct15" w:color="auto" w:fill="FFFFFF"/>
              </w:rPr>
            </w:pPr>
            <w:r w:rsidRPr="00CB16AB">
              <w:rPr>
                <w:rFonts w:hint="eastAsia"/>
                <w:shd w:val="pct15" w:color="auto" w:fill="FFFFFF"/>
              </w:rPr>
              <w:t>-5.16%</w:t>
            </w:r>
          </w:p>
        </w:tc>
        <w:tc>
          <w:tcPr>
            <w:tcW w:w="1284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31.93%</w:t>
            </w:r>
          </w:p>
        </w:tc>
      </w:tr>
      <w:tr w:rsidR="00B66EB6" w:rsidRPr="00CB16AB" w:rsidTr="00D97268">
        <w:trPr>
          <w:trHeight w:val="340"/>
          <w:jc w:val="center"/>
        </w:trPr>
        <w:tc>
          <w:tcPr>
            <w:tcW w:w="2411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rPr>
                <w:szCs w:val="22"/>
              </w:rPr>
            </w:pPr>
            <w:r w:rsidRPr="00CB16AB">
              <w:rPr>
                <w:rFonts w:hint="eastAsia"/>
              </w:rPr>
              <w:t>16</w:t>
            </w:r>
            <w:r w:rsidRPr="00CB16AB">
              <w:rPr>
                <w:rFonts w:hint="eastAsia"/>
                <w:shd w:val="clear" w:color="auto" w:fill="D8D8D8"/>
              </w:rPr>
              <w:t>.欣欣客運公司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519,003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16,086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3.10%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17.81%</w:t>
            </w:r>
          </w:p>
        </w:tc>
        <w:tc>
          <w:tcPr>
            <w:tcW w:w="1284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49.07%</w:t>
            </w:r>
          </w:p>
        </w:tc>
      </w:tr>
      <w:tr w:rsidR="00B66EB6" w:rsidRPr="00CB16AB" w:rsidTr="00D97268">
        <w:trPr>
          <w:trHeight w:val="340"/>
          <w:jc w:val="center"/>
        </w:trPr>
        <w:tc>
          <w:tcPr>
            <w:tcW w:w="2411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rPr>
                <w:szCs w:val="22"/>
              </w:rPr>
            </w:pPr>
            <w:r w:rsidRPr="00CB16AB">
              <w:rPr>
                <w:rFonts w:hint="eastAsia"/>
              </w:rPr>
              <w:t>17.</w:t>
            </w:r>
            <w:r w:rsidRPr="00CB16AB">
              <w:rPr>
                <w:rFonts w:hint="eastAsia"/>
                <w:shd w:val="clear" w:color="auto" w:fill="D8D8D8"/>
              </w:rPr>
              <w:t>大南汽車公司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290,428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20,512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7.06%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6.21%</w:t>
            </w:r>
          </w:p>
        </w:tc>
        <w:tc>
          <w:tcPr>
            <w:tcW w:w="1284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25.58%</w:t>
            </w:r>
          </w:p>
        </w:tc>
      </w:tr>
      <w:tr w:rsidR="00B66EB6" w:rsidRPr="00CB16AB" w:rsidTr="00D97268">
        <w:trPr>
          <w:trHeight w:val="340"/>
          <w:jc w:val="center"/>
        </w:trPr>
        <w:tc>
          <w:tcPr>
            <w:tcW w:w="2411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rPr>
                <w:szCs w:val="22"/>
              </w:rPr>
            </w:pPr>
            <w:r w:rsidRPr="00CB16AB">
              <w:rPr>
                <w:rFonts w:hint="eastAsia"/>
              </w:rPr>
              <w:t>18.</w:t>
            </w:r>
            <w:r w:rsidRPr="00CB16AB">
              <w:rPr>
                <w:rFonts w:hint="eastAsia"/>
                <w:shd w:val="clear" w:color="auto" w:fill="D8D8D8"/>
              </w:rPr>
              <w:t>欣欣大眾公司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730,433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29,619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4.05%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1.76%</w:t>
            </w:r>
          </w:p>
        </w:tc>
        <w:tc>
          <w:tcPr>
            <w:tcW w:w="1284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43.16%</w:t>
            </w:r>
          </w:p>
        </w:tc>
      </w:tr>
      <w:tr w:rsidR="00B66EB6" w:rsidRPr="00CB16AB" w:rsidTr="00D97268">
        <w:trPr>
          <w:trHeight w:val="340"/>
          <w:jc w:val="center"/>
        </w:trPr>
        <w:tc>
          <w:tcPr>
            <w:tcW w:w="2411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rPr>
                <w:szCs w:val="22"/>
              </w:rPr>
            </w:pPr>
            <w:r w:rsidRPr="00CB16AB">
              <w:rPr>
                <w:rFonts w:hint="eastAsia"/>
              </w:rPr>
              <w:t>19.</w:t>
            </w:r>
            <w:r w:rsidRPr="00CB16AB">
              <w:rPr>
                <w:rFonts w:hint="eastAsia"/>
                <w:shd w:val="clear" w:color="auto" w:fill="D8D8D8"/>
              </w:rPr>
              <w:t>欣欣水泥公司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930,331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77,706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8.35%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5.48%</w:t>
            </w:r>
          </w:p>
        </w:tc>
        <w:tc>
          <w:tcPr>
            <w:tcW w:w="1284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40.04%</w:t>
            </w:r>
          </w:p>
        </w:tc>
      </w:tr>
      <w:tr w:rsidR="00B66EB6" w:rsidRPr="00CB16AB" w:rsidTr="00D97268">
        <w:trPr>
          <w:trHeight w:val="340"/>
          <w:jc w:val="center"/>
        </w:trPr>
        <w:tc>
          <w:tcPr>
            <w:tcW w:w="2411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rPr>
                <w:szCs w:val="22"/>
              </w:rPr>
            </w:pPr>
            <w:r w:rsidRPr="00CB16AB">
              <w:rPr>
                <w:rFonts w:hint="eastAsia"/>
              </w:rPr>
              <w:t>20.</w:t>
            </w:r>
            <w:r w:rsidRPr="00CB16AB">
              <w:rPr>
                <w:rFonts w:hint="eastAsia"/>
                <w:shd w:val="clear" w:color="auto" w:fill="D8D8D8"/>
              </w:rPr>
              <w:t>欣泉投資公司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759,276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56,190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7.40%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2.21%</w:t>
            </w:r>
          </w:p>
        </w:tc>
        <w:tc>
          <w:tcPr>
            <w:tcW w:w="1284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37.80%</w:t>
            </w:r>
          </w:p>
        </w:tc>
      </w:tr>
      <w:tr w:rsidR="00B66EB6" w:rsidRPr="00CB16AB" w:rsidTr="00D97268">
        <w:trPr>
          <w:trHeight w:val="340"/>
          <w:jc w:val="center"/>
        </w:trPr>
        <w:tc>
          <w:tcPr>
            <w:tcW w:w="2411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rPr>
                <w:szCs w:val="22"/>
              </w:rPr>
            </w:pPr>
            <w:r w:rsidRPr="00CB16AB">
              <w:rPr>
                <w:rFonts w:hint="eastAsia"/>
              </w:rPr>
              <w:t>21.遠榮氣體公司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335,100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71,860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21.44%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  <w:shd w:val="pct15" w:color="auto" w:fill="FFFFFF"/>
              </w:rPr>
              <w:t>-1.48%</w:t>
            </w:r>
          </w:p>
        </w:tc>
        <w:tc>
          <w:tcPr>
            <w:tcW w:w="1284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39.82%</w:t>
            </w:r>
          </w:p>
        </w:tc>
      </w:tr>
      <w:tr w:rsidR="00B66EB6" w:rsidRPr="00CB16AB" w:rsidTr="00D97268">
        <w:trPr>
          <w:trHeight w:val="340"/>
          <w:jc w:val="center"/>
        </w:trPr>
        <w:tc>
          <w:tcPr>
            <w:tcW w:w="2411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rPr>
                <w:szCs w:val="22"/>
              </w:rPr>
            </w:pPr>
            <w:r w:rsidRPr="00CB16AB">
              <w:rPr>
                <w:rFonts w:hint="eastAsia"/>
              </w:rPr>
              <w:t>22.泛亞建設公司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1,144,417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289,955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25.34%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2.89%</w:t>
            </w:r>
          </w:p>
        </w:tc>
        <w:tc>
          <w:tcPr>
            <w:tcW w:w="1284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47.91%</w:t>
            </w:r>
          </w:p>
        </w:tc>
      </w:tr>
      <w:tr w:rsidR="00B66EB6" w:rsidRPr="00CB16AB" w:rsidTr="00D97268">
        <w:trPr>
          <w:trHeight w:val="340"/>
          <w:jc w:val="center"/>
        </w:trPr>
        <w:tc>
          <w:tcPr>
            <w:tcW w:w="2411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rPr>
                <w:szCs w:val="22"/>
              </w:rPr>
            </w:pPr>
            <w:r w:rsidRPr="00CB16AB">
              <w:rPr>
                <w:rFonts w:hint="eastAsia"/>
              </w:rPr>
              <w:t>23.</w:t>
            </w:r>
            <w:r w:rsidRPr="00CB16AB">
              <w:rPr>
                <w:rFonts w:hint="eastAsia"/>
                <w:shd w:val="clear" w:color="auto" w:fill="D8D8D8"/>
              </w:rPr>
              <w:t>達榮環保公司</w:t>
            </w:r>
          </w:p>
        </w:tc>
        <w:tc>
          <w:tcPr>
            <w:tcW w:w="1231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300,000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185,341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  <w:highlight w:val="lightGray"/>
              </w:rPr>
              <w:t>61.78%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61.94%</w:t>
            </w:r>
          </w:p>
        </w:tc>
        <w:tc>
          <w:tcPr>
            <w:tcW w:w="1284" w:type="dxa"/>
            <w:shd w:val="clear" w:color="auto" w:fill="auto"/>
            <w:vAlign w:val="center"/>
          </w:tcPr>
          <w:p w:rsidR="00B66EB6" w:rsidRPr="00CB16AB" w:rsidRDefault="00B66EB6" w:rsidP="00B72A55">
            <w:pPr>
              <w:pStyle w:val="141"/>
              <w:jc w:val="right"/>
              <w:rPr>
                <w:szCs w:val="22"/>
              </w:rPr>
            </w:pPr>
            <w:r w:rsidRPr="00CB16AB">
              <w:rPr>
                <w:rFonts w:hint="eastAsia"/>
              </w:rPr>
              <w:t>33.40%</w:t>
            </w:r>
          </w:p>
        </w:tc>
      </w:tr>
    </w:tbl>
    <w:p w:rsidR="00B66EB6" w:rsidRPr="00CB16AB" w:rsidRDefault="00B66EB6" w:rsidP="00BB6CB4">
      <w:pPr>
        <w:pStyle w:val="141"/>
        <w:ind w:left="1469" w:hangingChars="604" w:hanging="1469"/>
        <w:jc w:val="both"/>
      </w:pPr>
      <w:r w:rsidRPr="00CB16AB">
        <w:rPr>
          <w:rFonts w:hint="eastAsia"/>
        </w:rPr>
        <w:t>說    明：1.本表不包括：1.榮電公司該公司現正辦理清算作業中；2.國華欣業公司已於112年清算完結；3.欣欣電子公司及榮民工程公司因營運虧損難以改善已結束營業，辦理清算作業中。</w:t>
      </w:r>
    </w:p>
    <w:p w:rsidR="00B66EB6" w:rsidRPr="00CB16AB" w:rsidRDefault="00B66EB6" w:rsidP="00BB6CB4">
      <w:pPr>
        <w:pStyle w:val="141"/>
        <w:ind w:leftChars="171" w:left="484" w:firstLineChars="295" w:firstLine="717"/>
        <w:jc w:val="both"/>
      </w:pPr>
      <w:r w:rsidRPr="00CB16AB">
        <w:rPr>
          <w:rFonts w:hint="eastAsia"/>
        </w:rPr>
        <w:t>2.投資報酬率=稅後盈餘/資本額</w:t>
      </w:r>
      <w:r w:rsidR="00691D09" w:rsidRPr="00CB16AB">
        <w:rPr>
          <w:rFonts w:hint="eastAsia"/>
        </w:rPr>
        <w:t>；尾差係四捨五入所致</w:t>
      </w:r>
      <w:r w:rsidRPr="00CB16AB">
        <w:rPr>
          <w:rFonts w:hint="eastAsia"/>
        </w:rPr>
        <w:t>。</w:t>
      </w:r>
    </w:p>
    <w:p w:rsidR="00B66EB6" w:rsidRPr="00CB16AB" w:rsidRDefault="00B66EB6" w:rsidP="0072664F">
      <w:pPr>
        <w:pStyle w:val="141"/>
        <w:ind w:left="1260" w:hangingChars="518" w:hanging="1260"/>
        <w:jc w:val="both"/>
      </w:pPr>
      <w:r w:rsidRPr="00CB16AB">
        <w:rPr>
          <w:rFonts w:hint="eastAsia"/>
        </w:rPr>
        <w:t>資</w:t>
      </w:r>
      <w:r w:rsidRPr="00CB16AB">
        <w:t>料來源</w:t>
      </w:r>
      <w:r w:rsidRPr="00CB16AB">
        <w:rPr>
          <w:rFonts w:hint="eastAsia"/>
        </w:rPr>
        <w:t>：整理111及112</w:t>
      </w:r>
      <w:r w:rsidR="0072664F" w:rsidRPr="00CB16AB">
        <w:rPr>
          <w:rFonts w:hint="eastAsia"/>
        </w:rPr>
        <w:t>年度</w:t>
      </w:r>
      <w:r w:rsidRPr="00CB16AB">
        <w:rPr>
          <w:rFonts w:hint="eastAsia"/>
        </w:rPr>
        <w:t>「國軍退除役官兵輔導委員會轉投資事業營運狀況表」。</w:t>
      </w:r>
    </w:p>
    <w:p w:rsidR="00B66EB6" w:rsidRPr="00CB16AB" w:rsidRDefault="00B66EB6" w:rsidP="0072664F">
      <w:pPr>
        <w:rPr>
          <w:rFonts w:hint="eastAsia"/>
        </w:rPr>
      </w:pPr>
      <w:r w:rsidRPr="00CB16AB">
        <w:rPr>
          <w:rFonts w:hint="eastAsia"/>
        </w:rPr>
        <w:t>綜上，</w:t>
      </w:r>
      <w:r w:rsidR="00F246D0" w:rsidRPr="00CB16AB">
        <w:rPr>
          <w:rFonts w:hint="eastAsia"/>
        </w:rPr>
        <w:t>輔導會</w:t>
      </w:r>
      <w:r w:rsidRPr="00CB16AB">
        <w:rPr>
          <w:rFonts w:hint="eastAsia"/>
        </w:rPr>
        <w:t>透過安置基金轉投資事業，</w:t>
      </w:r>
      <w:r w:rsidR="001D3A08" w:rsidRPr="00CB16AB">
        <w:rPr>
          <w:rFonts w:hint="eastAsia"/>
        </w:rPr>
        <w:t>惟</w:t>
      </w:r>
      <w:r w:rsidRPr="00CB16AB">
        <w:rPr>
          <w:rFonts w:hint="eastAsia"/>
        </w:rPr>
        <w:t>部分轉投資事業</w:t>
      </w:r>
      <w:r w:rsidR="001D3A08" w:rsidRPr="00CB16AB">
        <w:rPr>
          <w:rFonts w:hint="eastAsia"/>
        </w:rPr>
        <w:t>112年度</w:t>
      </w:r>
      <w:r w:rsidRPr="00CB16AB">
        <w:rPr>
          <w:rFonts w:hint="eastAsia"/>
        </w:rPr>
        <w:t>投資報酬率未達10%，且較111年度下滑者達</w:t>
      </w:r>
      <w:r w:rsidR="00B66E2D" w:rsidRPr="00CB16AB">
        <w:rPr>
          <w:rFonts w:hint="eastAsia"/>
        </w:rPr>
        <w:t>8</w:t>
      </w:r>
      <w:r w:rsidRPr="00CB16AB">
        <w:rPr>
          <w:rFonts w:hint="eastAsia"/>
        </w:rPr>
        <w:t>家，</w:t>
      </w:r>
      <w:r w:rsidR="00B66E2D" w:rsidRPr="00CB16AB">
        <w:rPr>
          <w:rFonts w:hAnsi="標楷體" w:hint="eastAsia"/>
        </w:rPr>
        <w:t>該等事業</w:t>
      </w:r>
      <w:r w:rsidRPr="00CB16AB">
        <w:rPr>
          <w:rFonts w:hint="eastAsia"/>
        </w:rPr>
        <w:t>允宜持續精進公司治理實施成效，</w:t>
      </w:r>
      <w:r w:rsidR="001D3A08" w:rsidRPr="00CB16AB">
        <w:rPr>
          <w:rFonts w:hint="eastAsia"/>
        </w:rPr>
        <w:t>俾</w:t>
      </w:r>
      <w:r w:rsidRPr="00CB16AB">
        <w:rPr>
          <w:rFonts w:hint="eastAsia"/>
        </w:rPr>
        <w:t>以提升企業永續發展</w:t>
      </w:r>
      <w:r w:rsidR="00B66E2D" w:rsidRPr="00CB16AB">
        <w:rPr>
          <w:rFonts w:hint="eastAsia"/>
        </w:rPr>
        <w:t>及</w:t>
      </w:r>
      <w:r w:rsidR="001D3A08" w:rsidRPr="00CB16AB">
        <w:rPr>
          <w:rFonts w:hint="eastAsia"/>
        </w:rPr>
        <w:t>提升基金</w:t>
      </w:r>
      <w:r w:rsidR="00B66E2D" w:rsidRPr="00CB16AB">
        <w:rPr>
          <w:rFonts w:hint="eastAsia"/>
        </w:rPr>
        <w:t>投資績效</w:t>
      </w:r>
      <w:r w:rsidRPr="00CB16AB">
        <w:rPr>
          <w:vertAlign w:val="superscript"/>
        </w:rPr>
        <w:footnoteReference w:id="5"/>
      </w:r>
      <w:r w:rsidRPr="00CB16AB">
        <w:rPr>
          <w:rFonts w:hint="eastAsia"/>
        </w:rPr>
        <w:t>。</w:t>
      </w:r>
    </w:p>
    <w:sectPr w:rsidR="00B66EB6" w:rsidRPr="00CB16AB" w:rsidSect="007621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6EAE" w:rsidRDefault="00FE6EAE" w:rsidP="00771583">
      <w:pPr>
        <w:ind w:left="560" w:firstLine="560"/>
      </w:pPr>
      <w:r>
        <w:separator/>
      </w:r>
    </w:p>
    <w:p w:rsidR="00FE6EAE" w:rsidRDefault="00FE6EAE" w:rsidP="00771583">
      <w:pPr>
        <w:ind w:left="560" w:firstLine="560"/>
      </w:pPr>
    </w:p>
    <w:p w:rsidR="00FE6EAE" w:rsidRDefault="00FE6EAE" w:rsidP="00771583">
      <w:pPr>
        <w:ind w:left="560" w:firstLine="560"/>
      </w:pPr>
    </w:p>
  </w:endnote>
  <w:endnote w:type="continuationSeparator" w:id="0">
    <w:p w:rsidR="00FE6EAE" w:rsidRDefault="00FE6EAE" w:rsidP="00771583">
      <w:pPr>
        <w:ind w:left="560" w:firstLine="560"/>
      </w:pPr>
      <w:r>
        <w:continuationSeparator/>
      </w:r>
    </w:p>
    <w:p w:rsidR="00FE6EAE" w:rsidRDefault="00FE6EAE" w:rsidP="00771583">
      <w:pPr>
        <w:ind w:left="560" w:firstLine="560"/>
      </w:pPr>
    </w:p>
    <w:p w:rsidR="00FE6EAE" w:rsidRDefault="00FE6EAE" w:rsidP="00771583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D5B" w:rsidRDefault="00E02D5B" w:rsidP="00771583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D5B" w:rsidRPr="000427DE" w:rsidRDefault="00E02D5B" w:rsidP="00804E59">
    <w:pPr>
      <w:pStyle w:val="ae"/>
      <w:ind w:leftChars="0" w:left="0" w:firstLineChars="0" w:firstLine="0"/>
      <w:jc w:val="center"/>
    </w:pPr>
    <w:r w:rsidRPr="000427DE">
      <w:fldChar w:fldCharType="begin"/>
    </w:r>
    <w:r w:rsidRPr="000427DE">
      <w:instrText>PAGE   \* MERGEFORMAT</w:instrText>
    </w:r>
    <w:r w:rsidRPr="000427DE">
      <w:fldChar w:fldCharType="separate"/>
    </w:r>
    <w:r w:rsidR="00C1053C" w:rsidRPr="00C1053C">
      <w:rPr>
        <w:noProof/>
        <w:lang w:val="zh-TW"/>
      </w:rPr>
      <w:t>3</w:t>
    </w:r>
    <w:r w:rsidRPr="000427DE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D5B" w:rsidRDefault="00E02D5B" w:rsidP="00771583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6EAE" w:rsidRDefault="00FE6EAE" w:rsidP="0018150B">
      <w:pPr>
        <w:ind w:left="560" w:firstLine="560"/>
      </w:pPr>
      <w:r>
        <w:separator/>
      </w:r>
    </w:p>
  </w:footnote>
  <w:footnote w:type="continuationSeparator" w:id="0">
    <w:p w:rsidR="00FE6EAE" w:rsidRDefault="00FE6EAE" w:rsidP="00771583">
      <w:pPr>
        <w:ind w:left="560" w:firstLine="560"/>
      </w:pPr>
      <w:r>
        <w:continuationSeparator/>
      </w:r>
    </w:p>
  </w:footnote>
  <w:footnote w:id="1">
    <w:p w:rsidR="00E02D5B" w:rsidRPr="003A21D9" w:rsidRDefault="00E02D5B" w:rsidP="00B72A55">
      <w:pPr>
        <w:pStyle w:val="af5"/>
        <w:rPr>
          <w:rFonts w:hint="eastAsia"/>
        </w:rPr>
      </w:pPr>
      <w:r>
        <w:rPr>
          <w:rStyle w:val="af0"/>
        </w:rPr>
        <w:footnoteRef/>
      </w:r>
      <w:r w:rsidRPr="003A21D9">
        <w:rPr>
          <w:rFonts w:hint="eastAsia"/>
        </w:rPr>
        <w:t>不包括102年5月30日已向法院聲請選派清算人之榮電(股)公司及103年度已編列撤資預算並辦理保留之歐欣環保(股)公司2家。</w:t>
      </w:r>
    </w:p>
  </w:footnote>
  <w:footnote w:id="2">
    <w:p w:rsidR="00E02D5B" w:rsidRPr="000D5AEE" w:rsidRDefault="00E02D5B" w:rsidP="00B72A55">
      <w:pPr>
        <w:pStyle w:val="af5"/>
      </w:pPr>
      <w:r w:rsidRPr="000D5AEE">
        <w:rPr>
          <w:rStyle w:val="af0"/>
          <w:rFonts w:hAnsi="標楷體"/>
        </w:rPr>
        <w:footnoteRef/>
      </w:r>
      <w:r w:rsidRPr="00A17937">
        <w:rPr>
          <w:rFonts w:hint="eastAsia"/>
        </w:rPr>
        <w:t>安置基金收支保管運用辦法第3條規定：「本基金之來源如下：一、由政府循預算程序之撥款。二、前美援贈與計畫內，由輔導會依照計畫規定貸與承辦機關</w:t>
      </w:r>
      <w:r w:rsidRPr="00882B77">
        <w:rPr>
          <w:rFonts w:hint="eastAsia"/>
        </w:rPr>
        <w:t>及榮民本人各項貸款之償還部分。三、橫貫公路沿線資源開發收益，經法定程序轉撥本基金部分。四、輔導會各項投資計畫之投資收入。五、本基金之孳息收入。六、其他有關收入</w:t>
      </w:r>
      <w:r>
        <w:rPr>
          <w:rFonts w:hint="eastAsia"/>
        </w:rPr>
        <w:t>」</w:t>
      </w:r>
      <w:r w:rsidRPr="00882B77">
        <w:rPr>
          <w:rFonts w:hint="eastAsia"/>
        </w:rPr>
        <w:t>。</w:t>
      </w:r>
    </w:p>
  </w:footnote>
  <w:footnote w:id="3">
    <w:p w:rsidR="00E02D5B" w:rsidRPr="0072664F" w:rsidRDefault="00E02D5B" w:rsidP="003A21D9">
      <w:pPr>
        <w:pStyle w:val="13"/>
        <w:rPr>
          <w:rStyle w:val="15"/>
        </w:rPr>
      </w:pPr>
      <w:r w:rsidRPr="00A17937">
        <w:rPr>
          <w:rStyle w:val="af0"/>
          <w:rFonts w:hAnsi="標楷體"/>
        </w:rPr>
        <w:footnoteRef/>
      </w:r>
      <w:r w:rsidRPr="0072664F">
        <w:rPr>
          <w:rStyle w:val="15"/>
          <w:rFonts w:hint="eastAsia"/>
        </w:rPr>
        <w:t>據輔導會說明，該等轉投資事業公司營運項目屬於客運業、百貨業、礦石業、投資公司等，皆非高投資報酬率行業。</w:t>
      </w:r>
    </w:p>
  </w:footnote>
  <w:footnote w:id="4">
    <w:p w:rsidR="00E02D5B" w:rsidRPr="0072664F" w:rsidRDefault="00E02D5B" w:rsidP="003A21D9">
      <w:pPr>
        <w:pStyle w:val="13"/>
      </w:pPr>
      <w:r w:rsidRPr="00A17937">
        <w:rPr>
          <w:rStyle w:val="af0"/>
          <w:rFonts w:hAnsi="標楷體"/>
        </w:rPr>
        <w:footnoteRef/>
      </w:r>
      <w:r w:rsidRPr="0072664F">
        <w:rPr>
          <w:rFonts w:hint="eastAsia"/>
        </w:rPr>
        <w:t>112年度投資報酬率較111年度下滑者，計有欣桃天然氣公司、欣彰天然氣公司、欣南天然氣公司、大台南天然氣公司、欣高石油氣公司、欣雄天然氣公司、欣屏天然氣公司及遠榮氣體公司等8家。</w:t>
      </w:r>
    </w:p>
  </w:footnote>
  <w:footnote w:id="5">
    <w:p w:rsidR="00E02D5B" w:rsidRPr="00A17937" w:rsidRDefault="00E02D5B" w:rsidP="00BC4141">
      <w:pPr>
        <w:pStyle w:val="141"/>
        <w:ind w:leftChars="-14" w:left="113" w:hangingChars="63" w:hanging="153"/>
        <w:jc w:val="both"/>
      </w:pPr>
      <w:r w:rsidRPr="00A17937">
        <w:rPr>
          <w:rStyle w:val="af0"/>
          <w:rFonts w:hAnsi="標楷體"/>
        </w:rPr>
        <w:footnoteRef/>
      </w:r>
      <w:r w:rsidRPr="00A17937">
        <w:rPr>
          <w:rFonts w:hint="eastAsia"/>
        </w:rPr>
        <w:t>詢據</w:t>
      </w:r>
      <w:r>
        <w:rPr>
          <w:rFonts w:hint="eastAsia"/>
        </w:rPr>
        <w:t>輔導會</w:t>
      </w:r>
      <w:r w:rsidRPr="00A17937">
        <w:rPr>
          <w:rFonts w:hint="eastAsia"/>
        </w:rPr>
        <w:t>說明，該會將持續落實目標管理，精進會薦人員之專業知能、加強對高階經理</w:t>
      </w:r>
      <w:r w:rsidRPr="003A21D9">
        <w:rPr>
          <w:rStyle w:val="15"/>
          <w:rFonts w:hint="eastAsia"/>
        </w:rPr>
        <w:t>人之績效考核，以促進整體經營效能提升，並督促受工業衰退影響致去年稍有</w:t>
      </w:r>
      <w:r w:rsidRPr="00A17937">
        <w:rPr>
          <w:rFonts w:hint="eastAsia"/>
        </w:rPr>
        <w:t>衰退之天然氣公司增加推廣人力、同業交流學習、提高層級拜訪客戶及綿密查漏作業等諸般作法，持續掌握新增完工案件，盡速掛表供氣，朝目標努力。另該會業持續配合政府政策及產業發展趨勢，推動各轉投資事業提升公司治理，維護公股權益及公司永續發展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D5B" w:rsidRDefault="00E02D5B" w:rsidP="00771583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D5B" w:rsidRDefault="00E02D5B" w:rsidP="00771583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D5B" w:rsidRDefault="00E02D5B" w:rsidP="00771583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CE1B18"/>
    <w:multiLevelType w:val="hybridMultilevel"/>
    <w:tmpl w:val="C072820C"/>
    <w:lvl w:ilvl="0" w:tplc="69C2D04E">
      <w:start w:val="1"/>
      <w:numFmt w:val="decimal"/>
      <w:lvlText w:val="%1."/>
      <w:lvlJc w:val="left"/>
      <w:pPr>
        <w:ind w:left="124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41" w:hanging="480"/>
      </w:pPr>
    </w:lvl>
    <w:lvl w:ilvl="2" w:tplc="0409001B" w:tentative="1">
      <w:start w:val="1"/>
      <w:numFmt w:val="lowerRoman"/>
      <w:lvlText w:val="%3."/>
      <w:lvlJc w:val="right"/>
      <w:pPr>
        <w:ind w:left="2321" w:hanging="480"/>
      </w:pPr>
    </w:lvl>
    <w:lvl w:ilvl="3" w:tplc="0409000F" w:tentative="1">
      <w:start w:val="1"/>
      <w:numFmt w:val="decimal"/>
      <w:lvlText w:val="%4."/>
      <w:lvlJc w:val="left"/>
      <w:pPr>
        <w:ind w:left="28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1" w:hanging="480"/>
      </w:pPr>
    </w:lvl>
    <w:lvl w:ilvl="5" w:tplc="0409001B" w:tentative="1">
      <w:start w:val="1"/>
      <w:numFmt w:val="lowerRoman"/>
      <w:lvlText w:val="%6."/>
      <w:lvlJc w:val="right"/>
      <w:pPr>
        <w:ind w:left="3761" w:hanging="480"/>
      </w:pPr>
    </w:lvl>
    <w:lvl w:ilvl="6" w:tplc="0409000F" w:tentative="1">
      <w:start w:val="1"/>
      <w:numFmt w:val="decimal"/>
      <w:lvlText w:val="%7."/>
      <w:lvlJc w:val="left"/>
      <w:pPr>
        <w:ind w:left="42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1" w:hanging="480"/>
      </w:pPr>
    </w:lvl>
    <w:lvl w:ilvl="8" w:tplc="0409001B" w:tentative="1">
      <w:start w:val="1"/>
      <w:numFmt w:val="lowerRoman"/>
      <w:lvlText w:val="%9."/>
      <w:lvlJc w:val="right"/>
      <w:pPr>
        <w:ind w:left="5201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21" w:allStyles="1" w:customStyles="0" w:latentStyles="0" w:stylesInUse="0" w:headingStyles="1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32B05"/>
    <w:rsid w:val="00000EC1"/>
    <w:rsid w:val="000010BD"/>
    <w:rsid w:val="00001455"/>
    <w:rsid w:val="00004D52"/>
    <w:rsid w:val="0001296A"/>
    <w:rsid w:val="00014C77"/>
    <w:rsid w:val="00016206"/>
    <w:rsid w:val="000171B9"/>
    <w:rsid w:val="00020574"/>
    <w:rsid w:val="000246A5"/>
    <w:rsid w:val="00026ADC"/>
    <w:rsid w:val="00037EED"/>
    <w:rsid w:val="00037FBB"/>
    <w:rsid w:val="000427DE"/>
    <w:rsid w:val="00044748"/>
    <w:rsid w:val="00044B5E"/>
    <w:rsid w:val="000528CD"/>
    <w:rsid w:val="00053E25"/>
    <w:rsid w:val="00060E35"/>
    <w:rsid w:val="00065DFA"/>
    <w:rsid w:val="000666B1"/>
    <w:rsid w:val="0007001F"/>
    <w:rsid w:val="00077D89"/>
    <w:rsid w:val="00085036"/>
    <w:rsid w:val="000905FE"/>
    <w:rsid w:val="000950FC"/>
    <w:rsid w:val="000B01B3"/>
    <w:rsid w:val="000C1E90"/>
    <w:rsid w:val="000C3005"/>
    <w:rsid w:val="000C6CBD"/>
    <w:rsid w:val="000D0B36"/>
    <w:rsid w:val="000D3C94"/>
    <w:rsid w:val="000D3ECE"/>
    <w:rsid w:val="000E09E5"/>
    <w:rsid w:val="000E2A1F"/>
    <w:rsid w:val="000E363E"/>
    <w:rsid w:val="000E4303"/>
    <w:rsid w:val="000E4A02"/>
    <w:rsid w:val="000E6161"/>
    <w:rsid w:val="000E70C7"/>
    <w:rsid w:val="001014AF"/>
    <w:rsid w:val="00103E1C"/>
    <w:rsid w:val="00106640"/>
    <w:rsid w:val="00107346"/>
    <w:rsid w:val="00114E2B"/>
    <w:rsid w:val="00116AA7"/>
    <w:rsid w:val="001177A8"/>
    <w:rsid w:val="00132B05"/>
    <w:rsid w:val="001444E8"/>
    <w:rsid w:val="00146166"/>
    <w:rsid w:val="00147073"/>
    <w:rsid w:val="001536B3"/>
    <w:rsid w:val="0017382E"/>
    <w:rsid w:val="0017571E"/>
    <w:rsid w:val="001763EB"/>
    <w:rsid w:val="0017728C"/>
    <w:rsid w:val="0018150B"/>
    <w:rsid w:val="00183E96"/>
    <w:rsid w:val="00184B4F"/>
    <w:rsid w:val="00184DC4"/>
    <w:rsid w:val="00186E53"/>
    <w:rsid w:val="001A13C3"/>
    <w:rsid w:val="001A3B8F"/>
    <w:rsid w:val="001B30CF"/>
    <w:rsid w:val="001C2C73"/>
    <w:rsid w:val="001C44A3"/>
    <w:rsid w:val="001D282F"/>
    <w:rsid w:val="001D3A08"/>
    <w:rsid w:val="001D7DEE"/>
    <w:rsid w:val="001E0FEE"/>
    <w:rsid w:val="001E39BD"/>
    <w:rsid w:val="001E3B05"/>
    <w:rsid w:val="001E5891"/>
    <w:rsid w:val="001E700B"/>
    <w:rsid w:val="00201093"/>
    <w:rsid w:val="00201327"/>
    <w:rsid w:val="00205E59"/>
    <w:rsid w:val="002167D6"/>
    <w:rsid w:val="00223766"/>
    <w:rsid w:val="00231C12"/>
    <w:rsid w:val="002321E1"/>
    <w:rsid w:val="00233E22"/>
    <w:rsid w:val="00234838"/>
    <w:rsid w:val="002361DC"/>
    <w:rsid w:val="0024370A"/>
    <w:rsid w:val="00250B16"/>
    <w:rsid w:val="00253EC8"/>
    <w:rsid w:val="0025631E"/>
    <w:rsid w:val="00260A23"/>
    <w:rsid w:val="00267312"/>
    <w:rsid w:val="002712CF"/>
    <w:rsid w:val="00281829"/>
    <w:rsid w:val="00292356"/>
    <w:rsid w:val="002A215D"/>
    <w:rsid w:val="002B011A"/>
    <w:rsid w:val="002B05E6"/>
    <w:rsid w:val="002B0D49"/>
    <w:rsid w:val="002B4DB7"/>
    <w:rsid w:val="002C0AFA"/>
    <w:rsid w:val="002C1640"/>
    <w:rsid w:val="002C5106"/>
    <w:rsid w:val="002C722E"/>
    <w:rsid w:val="002E0979"/>
    <w:rsid w:val="002E39F0"/>
    <w:rsid w:val="002E5D76"/>
    <w:rsid w:val="002F4537"/>
    <w:rsid w:val="002F5DC5"/>
    <w:rsid w:val="002F6DA9"/>
    <w:rsid w:val="002F78F6"/>
    <w:rsid w:val="003008A4"/>
    <w:rsid w:val="00302F6B"/>
    <w:rsid w:val="00303663"/>
    <w:rsid w:val="003110F6"/>
    <w:rsid w:val="003267D4"/>
    <w:rsid w:val="00332D4E"/>
    <w:rsid w:val="0033420E"/>
    <w:rsid w:val="003414D3"/>
    <w:rsid w:val="00343D17"/>
    <w:rsid w:val="00344B93"/>
    <w:rsid w:val="003452FD"/>
    <w:rsid w:val="00346E7C"/>
    <w:rsid w:val="00347040"/>
    <w:rsid w:val="003529F0"/>
    <w:rsid w:val="00365978"/>
    <w:rsid w:val="00370140"/>
    <w:rsid w:val="00375598"/>
    <w:rsid w:val="0037753A"/>
    <w:rsid w:val="003928E7"/>
    <w:rsid w:val="0039422E"/>
    <w:rsid w:val="003A1833"/>
    <w:rsid w:val="003A21D9"/>
    <w:rsid w:val="003A5BB1"/>
    <w:rsid w:val="003B53F8"/>
    <w:rsid w:val="003B78E5"/>
    <w:rsid w:val="003C0783"/>
    <w:rsid w:val="003C1C01"/>
    <w:rsid w:val="003D5C08"/>
    <w:rsid w:val="003E39CB"/>
    <w:rsid w:val="003E466C"/>
    <w:rsid w:val="003E7402"/>
    <w:rsid w:val="003F4838"/>
    <w:rsid w:val="004045D6"/>
    <w:rsid w:val="00411932"/>
    <w:rsid w:val="004124BE"/>
    <w:rsid w:val="0043196D"/>
    <w:rsid w:val="00437641"/>
    <w:rsid w:val="00444209"/>
    <w:rsid w:val="004511B0"/>
    <w:rsid w:val="004651BB"/>
    <w:rsid w:val="004652F6"/>
    <w:rsid w:val="004660C7"/>
    <w:rsid w:val="00474F54"/>
    <w:rsid w:val="00480794"/>
    <w:rsid w:val="004811F2"/>
    <w:rsid w:val="00482DE7"/>
    <w:rsid w:val="00487C6E"/>
    <w:rsid w:val="00487F0D"/>
    <w:rsid w:val="004A6538"/>
    <w:rsid w:val="004B0846"/>
    <w:rsid w:val="004B5C42"/>
    <w:rsid w:val="004C1040"/>
    <w:rsid w:val="004C22ED"/>
    <w:rsid w:val="004C3AF0"/>
    <w:rsid w:val="004C5102"/>
    <w:rsid w:val="004D55A1"/>
    <w:rsid w:val="004F32D7"/>
    <w:rsid w:val="00502D1F"/>
    <w:rsid w:val="005052AA"/>
    <w:rsid w:val="00510A9E"/>
    <w:rsid w:val="00512994"/>
    <w:rsid w:val="00524B77"/>
    <w:rsid w:val="00534859"/>
    <w:rsid w:val="0054028F"/>
    <w:rsid w:val="00542F1B"/>
    <w:rsid w:val="005431D5"/>
    <w:rsid w:val="0055178E"/>
    <w:rsid w:val="00553001"/>
    <w:rsid w:val="00557491"/>
    <w:rsid w:val="00563423"/>
    <w:rsid w:val="005720C7"/>
    <w:rsid w:val="00572EFB"/>
    <w:rsid w:val="00574AFB"/>
    <w:rsid w:val="00580FEC"/>
    <w:rsid w:val="005860AF"/>
    <w:rsid w:val="00591A8A"/>
    <w:rsid w:val="005946CE"/>
    <w:rsid w:val="00597E6C"/>
    <w:rsid w:val="005A3D94"/>
    <w:rsid w:val="005A671A"/>
    <w:rsid w:val="005C02E6"/>
    <w:rsid w:val="005C1B0D"/>
    <w:rsid w:val="005C3BE5"/>
    <w:rsid w:val="005C5C36"/>
    <w:rsid w:val="005D2349"/>
    <w:rsid w:val="005D577E"/>
    <w:rsid w:val="005D5A4A"/>
    <w:rsid w:val="005D7591"/>
    <w:rsid w:val="005E07DD"/>
    <w:rsid w:val="005E55DA"/>
    <w:rsid w:val="005F5DDB"/>
    <w:rsid w:val="005F7835"/>
    <w:rsid w:val="005F7DE4"/>
    <w:rsid w:val="00600C07"/>
    <w:rsid w:val="006017AE"/>
    <w:rsid w:val="0061497B"/>
    <w:rsid w:val="00621144"/>
    <w:rsid w:val="00622008"/>
    <w:rsid w:val="00622B61"/>
    <w:rsid w:val="00623176"/>
    <w:rsid w:val="00624DBF"/>
    <w:rsid w:val="006267F2"/>
    <w:rsid w:val="00627FF0"/>
    <w:rsid w:val="00633E67"/>
    <w:rsid w:val="0063405B"/>
    <w:rsid w:val="00642C21"/>
    <w:rsid w:val="0064358D"/>
    <w:rsid w:val="006437E7"/>
    <w:rsid w:val="00650361"/>
    <w:rsid w:val="00650E6B"/>
    <w:rsid w:val="006510B3"/>
    <w:rsid w:val="006660FD"/>
    <w:rsid w:val="00666783"/>
    <w:rsid w:val="00672E06"/>
    <w:rsid w:val="006912C0"/>
    <w:rsid w:val="00691D09"/>
    <w:rsid w:val="006A1C9B"/>
    <w:rsid w:val="006A5390"/>
    <w:rsid w:val="006B0AE2"/>
    <w:rsid w:val="006B2C4A"/>
    <w:rsid w:val="006B654C"/>
    <w:rsid w:val="006B76F0"/>
    <w:rsid w:val="006C14C1"/>
    <w:rsid w:val="006C3509"/>
    <w:rsid w:val="006C40E3"/>
    <w:rsid w:val="006C74A3"/>
    <w:rsid w:val="006D59EB"/>
    <w:rsid w:val="006D5AD3"/>
    <w:rsid w:val="006D6AF0"/>
    <w:rsid w:val="006D7E28"/>
    <w:rsid w:val="006F1ECE"/>
    <w:rsid w:val="007015A1"/>
    <w:rsid w:val="00705242"/>
    <w:rsid w:val="00706967"/>
    <w:rsid w:val="00722F72"/>
    <w:rsid w:val="007253BC"/>
    <w:rsid w:val="0072664F"/>
    <w:rsid w:val="0072673F"/>
    <w:rsid w:val="00730156"/>
    <w:rsid w:val="00740723"/>
    <w:rsid w:val="00741873"/>
    <w:rsid w:val="00742FDF"/>
    <w:rsid w:val="00744408"/>
    <w:rsid w:val="00747068"/>
    <w:rsid w:val="00747A3A"/>
    <w:rsid w:val="00754696"/>
    <w:rsid w:val="00754823"/>
    <w:rsid w:val="00755783"/>
    <w:rsid w:val="007621D4"/>
    <w:rsid w:val="007644B3"/>
    <w:rsid w:val="00771583"/>
    <w:rsid w:val="0077346E"/>
    <w:rsid w:val="00774471"/>
    <w:rsid w:val="007759EE"/>
    <w:rsid w:val="00780124"/>
    <w:rsid w:val="00780CFA"/>
    <w:rsid w:val="00791576"/>
    <w:rsid w:val="007A0A34"/>
    <w:rsid w:val="007A243F"/>
    <w:rsid w:val="007A3260"/>
    <w:rsid w:val="007A3CE8"/>
    <w:rsid w:val="007B046E"/>
    <w:rsid w:val="007B22F3"/>
    <w:rsid w:val="007B3458"/>
    <w:rsid w:val="007B430A"/>
    <w:rsid w:val="007B65A4"/>
    <w:rsid w:val="007C023A"/>
    <w:rsid w:val="007C0AC9"/>
    <w:rsid w:val="007D409D"/>
    <w:rsid w:val="007D419F"/>
    <w:rsid w:val="007D6984"/>
    <w:rsid w:val="007E59EB"/>
    <w:rsid w:val="007F1A3F"/>
    <w:rsid w:val="007F2630"/>
    <w:rsid w:val="00800515"/>
    <w:rsid w:val="008012D3"/>
    <w:rsid w:val="008021C4"/>
    <w:rsid w:val="008049FF"/>
    <w:rsid w:val="00804E59"/>
    <w:rsid w:val="00812BA9"/>
    <w:rsid w:val="008174FD"/>
    <w:rsid w:val="00825C5D"/>
    <w:rsid w:val="008372F9"/>
    <w:rsid w:val="008424BD"/>
    <w:rsid w:val="00846B44"/>
    <w:rsid w:val="00850D77"/>
    <w:rsid w:val="00851DDD"/>
    <w:rsid w:val="00870030"/>
    <w:rsid w:val="00871325"/>
    <w:rsid w:val="00881E94"/>
    <w:rsid w:val="00885306"/>
    <w:rsid w:val="00886C79"/>
    <w:rsid w:val="0089011D"/>
    <w:rsid w:val="0089095C"/>
    <w:rsid w:val="00895419"/>
    <w:rsid w:val="008A4872"/>
    <w:rsid w:val="008C0897"/>
    <w:rsid w:val="008C1EE5"/>
    <w:rsid w:val="008D36DB"/>
    <w:rsid w:val="008D3EE4"/>
    <w:rsid w:val="008D48CE"/>
    <w:rsid w:val="008D5376"/>
    <w:rsid w:val="008E1BD8"/>
    <w:rsid w:val="008F415D"/>
    <w:rsid w:val="008F57D7"/>
    <w:rsid w:val="008F7BD9"/>
    <w:rsid w:val="00900FB2"/>
    <w:rsid w:val="00902407"/>
    <w:rsid w:val="009116C3"/>
    <w:rsid w:val="00911D6A"/>
    <w:rsid w:val="00917832"/>
    <w:rsid w:val="00922164"/>
    <w:rsid w:val="009234E6"/>
    <w:rsid w:val="009277DB"/>
    <w:rsid w:val="0093543B"/>
    <w:rsid w:val="0094143A"/>
    <w:rsid w:val="00943093"/>
    <w:rsid w:val="00946931"/>
    <w:rsid w:val="00951416"/>
    <w:rsid w:val="00954403"/>
    <w:rsid w:val="009550DC"/>
    <w:rsid w:val="00957C7B"/>
    <w:rsid w:val="00963466"/>
    <w:rsid w:val="00970A2E"/>
    <w:rsid w:val="00970F47"/>
    <w:rsid w:val="0097276B"/>
    <w:rsid w:val="0097298C"/>
    <w:rsid w:val="0097541B"/>
    <w:rsid w:val="00975456"/>
    <w:rsid w:val="009812A3"/>
    <w:rsid w:val="00985052"/>
    <w:rsid w:val="00990057"/>
    <w:rsid w:val="009A66F3"/>
    <w:rsid w:val="009B143D"/>
    <w:rsid w:val="009B6250"/>
    <w:rsid w:val="009C6E50"/>
    <w:rsid w:val="009D2746"/>
    <w:rsid w:val="009E0AC1"/>
    <w:rsid w:val="009E0B33"/>
    <w:rsid w:val="009E12A7"/>
    <w:rsid w:val="009E4B8E"/>
    <w:rsid w:val="009E63B3"/>
    <w:rsid w:val="009E68E5"/>
    <w:rsid w:val="009F0D75"/>
    <w:rsid w:val="009F113A"/>
    <w:rsid w:val="009F2300"/>
    <w:rsid w:val="009F2302"/>
    <w:rsid w:val="00A02AB5"/>
    <w:rsid w:val="00A0355E"/>
    <w:rsid w:val="00A04B9B"/>
    <w:rsid w:val="00A12C04"/>
    <w:rsid w:val="00A14653"/>
    <w:rsid w:val="00A15422"/>
    <w:rsid w:val="00A22572"/>
    <w:rsid w:val="00A27D96"/>
    <w:rsid w:val="00A3133E"/>
    <w:rsid w:val="00A40BAA"/>
    <w:rsid w:val="00A50D4C"/>
    <w:rsid w:val="00A561F4"/>
    <w:rsid w:val="00A56312"/>
    <w:rsid w:val="00A7015A"/>
    <w:rsid w:val="00A7178F"/>
    <w:rsid w:val="00A83D21"/>
    <w:rsid w:val="00A8442B"/>
    <w:rsid w:val="00A86536"/>
    <w:rsid w:val="00A87288"/>
    <w:rsid w:val="00A933AA"/>
    <w:rsid w:val="00AB2BA3"/>
    <w:rsid w:val="00AB4935"/>
    <w:rsid w:val="00AB559E"/>
    <w:rsid w:val="00AC2CCD"/>
    <w:rsid w:val="00AC5155"/>
    <w:rsid w:val="00AC60D8"/>
    <w:rsid w:val="00AD1237"/>
    <w:rsid w:val="00AD34D9"/>
    <w:rsid w:val="00AD7E6D"/>
    <w:rsid w:val="00AE3EB0"/>
    <w:rsid w:val="00AE7028"/>
    <w:rsid w:val="00AF05EF"/>
    <w:rsid w:val="00B01D04"/>
    <w:rsid w:val="00B06C29"/>
    <w:rsid w:val="00B1539E"/>
    <w:rsid w:val="00B15F1E"/>
    <w:rsid w:val="00B17CBE"/>
    <w:rsid w:val="00B2186A"/>
    <w:rsid w:val="00B30AD3"/>
    <w:rsid w:val="00B41426"/>
    <w:rsid w:val="00B4172A"/>
    <w:rsid w:val="00B44DA2"/>
    <w:rsid w:val="00B521D0"/>
    <w:rsid w:val="00B66E2D"/>
    <w:rsid w:val="00B66EB6"/>
    <w:rsid w:val="00B67180"/>
    <w:rsid w:val="00B729F0"/>
    <w:rsid w:val="00B72A55"/>
    <w:rsid w:val="00B7692F"/>
    <w:rsid w:val="00B92F86"/>
    <w:rsid w:val="00B93040"/>
    <w:rsid w:val="00B94FEF"/>
    <w:rsid w:val="00BA029F"/>
    <w:rsid w:val="00BA54E0"/>
    <w:rsid w:val="00BB18C6"/>
    <w:rsid w:val="00BB6CB4"/>
    <w:rsid w:val="00BB7505"/>
    <w:rsid w:val="00BC1EB5"/>
    <w:rsid w:val="00BC2D3A"/>
    <w:rsid w:val="00BC4141"/>
    <w:rsid w:val="00BC62E4"/>
    <w:rsid w:val="00BC6E4D"/>
    <w:rsid w:val="00BD0A93"/>
    <w:rsid w:val="00BD0C2A"/>
    <w:rsid w:val="00BD7EC9"/>
    <w:rsid w:val="00BE118E"/>
    <w:rsid w:val="00BE58F4"/>
    <w:rsid w:val="00BF2224"/>
    <w:rsid w:val="00BF5F38"/>
    <w:rsid w:val="00C06537"/>
    <w:rsid w:val="00C1053C"/>
    <w:rsid w:val="00C162CB"/>
    <w:rsid w:val="00C24D7E"/>
    <w:rsid w:val="00C31212"/>
    <w:rsid w:val="00C34555"/>
    <w:rsid w:val="00C41F45"/>
    <w:rsid w:val="00C521E8"/>
    <w:rsid w:val="00C55269"/>
    <w:rsid w:val="00C74DBE"/>
    <w:rsid w:val="00C76B5E"/>
    <w:rsid w:val="00C85DBA"/>
    <w:rsid w:val="00C9114D"/>
    <w:rsid w:val="00C912D9"/>
    <w:rsid w:val="00C97213"/>
    <w:rsid w:val="00CA06CD"/>
    <w:rsid w:val="00CA12A6"/>
    <w:rsid w:val="00CA1E76"/>
    <w:rsid w:val="00CB16AB"/>
    <w:rsid w:val="00CB2249"/>
    <w:rsid w:val="00CC0570"/>
    <w:rsid w:val="00CC2EC2"/>
    <w:rsid w:val="00CC3ED5"/>
    <w:rsid w:val="00CC49E5"/>
    <w:rsid w:val="00CC55D2"/>
    <w:rsid w:val="00CC5F13"/>
    <w:rsid w:val="00CD6594"/>
    <w:rsid w:val="00CD76B6"/>
    <w:rsid w:val="00CE137E"/>
    <w:rsid w:val="00CE5636"/>
    <w:rsid w:val="00D03259"/>
    <w:rsid w:val="00D148A6"/>
    <w:rsid w:val="00D24928"/>
    <w:rsid w:val="00D34326"/>
    <w:rsid w:val="00D40A23"/>
    <w:rsid w:val="00D456EB"/>
    <w:rsid w:val="00D50B52"/>
    <w:rsid w:val="00D51EE9"/>
    <w:rsid w:val="00D64461"/>
    <w:rsid w:val="00D67A04"/>
    <w:rsid w:val="00D74693"/>
    <w:rsid w:val="00D759C8"/>
    <w:rsid w:val="00D75D14"/>
    <w:rsid w:val="00D835F7"/>
    <w:rsid w:val="00D849E0"/>
    <w:rsid w:val="00D86745"/>
    <w:rsid w:val="00D91266"/>
    <w:rsid w:val="00D95CB0"/>
    <w:rsid w:val="00D97268"/>
    <w:rsid w:val="00DA4B89"/>
    <w:rsid w:val="00DA509C"/>
    <w:rsid w:val="00DB0720"/>
    <w:rsid w:val="00DB2BE2"/>
    <w:rsid w:val="00DB2E6A"/>
    <w:rsid w:val="00DB4043"/>
    <w:rsid w:val="00DB7E58"/>
    <w:rsid w:val="00DC51A0"/>
    <w:rsid w:val="00DC759A"/>
    <w:rsid w:val="00DD7275"/>
    <w:rsid w:val="00DE0585"/>
    <w:rsid w:val="00DE4D50"/>
    <w:rsid w:val="00DF5EC5"/>
    <w:rsid w:val="00DF6615"/>
    <w:rsid w:val="00DF6D19"/>
    <w:rsid w:val="00E00BA1"/>
    <w:rsid w:val="00E02D5B"/>
    <w:rsid w:val="00E06EBC"/>
    <w:rsid w:val="00E31FDA"/>
    <w:rsid w:val="00E35322"/>
    <w:rsid w:val="00E4696B"/>
    <w:rsid w:val="00E54A7E"/>
    <w:rsid w:val="00E55C4E"/>
    <w:rsid w:val="00E57EDA"/>
    <w:rsid w:val="00E61823"/>
    <w:rsid w:val="00E62D14"/>
    <w:rsid w:val="00E64AAB"/>
    <w:rsid w:val="00E657D1"/>
    <w:rsid w:val="00E668D8"/>
    <w:rsid w:val="00E80665"/>
    <w:rsid w:val="00E8086A"/>
    <w:rsid w:val="00E878EA"/>
    <w:rsid w:val="00E91A8A"/>
    <w:rsid w:val="00E92EFC"/>
    <w:rsid w:val="00E94FF1"/>
    <w:rsid w:val="00E968E0"/>
    <w:rsid w:val="00EA1717"/>
    <w:rsid w:val="00EA2F3F"/>
    <w:rsid w:val="00EA761C"/>
    <w:rsid w:val="00EC2FB2"/>
    <w:rsid w:val="00EC3C96"/>
    <w:rsid w:val="00EC4F09"/>
    <w:rsid w:val="00EC52E3"/>
    <w:rsid w:val="00EC743B"/>
    <w:rsid w:val="00ED03D2"/>
    <w:rsid w:val="00ED5F68"/>
    <w:rsid w:val="00EE7B7B"/>
    <w:rsid w:val="00EF26A8"/>
    <w:rsid w:val="00EF3E38"/>
    <w:rsid w:val="00F04CD7"/>
    <w:rsid w:val="00F04F99"/>
    <w:rsid w:val="00F05461"/>
    <w:rsid w:val="00F06F66"/>
    <w:rsid w:val="00F11399"/>
    <w:rsid w:val="00F12C58"/>
    <w:rsid w:val="00F20DCE"/>
    <w:rsid w:val="00F246D0"/>
    <w:rsid w:val="00F325B7"/>
    <w:rsid w:val="00F335EE"/>
    <w:rsid w:val="00F41476"/>
    <w:rsid w:val="00F45642"/>
    <w:rsid w:val="00F523AF"/>
    <w:rsid w:val="00F56183"/>
    <w:rsid w:val="00F6214A"/>
    <w:rsid w:val="00F664FA"/>
    <w:rsid w:val="00F670B9"/>
    <w:rsid w:val="00F726AE"/>
    <w:rsid w:val="00F8026C"/>
    <w:rsid w:val="00F87BB5"/>
    <w:rsid w:val="00F93213"/>
    <w:rsid w:val="00F97F02"/>
    <w:rsid w:val="00FA1F6A"/>
    <w:rsid w:val="00FA7FFD"/>
    <w:rsid w:val="00FB6B01"/>
    <w:rsid w:val="00FC6942"/>
    <w:rsid w:val="00FD2A56"/>
    <w:rsid w:val="00FD3BE3"/>
    <w:rsid w:val="00FD4D6D"/>
    <w:rsid w:val="00FD516E"/>
    <w:rsid w:val="00FD58B5"/>
    <w:rsid w:val="00FD595A"/>
    <w:rsid w:val="00FD738A"/>
    <w:rsid w:val="00FE53F9"/>
    <w:rsid w:val="00FE693C"/>
    <w:rsid w:val="00FE6EAE"/>
    <w:rsid w:val="00FF1D88"/>
    <w:rsid w:val="00FF47C5"/>
    <w:rsid w:val="00FF49AB"/>
    <w:rsid w:val="00FF5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60C903D-68A1-4528-A057-872CAA4BF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72A55"/>
    <w:pPr>
      <w:widowControl w:val="0"/>
      <w:spacing w:line="500" w:lineRule="exact"/>
      <w:ind w:leftChars="200" w:left="566" w:firstLineChars="200" w:firstLine="566"/>
      <w:jc w:val="both"/>
    </w:pPr>
    <w:rPr>
      <w:rFonts w:ascii="標楷體" w:eastAsia="標楷體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97268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621D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621D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rsid w:val="00D97268"/>
    <w:pPr>
      <w:spacing w:line="500" w:lineRule="exact"/>
      <w:ind w:left="567" w:hangingChars="200" w:hanging="567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B72A55"/>
    <w:pPr>
      <w:ind w:left="849" w:hangingChars="100" w:hanging="283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rsid w:val="00D97268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c">
    <w:name w:val="header"/>
    <w:basedOn w:val="a"/>
    <w:link w:val="ad"/>
    <w:uiPriority w:val="99"/>
    <w:unhideWhenUsed/>
    <w:rsid w:val="00B66E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rsid w:val="00B72A55"/>
    <w:pPr>
      <w:adjustRightInd w:val="0"/>
      <w:ind w:leftChars="300" w:left="850"/>
    </w:pPr>
  </w:style>
  <w:style w:type="character" w:customStyle="1" w:styleId="20">
    <w:name w:val="標題 2 字元"/>
    <w:link w:val="2"/>
    <w:uiPriority w:val="9"/>
    <w:semiHidden/>
    <w:rsid w:val="007621D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7621D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ad">
    <w:name w:val="頁首 字元"/>
    <w:link w:val="ac"/>
    <w:uiPriority w:val="99"/>
    <w:rsid w:val="00B66EB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B66E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B66EB6"/>
    <w:rPr>
      <w:rFonts w:ascii="標楷體" w:eastAsia="標楷體"/>
      <w:snapToGrid w:val="0"/>
      <w:kern w:val="2"/>
    </w:rPr>
  </w:style>
  <w:style w:type="character" w:styleId="af0">
    <w:name w:val="footnote reference"/>
    <w:aliases w:val="FR,Ref,de nota al pie,註腳內容,Error-Fusnotßnotenzeichen5,Error-Fußnotenzeichen6,Error-Fußnotenzeic,Error-Fußnotenzeichen5,Error-Fußnotenzeichen3"/>
    <w:rsid w:val="00B66EB6"/>
    <w:rPr>
      <w:vertAlign w:val="superscript"/>
    </w:rPr>
  </w:style>
  <w:style w:type="character" w:customStyle="1" w:styleId="142">
    <w:name w:val="表格內文(14行高) 字元"/>
    <w:link w:val="141"/>
    <w:rsid w:val="00B66EB6"/>
    <w:rPr>
      <w:rFonts w:ascii="標楷體" w:eastAsia="標楷體"/>
      <w:snapToGrid w:val="0"/>
      <w:kern w:val="2"/>
      <w:sz w:val="24"/>
      <w:szCs w:val="28"/>
    </w:rPr>
  </w:style>
  <w:style w:type="character" w:styleId="af1">
    <w:name w:val="Hyperlink"/>
    <w:uiPriority w:val="99"/>
    <w:unhideWhenUsed/>
    <w:rsid w:val="00B66EB6"/>
    <w:rPr>
      <w:color w:val="0000FF"/>
      <w:u w:val="single"/>
    </w:rPr>
  </w:style>
  <w:style w:type="paragraph" w:styleId="12">
    <w:name w:val="toc 1"/>
    <w:basedOn w:val="a"/>
    <w:next w:val="a"/>
    <w:autoRedefine/>
    <w:uiPriority w:val="39"/>
    <w:unhideWhenUsed/>
    <w:qFormat/>
    <w:rsid w:val="00F45642"/>
    <w:pPr>
      <w:tabs>
        <w:tab w:val="right" w:leader="dot" w:pos="8525"/>
      </w:tabs>
      <w:spacing w:line="480" w:lineRule="exact"/>
      <w:ind w:leftChars="-14" w:left="480" w:rightChars="76" w:right="215" w:hangingChars="214" w:hanging="520"/>
    </w:pPr>
    <w:rPr>
      <w:noProof/>
      <w:sz w:val="24"/>
    </w:rPr>
  </w:style>
  <w:style w:type="character" w:customStyle="1" w:styleId="10">
    <w:name w:val="標題 1 字元"/>
    <w:link w:val="1"/>
    <w:uiPriority w:val="9"/>
    <w:rsid w:val="00D97268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paragraph" w:styleId="af2">
    <w:name w:val="TOC Heading"/>
    <w:basedOn w:val="1"/>
    <w:next w:val="a"/>
    <w:uiPriority w:val="39"/>
    <w:semiHidden/>
    <w:unhideWhenUsed/>
    <w:qFormat/>
    <w:rsid w:val="00D97268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color w:val="365F91"/>
      <w:kern w:val="0"/>
      <w:sz w:val="28"/>
      <w:szCs w:val="28"/>
    </w:rPr>
  </w:style>
  <w:style w:type="paragraph" w:styleId="22">
    <w:name w:val="toc 2"/>
    <w:basedOn w:val="a"/>
    <w:next w:val="a"/>
    <w:autoRedefine/>
    <w:uiPriority w:val="39"/>
    <w:semiHidden/>
    <w:unhideWhenUsed/>
    <w:qFormat/>
    <w:rsid w:val="00D97268"/>
    <w:pPr>
      <w:widowControl/>
      <w:spacing w:after="100" w:line="276" w:lineRule="auto"/>
      <w:ind w:leftChars="0" w:left="220" w:firstLineChars="0" w:firstLine="0"/>
      <w:jc w:val="left"/>
    </w:pPr>
    <w:rPr>
      <w:rFonts w:ascii="Calibri" w:eastAsia="新細明體" w:hAnsi="Calibri"/>
      <w:kern w:val="0"/>
      <w:sz w:val="22"/>
      <w:szCs w:val="22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D97268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kern w:val="0"/>
      <w:sz w:val="22"/>
      <w:szCs w:val="22"/>
    </w:rPr>
  </w:style>
  <w:style w:type="paragraph" w:styleId="af3">
    <w:name w:val="Balloon Text"/>
    <w:basedOn w:val="a"/>
    <w:link w:val="af4"/>
    <w:uiPriority w:val="99"/>
    <w:semiHidden/>
    <w:unhideWhenUsed/>
    <w:rsid w:val="00D97268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4">
    <w:name w:val="註解方塊文字 字元"/>
    <w:link w:val="af3"/>
    <w:uiPriority w:val="99"/>
    <w:semiHidden/>
    <w:rsid w:val="00D97268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af5">
    <w:name w:val="註腳文字(標準)"/>
    <w:basedOn w:val="af6"/>
    <w:link w:val="af7"/>
    <w:qFormat/>
    <w:rsid w:val="00D97268"/>
    <w:pPr>
      <w:spacing w:line="280" w:lineRule="exact"/>
      <w:ind w:leftChars="0" w:left="84" w:firstLineChars="0" w:hanging="84"/>
      <w:jc w:val="both"/>
    </w:pPr>
    <w:rPr>
      <w:sz w:val="24"/>
      <w:szCs w:val="24"/>
      <w:lang w:val="x-none"/>
    </w:rPr>
  </w:style>
  <w:style w:type="character" w:customStyle="1" w:styleId="af7">
    <w:name w:val="註腳文字(標準) 字元"/>
    <w:link w:val="af5"/>
    <w:rsid w:val="00D97268"/>
    <w:rPr>
      <w:rFonts w:ascii="標楷體" w:eastAsia="標楷體"/>
      <w:snapToGrid w:val="0"/>
      <w:kern w:val="2"/>
      <w:sz w:val="24"/>
      <w:szCs w:val="24"/>
      <w:lang w:val="x-none"/>
    </w:rPr>
  </w:style>
  <w:style w:type="paragraph" w:styleId="af6">
    <w:name w:val="footnote text"/>
    <w:basedOn w:val="a"/>
    <w:link w:val="af8"/>
    <w:uiPriority w:val="99"/>
    <w:semiHidden/>
    <w:unhideWhenUsed/>
    <w:rsid w:val="00D97268"/>
    <w:pPr>
      <w:snapToGrid w:val="0"/>
      <w:jc w:val="left"/>
    </w:pPr>
    <w:rPr>
      <w:sz w:val="20"/>
      <w:szCs w:val="20"/>
    </w:rPr>
  </w:style>
  <w:style w:type="character" w:customStyle="1" w:styleId="af8">
    <w:name w:val="註腳文字 字元"/>
    <w:link w:val="af6"/>
    <w:uiPriority w:val="99"/>
    <w:semiHidden/>
    <w:rsid w:val="00D97268"/>
    <w:rPr>
      <w:rFonts w:ascii="標楷體" w:eastAsia="標楷體"/>
      <w:snapToGrid w:val="0"/>
      <w:kern w:val="2"/>
    </w:rPr>
  </w:style>
  <w:style w:type="paragraph" w:customStyle="1" w:styleId="13">
    <w:name w:val="註腳文字(標準1)"/>
    <w:basedOn w:val="af5"/>
    <w:link w:val="15"/>
    <w:qFormat/>
    <w:rsid w:val="007A243F"/>
    <w:pPr>
      <w:ind w:left="140" w:hanging="140"/>
    </w:pPr>
    <w:rPr>
      <w:snapToGrid w:val="0"/>
    </w:rPr>
  </w:style>
  <w:style w:type="character" w:customStyle="1" w:styleId="15">
    <w:name w:val="註腳文字(標準1) 字元"/>
    <w:link w:val="13"/>
    <w:rsid w:val="007A243F"/>
    <w:rPr>
      <w:rFonts w:ascii="標楷體" w:eastAsia="標楷體"/>
      <w:snapToGrid w:val="0"/>
      <w:kern w:val="2"/>
      <w:sz w:val="24"/>
      <w:szCs w:val="24"/>
      <w:lang w:val="x-none"/>
    </w:rPr>
  </w:style>
  <w:style w:type="character" w:customStyle="1" w:styleId="11">
    <w:name w:val="(一)(二)(三) 字元1"/>
    <w:link w:val="a4"/>
    <w:rsid w:val="00780CFA"/>
    <w:rPr>
      <w:rFonts w:ascii="標楷體" w:eastAsia="標楷體"/>
      <w:b/>
      <w:kern w:val="2"/>
      <w:sz w:val="28"/>
      <w:szCs w:val="28"/>
    </w:rPr>
  </w:style>
  <w:style w:type="paragraph" w:styleId="Web">
    <w:name w:val="Normal (Web)"/>
    <w:basedOn w:val="a"/>
    <w:uiPriority w:val="99"/>
    <w:unhideWhenUsed/>
    <w:rsid w:val="00B93040"/>
    <w:pPr>
      <w:widowControl/>
      <w:spacing w:before="100" w:beforeAutospacing="1" w:after="221" w:line="181" w:lineRule="atLeast"/>
      <w:ind w:leftChars="0" w:left="0" w:firstLineChars="0" w:firstLine="0"/>
    </w:pPr>
    <w:rPr>
      <w:rFonts w:ascii="新細明體" w:eastAsia="新細明體" w:hAnsi="新細明體" w:cs="新細明體"/>
      <w:color w:val="000000"/>
      <w:spacing w:val="-6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63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38928;&#31639;&#20013;&#24515;\&#35413;&#20272;&#22577;&#21578;\&#36864;&#36628;&#26371;(&#21547;&#22522;&#37329;&#36001;&#22296;)\&#22522;&#37329;\&#22283;&#36557;&#36864;&#38500;&#24441;&#23448;&#20853;&#23433;&#32622;&#22522;&#37329;(&#36864;&#36628;&#26371;)\114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886C04-E8AE-412B-AE6D-0807642C3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390</Words>
  <Characters>2226</Characters>
  <Application>Microsoft Office Word</Application>
  <DocSecurity>0</DocSecurity>
  <Lines>18</Lines>
  <Paragraphs>5</Paragraphs>
  <ScaleCrop>false</ScaleCrop>
  <Company/>
  <LinksUpToDate>false</LinksUpToDate>
  <CharactersWithSpaces>2611</CharactersWithSpaces>
  <SharedDoc>false</SharedDoc>
  <HLinks>
    <vt:vector size="60" baseType="variant">
      <vt:variant>
        <vt:i4>1507385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_Toc181190092</vt:lpwstr>
      </vt:variant>
      <vt:variant>
        <vt:i4>1507385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_Toc181190091</vt:lpwstr>
      </vt:variant>
      <vt:variant>
        <vt:i4>1507385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_Toc181190090</vt:lpwstr>
      </vt:variant>
      <vt:variant>
        <vt:i4>1441849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_Toc181190089</vt:lpwstr>
      </vt:variant>
      <vt:variant>
        <vt:i4>1441849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_Toc181190088</vt:lpwstr>
      </vt:variant>
      <vt:variant>
        <vt:i4>1441849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_Toc181190087</vt:lpwstr>
      </vt:variant>
      <vt:variant>
        <vt:i4>1441849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_Toc181190086</vt:lpwstr>
      </vt:variant>
      <vt:variant>
        <vt:i4>1441849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_Toc181190085</vt:lpwstr>
      </vt:variant>
      <vt:variant>
        <vt:i4>1441849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_Toc181190084</vt:lpwstr>
      </vt:variant>
      <vt:variant>
        <vt:i4>1441849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_Toc181190083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JERRY KAO</dc:creator>
  <cp:keywords/>
  <cp:lastModifiedBy>Administrator</cp:lastModifiedBy>
  <cp:revision>2</cp:revision>
  <cp:lastPrinted>2024-10-30T06:14:00Z</cp:lastPrinted>
  <dcterms:created xsi:type="dcterms:W3CDTF">2024-11-01T07:15:00Z</dcterms:created>
  <dcterms:modified xsi:type="dcterms:W3CDTF">2024-11-01T07:15:00Z</dcterms:modified>
</cp:coreProperties>
</file>