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6CA" w:rsidRPr="00EE2F8E" w:rsidRDefault="0042616E" w:rsidP="001C36CA">
      <w:pPr>
        <w:pStyle w:val="a9"/>
        <w:rPr>
          <w:color w:val="000000"/>
        </w:rPr>
      </w:pPr>
      <w:bookmarkStart w:id="0" w:name="_GoBack"/>
      <w:bookmarkEnd w:id="0"/>
      <w:r w:rsidRPr="00EE2F8E">
        <w:rPr>
          <w:rFonts w:hint="eastAsia"/>
          <w:color w:val="000000"/>
        </w:rPr>
        <w:t>行政法人</w:t>
      </w:r>
      <w:r w:rsidR="001C36CA" w:rsidRPr="00EE2F8E">
        <w:rPr>
          <w:rFonts w:hint="eastAsia"/>
          <w:color w:val="000000"/>
        </w:rPr>
        <w:t>國家表演藝術中心11</w:t>
      </w:r>
      <w:r w:rsidR="00C614EC" w:rsidRPr="00EE2F8E">
        <w:rPr>
          <w:rFonts w:hint="eastAsia"/>
          <w:color w:val="000000"/>
        </w:rPr>
        <w:t>4</w:t>
      </w:r>
      <w:r w:rsidR="001C36CA" w:rsidRPr="00EE2F8E">
        <w:rPr>
          <w:rFonts w:hint="eastAsia"/>
          <w:color w:val="000000"/>
        </w:rPr>
        <w:t>年度預算評估報告</w:t>
      </w:r>
    </w:p>
    <w:p w:rsidR="001C36CA" w:rsidRPr="00943BEF" w:rsidRDefault="006D04AF" w:rsidP="001C36CA">
      <w:pPr>
        <w:pStyle w:val="a7"/>
        <w:ind w:firstLine="566"/>
        <w:rPr>
          <w:color w:val="FF0000"/>
        </w:rPr>
      </w:pPr>
      <w:r w:rsidRPr="00EE2F8E">
        <w:rPr>
          <w:rFonts w:hint="eastAsia"/>
          <w:color w:val="000000"/>
        </w:rPr>
        <w:t>國家表演藝術中心為行政法人型態</w:t>
      </w:r>
      <w:r w:rsidR="001C36CA" w:rsidRPr="00EE2F8E">
        <w:rPr>
          <w:rFonts w:hint="eastAsia"/>
          <w:color w:val="000000"/>
        </w:rPr>
        <w:t>之機構，轄下包含北中南三大國家級藝文場館-國家兩廳院、臺中國家歌劇院、衛武營國家藝術文化中心及附設團隊國家交響樂團(NSO)，監督機關為文化部。該中心11</w:t>
      </w:r>
      <w:r w:rsidR="00C614EC" w:rsidRPr="00EE2F8E">
        <w:rPr>
          <w:rFonts w:hint="eastAsia"/>
          <w:color w:val="000000"/>
        </w:rPr>
        <w:t>4</w:t>
      </w:r>
      <w:r w:rsidR="001C36CA" w:rsidRPr="00EE2F8E">
        <w:rPr>
          <w:rFonts w:hint="eastAsia"/>
          <w:color w:val="000000"/>
        </w:rPr>
        <w:t>年度預算案編列業務收入3</w:t>
      </w:r>
      <w:r w:rsidR="00C614EC" w:rsidRPr="00EE2F8E">
        <w:rPr>
          <w:rFonts w:hint="eastAsia"/>
          <w:color w:val="000000"/>
        </w:rPr>
        <w:t>2</w:t>
      </w:r>
      <w:r w:rsidR="001C36CA" w:rsidRPr="00EE2F8E">
        <w:rPr>
          <w:rFonts w:hint="eastAsia"/>
          <w:color w:val="000000"/>
        </w:rPr>
        <w:t>億</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824</w:t>
      </w:r>
      <w:r w:rsidR="001C36CA" w:rsidRPr="00EE2F8E">
        <w:rPr>
          <w:rFonts w:hint="eastAsia"/>
          <w:color w:val="000000"/>
        </w:rPr>
        <w:t>萬</w:t>
      </w:r>
      <w:r w:rsidR="00C614EC" w:rsidRPr="00EE2F8E">
        <w:rPr>
          <w:rFonts w:hint="eastAsia"/>
          <w:color w:val="000000"/>
        </w:rPr>
        <w:t>3</w:t>
      </w:r>
      <w:r w:rsidR="001C36CA" w:rsidRPr="00EE2F8E">
        <w:rPr>
          <w:rFonts w:hint="eastAsia"/>
          <w:color w:val="000000"/>
        </w:rPr>
        <w:t>千元、業務成本與費用</w:t>
      </w:r>
      <w:r w:rsidR="00682CEE" w:rsidRPr="00EE2F8E">
        <w:rPr>
          <w:rFonts w:hint="eastAsia"/>
          <w:color w:val="000000"/>
        </w:rPr>
        <w:t>3</w:t>
      </w:r>
      <w:r w:rsidR="00C614EC" w:rsidRPr="00EE2F8E">
        <w:rPr>
          <w:rFonts w:hint="eastAsia"/>
          <w:color w:val="000000"/>
        </w:rPr>
        <w:t>5</w:t>
      </w:r>
      <w:r w:rsidR="001C36CA" w:rsidRPr="00EE2F8E">
        <w:rPr>
          <w:rFonts w:hint="eastAsia"/>
          <w:color w:val="000000"/>
        </w:rPr>
        <w:t>億</w:t>
      </w:r>
      <w:r w:rsidR="00C614EC" w:rsidRPr="00EE2F8E">
        <w:rPr>
          <w:rFonts w:hint="eastAsia"/>
          <w:color w:val="000000"/>
        </w:rPr>
        <w:t>2</w:t>
      </w:r>
      <w:r w:rsidR="001C36CA" w:rsidRPr="00EE2F8E">
        <w:rPr>
          <w:rFonts w:hint="eastAsia"/>
          <w:color w:val="000000"/>
        </w:rPr>
        <w:t>,</w:t>
      </w:r>
      <w:r w:rsidR="00682CEE" w:rsidRPr="00EE2F8E">
        <w:rPr>
          <w:rFonts w:hint="eastAsia"/>
          <w:color w:val="000000"/>
        </w:rPr>
        <w:t>4</w:t>
      </w:r>
      <w:r w:rsidR="00C614EC" w:rsidRPr="00EE2F8E">
        <w:rPr>
          <w:rFonts w:hint="eastAsia"/>
          <w:color w:val="000000"/>
        </w:rPr>
        <w:t>7</w:t>
      </w:r>
      <w:r w:rsidR="00682CEE" w:rsidRPr="00EE2F8E">
        <w:rPr>
          <w:rFonts w:hint="eastAsia"/>
          <w:color w:val="000000"/>
        </w:rPr>
        <w:t>8</w:t>
      </w:r>
      <w:r w:rsidR="001C36CA" w:rsidRPr="00EE2F8E">
        <w:rPr>
          <w:rFonts w:hint="eastAsia"/>
          <w:color w:val="000000"/>
        </w:rPr>
        <w:t>萬</w:t>
      </w:r>
      <w:r w:rsidR="00C614EC" w:rsidRPr="00EE2F8E">
        <w:rPr>
          <w:rFonts w:hint="eastAsia"/>
          <w:color w:val="000000"/>
        </w:rPr>
        <w:t>4千</w:t>
      </w:r>
      <w:r w:rsidR="001C36CA" w:rsidRPr="00EE2F8E">
        <w:rPr>
          <w:rFonts w:hint="eastAsia"/>
          <w:color w:val="000000"/>
        </w:rPr>
        <w:t>元，業務外收入</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220</w:t>
      </w:r>
      <w:r w:rsidR="001C36CA" w:rsidRPr="00EE2F8E">
        <w:rPr>
          <w:rFonts w:hint="eastAsia"/>
          <w:color w:val="000000"/>
        </w:rPr>
        <w:t>萬</w:t>
      </w:r>
      <w:r w:rsidR="00C614EC" w:rsidRPr="00EE2F8E">
        <w:rPr>
          <w:rFonts w:hint="eastAsia"/>
          <w:color w:val="000000"/>
        </w:rPr>
        <w:t>5</w:t>
      </w:r>
      <w:r w:rsidR="00B310C5" w:rsidRPr="00EE2F8E">
        <w:rPr>
          <w:rFonts w:hint="eastAsia"/>
          <w:color w:val="000000"/>
        </w:rPr>
        <w:t>千</w:t>
      </w:r>
      <w:r w:rsidR="001C36CA" w:rsidRPr="00EE2F8E">
        <w:rPr>
          <w:rFonts w:hint="eastAsia"/>
          <w:color w:val="000000"/>
        </w:rPr>
        <w:t>元，收支相抵後短絀</w:t>
      </w:r>
      <w:r w:rsidR="00B310C5" w:rsidRPr="00EE2F8E">
        <w:rPr>
          <w:rFonts w:hint="eastAsia"/>
          <w:color w:val="000000"/>
        </w:rPr>
        <w:t>2億</w:t>
      </w:r>
      <w:r w:rsidR="00C614EC" w:rsidRPr="00EE2F8E">
        <w:rPr>
          <w:rFonts w:hint="eastAsia"/>
          <w:color w:val="000000"/>
        </w:rPr>
        <w:t>1</w:t>
      </w:r>
      <w:r w:rsidR="00C614EC" w:rsidRPr="00EE2F8E">
        <w:rPr>
          <w:color w:val="000000"/>
        </w:rPr>
        <w:t>,433</w:t>
      </w:r>
      <w:r w:rsidR="001C36CA" w:rsidRPr="00EE2F8E">
        <w:rPr>
          <w:rFonts w:hint="eastAsia"/>
          <w:color w:val="000000"/>
        </w:rPr>
        <w:t>萬</w:t>
      </w:r>
      <w:r w:rsidR="00C614EC" w:rsidRPr="00EE2F8E">
        <w:rPr>
          <w:rFonts w:hint="eastAsia"/>
          <w:color w:val="000000"/>
        </w:rPr>
        <w:t>6</w:t>
      </w:r>
      <w:r w:rsidR="001C36CA" w:rsidRPr="00EE2F8E">
        <w:rPr>
          <w:rFonts w:hint="eastAsia"/>
          <w:color w:val="000000"/>
        </w:rPr>
        <w:t>千元，較1</w:t>
      </w:r>
      <w:r w:rsidR="001C36CA" w:rsidRPr="00EE2F8E">
        <w:rPr>
          <w:color w:val="000000"/>
        </w:rPr>
        <w:t>1</w:t>
      </w:r>
      <w:r w:rsidR="00C614EC" w:rsidRPr="00EE2F8E">
        <w:rPr>
          <w:color w:val="000000"/>
        </w:rPr>
        <w:t>3</w:t>
      </w:r>
      <w:r w:rsidR="001C36CA" w:rsidRPr="00EE2F8E">
        <w:rPr>
          <w:rFonts w:hint="eastAsia"/>
          <w:color w:val="000000"/>
        </w:rPr>
        <w:t>年度預算短絀</w:t>
      </w:r>
      <w:r w:rsidR="00C614EC" w:rsidRPr="00EE2F8E">
        <w:rPr>
          <w:rFonts w:hint="eastAsia"/>
          <w:color w:val="000000"/>
        </w:rPr>
        <w:t>2億623</w:t>
      </w:r>
      <w:r w:rsidR="001C36CA" w:rsidRPr="00EE2F8E">
        <w:rPr>
          <w:rFonts w:hint="eastAsia"/>
          <w:color w:val="000000"/>
        </w:rPr>
        <w:t>萬</w:t>
      </w:r>
      <w:r w:rsidR="00C614EC" w:rsidRPr="00EE2F8E">
        <w:rPr>
          <w:rFonts w:hint="eastAsia"/>
          <w:color w:val="000000"/>
        </w:rPr>
        <w:t>4</w:t>
      </w:r>
      <w:r w:rsidR="00B310C5" w:rsidRPr="00EE2F8E">
        <w:rPr>
          <w:rFonts w:hint="eastAsia"/>
          <w:color w:val="000000"/>
        </w:rPr>
        <w:t>千元增加</w:t>
      </w:r>
      <w:r w:rsidR="001C36CA" w:rsidRPr="00EE2F8E">
        <w:rPr>
          <w:rFonts w:hint="eastAsia"/>
          <w:color w:val="000000"/>
        </w:rPr>
        <w:t>短絀</w:t>
      </w:r>
      <w:r w:rsidR="00C614EC" w:rsidRPr="00EE2F8E">
        <w:rPr>
          <w:rFonts w:hint="eastAsia"/>
          <w:color w:val="000000"/>
        </w:rPr>
        <w:t>810</w:t>
      </w:r>
      <w:r w:rsidR="001C36CA" w:rsidRPr="00EE2F8E">
        <w:rPr>
          <w:rFonts w:hint="eastAsia"/>
          <w:color w:val="000000"/>
        </w:rPr>
        <w:t>萬</w:t>
      </w:r>
      <w:r w:rsidR="00C614EC" w:rsidRPr="00EE2F8E">
        <w:rPr>
          <w:rFonts w:hint="eastAsia"/>
          <w:color w:val="000000"/>
        </w:rPr>
        <w:t>2</w:t>
      </w:r>
      <w:r w:rsidR="00B310C5" w:rsidRPr="00EE2F8E">
        <w:rPr>
          <w:rFonts w:hint="eastAsia"/>
          <w:color w:val="000000"/>
        </w:rPr>
        <w:t>千</w:t>
      </w:r>
      <w:r w:rsidR="001C36CA" w:rsidRPr="00EE2F8E">
        <w:rPr>
          <w:rFonts w:hint="eastAsia"/>
          <w:color w:val="000000"/>
        </w:rPr>
        <w:t>元(增幅</w:t>
      </w:r>
      <w:r w:rsidR="00C614EC" w:rsidRPr="00EE2F8E">
        <w:rPr>
          <w:rFonts w:hint="eastAsia"/>
          <w:color w:val="000000"/>
        </w:rPr>
        <w:t>3.93</w:t>
      </w:r>
      <w:r w:rsidR="001C36CA" w:rsidRPr="00EE2F8E">
        <w:rPr>
          <w:rFonts w:hint="eastAsia"/>
          <w:color w:val="000000"/>
        </w:rPr>
        <w:t>%)。謹就國家表演藝術中心11</w:t>
      </w:r>
      <w:r w:rsidR="00C614EC" w:rsidRPr="00EE2F8E">
        <w:rPr>
          <w:rFonts w:hint="eastAsia"/>
          <w:color w:val="000000"/>
        </w:rPr>
        <w:t>4</w:t>
      </w:r>
      <w:r w:rsidR="001C36CA" w:rsidRPr="00EE2F8E">
        <w:rPr>
          <w:rFonts w:hint="eastAsia"/>
          <w:color w:val="000000"/>
        </w:rPr>
        <w:t>年度預算案評估如下：</w:t>
      </w:r>
    </w:p>
    <w:p w:rsidR="00965A00" w:rsidRPr="004547CF" w:rsidRDefault="00965A00" w:rsidP="00965A00">
      <w:pPr>
        <w:pStyle w:val="14"/>
        <w:spacing w:beforeLines="100" w:before="500"/>
        <w:ind w:left="567" w:hanging="567"/>
        <w:rPr>
          <w:color w:val="000000"/>
        </w:rPr>
      </w:pPr>
      <w:bookmarkStart w:id="1" w:name="_Toc181027929"/>
      <w:r w:rsidRPr="004547CF">
        <w:rPr>
          <w:rFonts w:hint="eastAsia"/>
          <w:color w:val="000000"/>
        </w:rPr>
        <w:t>二、近年媒體政策及業務宣導費呈遞增趨勢，允宜本節約原則審慎使用管理並於預算書及官網揭露資訊</w:t>
      </w:r>
      <w:bookmarkEnd w:id="1"/>
    </w:p>
    <w:p w:rsidR="00965A00" w:rsidRPr="002C1AD5" w:rsidRDefault="00965A00" w:rsidP="00965A00">
      <w:pPr>
        <w:ind w:left="566" w:firstLine="566"/>
        <w:rPr>
          <w:color w:val="000000"/>
        </w:rPr>
      </w:pPr>
      <w:r w:rsidRPr="002C1AD5">
        <w:rPr>
          <w:rFonts w:hint="eastAsia"/>
          <w:color w:val="000000"/>
        </w:rPr>
        <w:t>國家表演藝術中心114年度預算案編列</w:t>
      </w:r>
      <w:r>
        <w:rPr>
          <w:rFonts w:hint="eastAsia"/>
          <w:color w:val="000000"/>
        </w:rPr>
        <w:t>媒體政策及業務宣導費7</w:t>
      </w:r>
      <w:r>
        <w:rPr>
          <w:color w:val="000000"/>
        </w:rPr>
        <w:t>,380</w:t>
      </w:r>
      <w:r>
        <w:rPr>
          <w:rFonts w:hint="eastAsia"/>
          <w:color w:val="000000"/>
        </w:rPr>
        <w:t>萬9千元</w:t>
      </w:r>
      <w:r w:rsidRPr="002C1AD5">
        <w:rPr>
          <w:rFonts w:hint="eastAsia"/>
          <w:color w:val="000000"/>
        </w:rPr>
        <w:t>。</w:t>
      </w:r>
      <w:r>
        <w:rPr>
          <w:rFonts w:hint="eastAsia"/>
          <w:color w:val="000000"/>
        </w:rPr>
        <w:t>茲說明如下</w:t>
      </w:r>
      <w:r w:rsidRPr="002C1AD5">
        <w:rPr>
          <w:rFonts w:hint="eastAsia"/>
          <w:color w:val="000000"/>
        </w:rPr>
        <w:t>：</w:t>
      </w:r>
    </w:p>
    <w:p w:rsidR="00965A00" w:rsidRPr="009F1665" w:rsidRDefault="00965A00" w:rsidP="00965A00">
      <w:pPr>
        <w:pStyle w:val="a4"/>
        <w:ind w:left="849" w:hanging="283"/>
        <w:rPr>
          <w:rFonts w:hint="eastAsia"/>
          <w:b/>
          <w:color w:val="000000"/>
        </w:rPr>
      </w:pPr>
      <w:r w:rsidRPr="009F1665">
        <w:rPr>
          <w:rFonts w:hint="eastAsia"/>
          <w:b/>
          <w:color w:val="000000"/>
        </w:rPr>
        <w:t>(一)114年度預算</w:t>
      </w:r>
      <w:r w:rsidR="009F1219">
        <w:rPr>
          <w:rFonts w:hint="eastAsia"/>
          <w:b/>
          <w:color w:val="000000"/>
        </w:rPr>
        <w:t>案</w:t>
      </w:r>
      <w:r w:rsidRPr="009F1665">
        <w:rPr>
          <w:rFonts w:hint="eastAsia"/>
          <w:b/>
          <w:color w:val="000000"/>
        </w:rPr>
        <w:t>媒宣費較110及113年度預算增幅達6成5及1成9，</w:t>
      </w:r>
      <w:r w:rsidRPr="009F1665">
        <w:rPr>
          <w:rFonts w:hint="eastAsia"/>
          <w:b/>
        </w:rPr>
        <w:t>允宜</w:t>
      </w:r>
      <w:r w:rsidRPr="009F1665">
        <w:rPr>
          <w:rFonts w:hint="eastAsia"/>
          <w:b/>
          <w:color w:val="000000"/>
        </w:rPr>
        <w:t>本節約原則審慎使用管理</w:t>
      </w:r>
    </w:p>
    <w:p w:rsidR="00965A00" w:rsidRPr="005B731C" w:rsidRDefault="00965A00" w:rsidP="00965A00">
      <w:pPr>
        <w:pStyle w:val="123"/>
        <w:ind w:left="1133" w:hanging="283"/>
        <w:rPr>
          <w:rFonts w:hint="eastAsia"/>
        </w:rPr>
      </w:pPr>
      <w:r>
        <w:rPr>
          <w:rFonts w:hint="eastAsia"/>
        </w:rPr>
        <w:t>1.</w:t>
      </w:r>
      <w:r w:rsidRPr="005B731C">
        <w:t>按</w:t>
      </w:r>
      <w:r w:rsidRPr="005B731C">
        <w:rPr>
          <w:rFonts w:hint="eastAsia"/>
        </w:rPr>
        <w:t>114年度中央及地方政府預算籌編原則</w:t>
      </w:r>
      <w:r w:rsidR="009F1219">
        <w:rPr>
          <w:rFonts w:hint="eastAsia"/>
        </w:rPr>
        <w:t>第2點第3款</w:t>
      </w:r>
      <w:r w:rsidRPr="005B731C">
        <w:rPr>
          <w:rFonts w:hint="eastAsia"/>
        </w:rPr>
        <w:t>規定</w:t>
      </w:r>
      <w:r w:rsidR="009F1219">
        <w:rPr>
          <w:rFonts w:hint="eastAsia"/>
        </w:rPr>
        <w:t>略以</w:t>
      </w:r>
      <w:r w:rsidRPr="005B731C">
        <w:rPr>
          <w:rFonts w:hint="eastAsia"/>
        </w:rPr>
        <w:t>，政府各項消費支出應力求節約，本緊縮及節能原則確實檢討。另114年度「附屬單位預算共同項目編列作業」規範，各基金辦理之宣導經費，應力求撙節，避免浮濫，非有具體理由，均以不超過前一年度預算數為原則。據此，媒宣費支出應力求節約，行政法人允宜參照前開規定，撙節媒宣費支出。</w:t>
      </w:r>
    </w:p>
    <w:p w:rsidR="00965A00" w:rsidRPr="0057022F" w:rsidRDefault="00965A00" w:rsidP="00965A00">
      <w:pPr>
        <w:pStyle w:val="123"/>
        <w:ind w:left="1133" w:hanging="283"/>
        <w:rPr>
          <w:rFonts w:hint="eastAsia"/>
        </w:rPr>
      </w:pPr>
      <w:r>
        <w:rPr>
          <w:rFonts w:hint="eastAsia"/>
        </w:rPr>
        <w:t>2.</w:t>
      </w:r>
      <w:r w:rsidR="00286488" w:rsidRPr="002C1AD5">
        <w:rPr>
          <w:rFonts w:hint="eastAsia"/>
          <w:color w:val="000000"/>
        </w:rPr>
        <w:t>國家表演藝術中心</w:t>
      </w:r>
      <w:r>
        <w:rPr>
          <w:rFonts w:hint="eastAsia"/>
        </w:rPr>
        <w:t>110及111年度預算媒宣費各為4</w:t>
      </w:r>
      <w:r>
        <w:t>,455</w:t>
      </w:r>
      <w:r>
        <w:rPr>
          <w:rFonts w:hint="eastAsia"/>
        </w:rPr>
        <w:t>萬5千元及5</w:t>
      </w:r>
      <w:r>
        <w:t>,227</w:t>
      </w:r>
      <w:r>
        <w:rPr>
          <w:rFonts w:hint="eastAsia"/>
        </w:rPr>
        <w:t>萬3千元，執行率為125.47%及129.83%，連續2年度均超支</w:t>
      </w:r>
      <w:r w:rsidR="009F1219">
        <w:rPr>
          <w:rFonts w:hint="eastAsia"/>
        </w:rPr>
        <w:t>；</w:t>
      </w:r>
      <w:r>
        <w:rPr>
          <w:rFonts w:hint="eastAsia"/>
        </w:rPr>
        <w:t>112年度預算媒宣費</w:t>
      </w:r>
      <w:r w:rsidR="009F1219">
        <w:rPr>
          <w:rFonts w:hint="eastAsia"/>
        </w:rPr>
        <w:t>大幅增為</w:t>
      </w:r>
      <w:r>
        <w:rPr>
          <w:rFonts w:hint="eastAsia"/>
        </w:rPr>
        <w:t>2億2</w:t>
      </w:r>
      <w:r>
        <w:t>,919</w:t>
      </w:r>
      <w:r>
        <w:rPr>
          <w:rFonts w:hint="eastAsia"/>
        </w:rPr>
        <w:t>萬8</w:t>
      </w:r>
      <w:r>
        <w:rPr>
          <w:rFonts w:hint="eastAsia"/>
        </w:rPr>
        <w:lastRenderedPageBreak/>
        <w:t>千元，執行率34.59%(詳表1)，詢據該中心說明，112年度預算編列文化部補助專案「兩廳院平台營運發展計畫」推動藝文消費點數流通及循環消費機制，其中業務宣導費1億6,432萬元，嗣因該部計畫變更而未撥付該中心執行，致執行率偏低。倘</w:t>
      </w:r>
      <w:r w:rsidR="009F1219">
        <w:rPr>
          <w:rFonts w:hint="eastAsia"/>
        </w:rPr>
        <w:t>排除因辦理專案導致宣導費大增之112年度</w:t>
      </w:r>
      <w:r>
        <w:rPr>
          <w:rFonts w:hint="eastAsia"/>
        </w:rPr>
        <w:t>，該中心110至113年度預算媒宣費概呈遞增趨勢，114年度預算案增為7</w:t>
      </w:r>
      <w:r>
        <w:t>,380</w:t>
      </w:r>
      <w:r>
        <w:rPr>
          <w:rFonts w:hint="eastAsia"/>
        </w:rPr>
        <w:t>萬9千元，較110及113年度預算各增加2</w:t>
      </w:r>
      <w:r>
        <w:t>,925</w:t>
      </w:r>
      <w:r>
        <w:rPr>
          <w:rFonts w:hint="eastAsia"/>
        </w:rPr>
        <w:t>萬4千元及1</w:t>
      </w:r>
      <w:r>
        <w:t>,203</w:t>
      </w:r>
      <w:r>
        <w:rPr>
          <w:rFonts w:hint="eastAsia"/>
        </w:rPr>
        <w:t>萬8千元，增幅為65.66%及19.49%，允宜</w:t>
      </w:r>
      <w:r w:rsidRPr="00386185">
        <w:rPr>
          <w:rFonts w:hint="eastAsia"/>
          <w:color w:val="000000"/>
        </w:rPr>
        <w:t>本節約原則審慎使用管理</w:t>
      </w:r>
      <w:r>
        <w:rPr>
          <w:rFonts w:hint="eastAsia"/>
          <w:color w:val="000000"/>
        </w:rPr>
        <w:t>。</w:t>
      </w:r>
    </w:p>
    <w:p w:rsidR="00965A00" w:rsidRDefault="00965A00" w:rsidP="00965A00">
      <w:pPr>
        <w:spacing w:beforeLines="30" w:before="150" w:line="360" w:lineRule="exact"/>
        <w:ind w:leftChars="-79" w:left="850" w:hangingChars="379" w:hanging="1074"/>
        <w:jc w:val="left"/>
        <w:rPr>
          <w:color w:val="000000"/>
          <w:sz w:val="24"/>
          <w:szCs w:val="24"/>
        </w:rPr>
      </w:pPr>
      <w:r w:rsidRPr="00E069C1">
        <w:rPr>
          <w:rFonts w:hint="eastAsia"/>
          <w:b/>
          <w:color w:val="000000"/>
        </w:rPr>
        <w:t xml:space="preserve">  表1  國家表演藝術中心</w:t>
      </w:r>
      <w:r>
        <w:rPr>
          <w:rFonts w:hint="eastAsia"/>
          <w:b/>
          <w:color w:val="000000"/>
        </w:rPr>
        <w:t>110至114年度媒體政策及業務宣導費預決算概要表</w:t>
      </w:r>
      <w:r w:rsidRPr="00E069C1">
        <w:rPr>
          <w:rFonts w:hint="eastAsia"/>
          <w:b/>
          <w:color w:val="000000"/>
        </w:rPr>
        <w:t xml:space="preserve">    </w:t>
      </w:r>
      <w:r>
        <w:rPr>
          <w:rFonts w:hint="eastAsia"/>
          <w:b/>
          <w:color w:val="000000"/>
        </w:rPr>
        <w:t xml:space="preserve">                           </w:t>
      </w:r>
      <w:r w:rsidRPr="00E069C1">
        <w:rPr>
          <w:rFonts w:hint="eastAsia"/>
          <w:color w:val="000000"/>
          <w:sz w:val="24"/>
          <w:szCs w:val="24"/>
        </w:rPr>
        <w:t>單位：</w:t>
      </w:r>
      <w:r>
        <w:rPr>
          <w:rFonts w:hint="eastAsia"/>
          <w:color w:val="000000"/>
          <w:sz w:val="24"/>
          <w:szCs w:val="24"/>
        </w:rPr>
        <w:t>新臺幣千元；%</w:t>
      </w:r>
    </w:p>
    <w:tbl>
      <w:tblPr>
        <w:tblW w:w="8539" w:type="dxa"/>
        <w:tblInd w:w="28" w:type="dxa"/>
        <w:tblCellMar>
          <w:left w:w="28" w:type="dxa"/>
          <w:right w:w="28" w:type="dxa"/>
        </w:tblCellMar>
        <w:tblLook w:val="04A0" w:firstRow="1" w:lastRow="0" w:firstColumn="1" w:lastColumn="0" w:noHBand="0" w:noVBand="1"/>
      </w:tblPr>
      <w:tblGrid>
        <w:gridCol w:w="1032"/>
        <w:gridCol w:w="672"/>
        <w:gridCol w:w="594"/>
        <w:gridCol w:w="628"/>
        <w:gridCol w:w="630"/>
        <w:gridCol w:w="700"/>
        <w:gridCol w:w="658"/>
        <w:gridCol w:w="728"/>
        <w:gridCol w:w="671"/>
        <w:gridCol w:w="672"/>
        <w:gridCol w:w="742"/>
        <w:gridCol w:w="812"/>
      </w:tblGrid>
      <w:tr w:rsidR="00965A00" w:rsidRPr="0057022F" w:rsidTr="0038503C">
        <w:trPr>
          <w:tblHeader/>
        </w:trPr>
        <w:tc>
          <w:tcPr>
            <w:tcW w:w="1032"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snapToGrid/>
                <w:spacing w:val="-20"/>
                <w:w w:val="90"/>
              </w:rPr>
            </w:pPr>
            <w:r>
              <w:rPr>
                <w:rFonts w:hint="eastAsia"/>
                <w:snapToGrid/>
                <w:spacing w:val="-20"/>
                <w:w w:val="90"/>
              </w:rPr>
              <w:t>單位</w:t>
            </w:r>
            <w:r w:rsidRPr="0057022F">
              <w:rPr>
                <w:rFonts w:hint="eastAsia"/>
                <w:snapToGrid/>
                <w:spacing w:val="-20"/>
                <w:w w:val="90"/>
              </w:rPr>
              <w:t>別</w:t>
            </w:r>
          </w:p>
        </w:tc>
        <w:tc>
          <w:tcPr>
            <w:tcW w:w="1894" w:type="dxa"/>
            <w:gridSpan w:val="3"/>
            <w:tcBorders>
              <w:top w:val="single" w:sz="12" w:space="0" w:color="auto"/>
              <w:left w:val="nil"/>
              <w:bottom w:val="single" w:sz="4" w:space="0" w:color="auto"/>
              <w:right w:val="single" w:sz="4" w:space="0" w:color="000000"/>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110年度</w:t>
            </w:r>
          </w:p>
        </w:tc>
        <w:tc>
          <w:tcPr>
            <w:tcW w:w="1988" w:type="dxa"/>
            <w:gridSpan w:val="3"/>
            <w:tcBorders>
              <w:top w:val="single" w:sz="12" w:space="0" w:color="auto"/>
              <w:left w:val="nil"/>
              <w:bottom w:val="single" w:sz="4" w:space="0" w:color="auto"/>
              <w:right w:val="single" w:sz="4" w:space="0" w:color="000000"/>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111年度</w:t>
            </w:r>
          </w:p>
        </w:tc>
        <w:tc>
          <w:tcPr>
            <w:tcW w:w="2071" w:type="dxa"/>
            <w:gridSpan w:val="3"/>
            <w:tcBorders>
              <w:top w:val="single" w:sz="12" w:space="0" w:color="auto"/>
              <w:left w:val="nil"/>
              <w:bottom w:val="single" w:sz="4" w:space="0" w:color="auto"/>
              <w:right w:val="single" w:sz="4" w:space="0" w:color="000000"/>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112年度</w:t>
            </w:r>
          </w:p>
        </w:tc>
        <w:tc>
          <w:tcPr>
            <w:tcW w:w="742" w:type="dxa"/>
            <w:tcBorders>
              <w:top w:val="single" w:sz="12" w:space="0" w:color="auto"/>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113年度</w:t>
            </w:r>
          </w:p>
        </w:tc>
        <w:tc>
          <w:tcPr>
            <w:tcW w:w="812" w:type="dxa"/>
            <w:tcBorders>
              <w:top w:val="single" w:sz="12" w:space="0" w:color="auto"/>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114年度</w:t>
            </w:r>
          </w:p>
        </w:tc>
      </w:tr>
      <w:tr w:rsidR="00965A00" w:rsidRPr="0057022F" w:rsidTr="0038503C">
        <w:trPr>
          <w:tblHeader/>
        </w:trPr>
        <w:tc>
          <w:tcPr>
            <w:tcW w:w="1032" w:type="dxa"/>
            <w:vMerge/>
            <w:tcBorders>
              <w:top w:val="single" w:sz="4" w:space="0" w:color="auto"/>
              <w:left w:val="single" w:sz="12" w:space="0" w:color="auto"/>
              <w:bottom w:val="single" w:sz="4" w:space="0" w:color="auto"/>
              <w:right w:val="single" w:sz="4" w:space="0" w:color="auto"/>
            </w:tcBorders>
            <w:vAlign w:val="center"/>
            <w:hideMark/>
          </w:tcPr>
          <w:p w:rsidR="00965A00" w:rsidRPr="0057022F" w:rsidRDefault="00965A00" w:rsidP="0038503C">
            <w:pPr>
              <w:pStyle w:val="142"/>
              <w:rPr>
                <w:snapToGrid/>
                <w:spacing w:val="-20"/>
                <w:w w:val="90"/>
              </w:rPr>
            </w:pP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決算數</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執行率</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決算數</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執行率</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決算數</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執行率</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預算數</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center"/>
              <w:rPr>
                <w:rFonts w:hint="eastAsia"/>
                <w:snapToGrid/>
                <w:spacing w:val="-20"/>
                <w:w w:val="90"/>
              </w:rPr>
            </w:pPr>
            <w:r w:rsidRPr="0057022F">
              <w:rPr>
                <w:rFonts w:hint="eastAsia"/>
                <w:snapToGrid/>
                <w:spacing w:val="-20"/>
                <w:w w:val="90"/>
              </w:rPr>
              <w:t>預算</w:t>
            </w:r>
            <w:r>
              <w:rPr>
                <w:rFonts w:hint="eastAsia"/>
                <w:snapToGrid/>
                <w:spacing w:val="-20"/>
                <w:w w:val="90"/>
              </w:rPr>
              <w:t>案</w:t>
            </w:r>
            <w:r w:rsidRPr="0057022F">
              <w:rPr>
                <w:rFonts w:hint="eastAsia"/>
                <w:snapToGrid/>
                <w:spacing w:val="-20"/>
                <w:w w:val="90"/>
              </w:rPr>
              <w:t>數</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兩廳院</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18,974</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23,616</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124.47</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18,653</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35,013</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187.71</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184,728</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45,683</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24.73</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19,106</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24,455</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臺中歌劇院</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12,771</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13,543</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106.04</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14,070</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14,674</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104.29</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14,363</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11,098</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77.27</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14,113</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17,203</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衛武營</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11,210</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17,667</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157.60</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18,100</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15,827</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87.44</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28,457</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19,655</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69.07</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24,740</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27,771</w:t>
            </w:r>
          </w:p>
        </w:tc>
      </w:tr>
      <w:tr w:rsidR="00965A00" w:rsidRPr="0057022F" w:rsidTr="0038503C">
        <w:tc>
          <w:tcPr>
            <w:tcW w:w="1032" w:type="dxa"/>
            <w:tcBorders>
              <w:top w:val="nil"/>
              <w:left w:val="single" w:sz="12" w:space="0" w:color="auto"/>
              <w:bottom w:val="single" w:sz="4" w:space="0" w:color="auto"/>
              <w:right w:val="single" w:sz="4" w:space="0" w:color="auto"/>
            </w:tcBorders>
            <w:shd w:val="clear" w:color="000000" w:fill="FFFFFF"/>
            <w:vAlign w:val="center"/>
            <w:hideMark/>
          </w:tcPr>
          <w:p w:rsidR="00965A00" w:rsidRPr="0057022F" w:rsidRDefault="00965A00" w:rsidP="0038503C">
            <w:pPr>
              <w:pStyle w:val="142"/>
              <w:rPr>
                <w:rFonts w:hint="eastAsia"/>
                <w:snapToGrid/>
                <w:spacing w:val="-20"/>
                <w:w w:val="90"/>
              </w:rPr>
            </w:pPr>
            <w:r w:rsidRPr="0057022F">
              <w:rPr>
                <w:rFonts w:hint="eastAsia"/>
                <w:snapToGrid/>
                <w:spacing w:val="-20"/>
                <w:w w:val="90"/>
              </w:rPr>
              <w:t>國家交響樂團</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1,600</w:t>
            </w:r>
          </w:p>
        </w:tc>
        <w:tc>
          <w:tcPr>
            <w:tcW w:w="594"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1,079</w:t>
            </w:r>
          </w:p>
        </w:tc>
        <w:tc>
          <w:tcPr>
            <w:tcW w:w="6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67.44</w:t>
            </w:r>
          </w:p>
        </w:tc>
        <w:tc>
          <w:tcPr>
            <w:tcW w:w="63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1,450</w:t>
            </w:r>
          </w:p>
        </w:tc>
        <w:tc>
          <w:tcPr>
            <w:tcW w:w="700"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2,352</w:t>
            </w:r>
          </w:p>
        </w:tc>
        <w:tc>
          <w:tcPr>
            <w:tcW w:w="65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162.21</w:t>
            </w:r>
          </w:p>
        </w:tc>
        <w:tc>
          <w:tcPr>
            <w:tcW w:w="728"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1,650</w:t>
            </w:r>
          </w:p>
        </w:tc>
        <w:tc>
          <w:tcPr>
            <w:tcW w:w="671"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2,846</w:t>
            </w:r>
          </w:p>
        </w:tc>
        <w:tc>
          <w:tcPr>
            <w:tcW w:w="67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172.48</w:t>
            </w:r>
          </w:p>
        </w:tc>
        <w:tc>
          <w:tcPr>
            <w:tcW w:w="742" w:type="dxa"/>
            <w:tcBorders>
              <w:top w:val="nil"/>
              <w:left w:val="nil"/>
              <w:bottom w:val="single" w:sz="4" w:space="0" w:color="auto"/>
              <w:right w:val="single" w:sz="4"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3,812</w:t>
            </w:r>
          </w:p>
        </w:tc>
        <w:tc>
          <w:tcPr>
            <w:tcW w:w="812" w:type="dxa"/>
            <w:tcBorders>
              <w:top w:val="nil"/>
              <w:left w:val="nil"/>
              <w:bottom w:val="single" w:sz="4" w:space="0" w:color="auto"/>
              <w:right w:val="single" w:sz="12" w:space="0" w:color="auto"/>
            </w:tcBorders>
            <w:shd w:val="clear" w:color="000000" w:fill="FFFFFF"/>
            <w:vAlign w:val="center"/>
            <w:hideMark/>
          </w:tcPr>
          <w:p w:rsidR="00965A00" w:rsidRPr="0057022F" w:rsidRDefault="00965A00" w:rsidP="0038503C">
            <w:pPr>
              <w:pStyle w:val="142"/>
              <w:jc w:val="right"/>
              <w:rPr>
                <w:rFonts w:hint="eastAsia"/>
                <w:snapToGrid/>
                <w:spacing w:val="-20"/>
                <w:w w:val="90"/>
              </w:rPr>
            </w:pPr>
            <w:r w:rsidRPr="0057022F">
              <w:rPr>
                <w:rFonts w:hint="eastAsia"/>
                <w:snapToGrid/>
                <w:spacing w:val="-20"/>
                <w:w w:val="90"/>
              </w:rPr>
              <w:t>4,380</w:t>
            </w:r>
          </w:p>
        </w:tc>
      </w:tr>
      <w:tr w:rsidR="00965A00" w:rsidRPr="0057022F" w:rsidTr="0038503C">
        <w:tc>
          <w:tcPr>
            <w:tcW w:w="1032" w:type="dxa"/>
            <w:tcBorders>
              <w:top w:val="nil"/>
              <w:left w:val="single" w:sz="12" w:space="0" w:color="auto"/>
              <w:bottom w:val="single" w:sz="12" w:space="0" w:color="auto"/>
              <w:right w:val="single" w:sz="4" w:space="0" w:color="auto"/>
            </w:tcBorders>
            <w:shd w:val="clear" w:color="000000" w:fill="FFFFFF"/>
            <w:vAlign w:val="center"/>
            <w:hideMark/>
          </w:tcPr>
          <w:p w:rsidR="00965A00" w:rsidRPr="005E5C4E" w:rsidRDefault="00965A00" w:rsidP="0038503C">
            <w:pPr>
              <w:pStyle w:val="142"/>
              <w:jc w:val="center"/>
              <w:rPr>
                <w:rFonts w:hint="eastAsia"/>
                <w:b/>
                <w:snapToGrid/>
                <w:spacing w:val="-20"/>
                <w:w w:val="90"/>
              </w:rPr>
            </w:pPr>
            <w:r w:rsidRPr="005E5C4E">
              <w:rPr>
                <w:rFonts w:hint="eastAsia"/>
                <w:b/>
                <w:snapToGrid/>
                <w:spacing w:val="-20"/>
                <w:w w:val="90"/>
              </w:rPr>
              <w:t>合計</w:t>
            </w:r>
          </w:p>
        </w:tc>
        <w:tc>
          <w:tcPr>
            <w:tcW w:w="672"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44,555</w:t>
            </w:r>
          </w:p>
        </w:tc>
        <w:tc>
          <w:tcPr>
            <w:tcW w:w="594"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55,905</w:t>
            </w:r>
          </w:p>
        </w:tc>
        <w:tc>
          <w:tcPr>
            <w:tcW w:w="628" w:type="dxa"/>
            <w:tcBorders>
              <w:top w:val="nil"/>
              <w:left w:val="nil"/>
              <w:bottom w:val="single" w:sz="12" w:space="0" w:color="auto"/>
              <w:right w:val="single" w:sz="4" w:space="0" w:color="auto"/>
            </w:tcBorders>
            <w:shd w:val="clear" w:color="000000" w:fill="FFFFFF"/>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125.47</w:t>
            </w:r>
          </w:p>
        </w:tc>
        <w:tc>
          <w:tcPr>
            <w:tcW w:w="630"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52,273</w:t>
            </w:r>
          </w:p>
        </w:tc>
        <w:tc>
          <w:tcPr>
            <w:tcW w:w="700"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67,866</w:t>
            </w:r>
          </w:p>
        </w:tc>
        <w:tc>
          <w:tcPr>
            <w:tcW w:w="658" w:type="dxa"/>
            <w:tcBorders>
              <w:top w:val="nil"/>
              <w:left w:val="nil"/>
              <w:bottom w:val="single" w:sz="12" w:space="0" w:color="auto"/>
              <w:right w:val="single" w:sz="4" w:space="0" w:color="auto"/>
            </w:tcBorders>
            <w:shd w:val="clear" w:color="000000" w:fill="FFFFFF"/>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129.83</w:t>
            </w:r>
          </w:p>
        </w:tc>
        <w:tc>
          <w:tcPr>
            <w:tcW w:w="728"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229,198</w:t>
            </w:r>
          </w:p>
        </w:tc>
        <w:tc>
          <w:tcPr>
            <w:tcW w:w="671"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79,282</w:t>
            </w:r>
          </w:p>
        </w:tc>
        <w:tc>
          <w:tcPr>
            <w:tcW w:w="672" w:type="dxa"/>
            <w:tcBorders>
              <w:top w:val="nil"/>
              <w:left w:val="nil"/>
              <w:bottom w:val="single" w:sz="12" w:space="0" w:color="auto"/>
              <w:right w:val="single" w:sz="4" w:space="0" w:color="auto"/>
            </w:tcBorders>
            <w:shd w:val="clear" w:color="000000" w:fill="FFFFFF"/>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34.59</w:t>
            </w:r>
          </w:p>
        </w:tc>
        <w:tc>
          <w:tcPr>
            <w:tcW w:w="742" w:type="dxa"/>
            <w:tcBorders>
              <w:top w:val="nil"/>
              <w:left w:val="nil"/>
              <w:bottom w:val="single" w:sz="12" w:space="0" w:color="auto"/>
              <w:right w:val="single" w:sz="4"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61,771</w:t>
            </w:r>
          </w:p>
        </w:tc>
        <w:tc>
          <w:tcPr>
            <w:tcW w:w="812" w:type="dxa"/>
            <w:tcBorders>
              <w:top w:val="nil"/>
              <w:left w:val="nil"/>
              <w:bottom w:val="single" w:sz="12" w:space="0" w:color="auto"/>
              <w:right w:val="single" w:sz="12" w:space="0" w:color="auto"/>
            </w:tcBorders>
            <w:shd w:val="clear" w:color="auto" w:fill="auto"/>
            <w:noWrap/>
            <w:vAlign w:val="center"/>
            <w:hideMark/>
          </w:tcPr>
          <w:p w:rsidR="00965A00" w:rsidRPr="005E5C4E" w:rsidRDefault="00965A00" w:rsidP="0038503C">
            <w:pPr>
              <w:pStyle w:val="142"/>
              <w:jc w:val="right"/>
              <w:rPr>
                <w:rFonts w:hint="eastAsia"/>
                <w:b/>
                <w:snapToGrid/>
                <w:spacing w:val="-20"/>
                <w:w w:val="90"/>
              </w:rPr>
            </w:pPr>
            <w:r w:rsidRPr="005E5C4E">
              <w:rPr>
                <w:rFonts w:hint="eastAsia"/>
                <w:b/>
                <w:snapToGrid/>
                <w:spacing w:val="-20"/>
                <w:w w:val="90"/>
              </w:rPr>
              <w:t>73,809</w:t>
            </w:r>
          </w:p>
        </w:tc>
      </w:tr>
    </w:tbl>
    <w:p w:rsidR="00965A00" w:rsidRDefault="00965A00" w:rsidP="00965A00">
      <w:pPr>
        <w:pStyle w:val="142"/>
        <w:jc w:val="both"/>
        <w:rPr>
          <w:color w:val="000000"/>
        </w:rPr>
      </w:pPr>
      <w:r>
        <w:rPr>
          <w:rFonts w:hint="eastAsia"/>
          <w:color w:val="000000"/>
        </w:rPr>
        <w:t>說    明：</w:t>
      </w:r>
      <w:r w:rsidRPr="00A4694E">
        <w:rPr>
          <w:rFonts w:hint="eastAsia"/>
          <w:color w:val="000000"/>
        </w:rPr>
        <w:t>執行率＝決算數/預算數x100%</w:t>
      </w:r>
      <w:r>
        <w:rPr>
          <w:rFonts w:hint="eastAsia"/>
          <w:color w:val="000000"/>
        </w:rPr>
        <w:t>。</w:t>
      </w:r>
    </w:p>
    <w:p w:rsidR="00965A00" w:rsidRDefault="00965A00" w:rsidP="00965A00">
      <w:pPr>
        <w:pStyle w:val="142"/>
        <w:jc w:val="both"/>
        <w:rPr>
          <w:color w:val="000000"/>
        </w:rPr>
      </w:pPr>
      <w:r w:rsidRPr="00E069C1">
        <w:rPr>
          <w:rFonts w:hint="eastAsia"/>
          <w:color w:val="000000"/>
        </w:rPr>
        <w:t>資料來源：國</w:t>
      </w:r>
      <w:r w:rsidR="00286488">
        <w:rPr>
          <w:rFonts w:hint="eastAsia"/>
          <w:color w:val="000000"/>
        </w:rPr>
        <w:t>家</w:t>
      </w:r>
      <w:r w:rsidRPr="00E069C1">
        <w:rPr>
          <w:rFonts w:hint="eastAsia"/>
          <w:color w:val="000000"/>
        </w:rPr>
        <w:t>表</w:t>
      </w:r>
      <w:r w:rsidR="00286488">
        <w:rPr>
          <w:rFonts w:hint="eastAsia"/>
          <w:color w:val="000000"/>
        </w:rPr>
        <w:t>演</w:t>
      </w:r>
      <w:r w:rsidRPr="00E069C1">
        <w:rPr>
          <w:rFonts w:hint="eastAsia"/>
          <w:color w:val="000000"/>
        </w:rPr>
        <w:t>藝</w:t>
      </w:r>
      <w:r w:rsidR="00286488">
        <w:rPr>
          <w:rFonts w:hint="eastAsia"/>
          <w:color w:val="000000"/>
        </w:rPr>
        <w:t>術</w:t>
      </w:r>
      <w:r w:rsidRPr="00E069C1">
        <w:rPr>
          <w:rFonts w:hint="eastAsia"/>
          <w:color w:val="000000"/>
        </w:rPr>
        <w:t>中心提供。</w:t>
      </w:r>
    </w:p>
    <w:p w:rsidR="00965A00" w:rsidRPr="00E00F33" w:rsidRDefault="00965A00" w:rsidP="00965A00">
      <w:pPr>
        <w:pStyle w:val="a4"/>
        <w:ind w:left="849" w:hanging="283"/>
        <w:rPr>
          <w:rFonts w:hint="eastAsia"/>
          <w:b/>
          <w:color w:val="000000"/>
        </w:rPr>
      </w:pPr>
      <w:r w:rsidRPr="00E00F33">
        <w:rPr>
          <w:rFonts w:hint="eastAsia"/>
          <w:b/>
          <w:color w:val="000000"/>
        </w:rPr>
        <w:t>(二)</w:t>
      </w:r>
      <w:r w:rsidRPr="00E00F33">
        <w:rPr>
          <w:rFonts w:hint="eastAsia"/>
          <w:b/>
        </w:rPr>
        <w:t>為利外界監督，允宜參照</w:t>
      </w:r>
      <w:r w:rsidR="009F1219">
        <w:rPr>
          <w:rFonts w:hint="eastAsia"/>
          <w:b/>
        </w:rPr>
        <w:t>預算法及相關規定</w:t>
      </w:r>
      <w:r w:rsidRPr="00E00F33">
        <w:rPr>
          <w:rFonts w:hint="eastAsia"/>
          <w:b/>
        </w:rPr>
        <w:t>於預算書及官網揭露媒宣費資訊</w:t>
      </w:r>
    </w:p>
    <w:p w:rsidR="00965A00" w:rsidRPr="00545BF6" w:rsidRDefault="00965A00" w:rsidP="00965A00">
      <w:pPr>
        <w:pStyle w:val="123"/>
        <w:ind w:left="1133" w:hanging="283"/>
      </w:pPr>
      <w:r>
        <w:rPr>
          <w:rFonts w:hint="eastAsia"/>
        </w:rPr>
        <w:t>1.</w:t>
      </w:r>
      <w:r w:rsidR="0038503C">
        <w:rPr>
          <w:rFonts w:hint="eastAsia"/>
        </w:rPr>
        <w:t>國家表演藝術中心114年度預算書未揭露媒宣費預計執行內容，詢據該中心提供資料如表2。按該</w:t>
      </w:r>
      <w:r w:rsidR="00CE5625" w:rsidRPr="002C1AD5">
        <w:rPr>
          <w:rFonts w:hint="eastAsia"/>
          <w:color w:val="000000"/>
        </w:rPr>
        <w:t>中心</w:t>
      </w:r>
      <w:r>
        <w:rPr>
          <w:rFonts w:hint="eastAsia"/>
        </w:rPr>
        <w:t>為行政法人，</w:t>
      </w:r>
      <w:r w:rsidR="007C4CBE">
        <w:rPr>
          <w:rFonts w:hint="eastAsia"/>
        </w:rPr>
        <w:t>雖</w:t>
      </w:r>
      <w:r>
        <w:rPr>
          <w:rFonts w:hint="eastAsia"/>
        </w:rPr>
        <w:t>尚無行政法人辦理媒體政策及業務宣導預算資訊揭露</w:t>
      </w:r>
      <w:r w:rsidR="007C4CBE">
        <w:rPr>
          <w:rFonts w:hint="eastAsia"/>
        </w:rPr>
        <w:t>之相關</w:t>
      </w:r>
      <w:r>
        <w:rPr>
          <w:rFonts w:hint="eastAsia"/>
        </w:rPr>
        <w:t>規範</w:t>
      </w:r>
      <w:r w:rsidR="007C4CBE">
        <w:rPr>
          <w:rFonts w:hint="eastAsia"/>
        </w:rPr>
        <w:t>，</w:t>
      </w:r>
      <w:r w:rsidR="0038503C">
        <w:rPr>
          <w:rFonts w:hint="eastAsia"/>
        </w:rPr>
        <w:t>惟衡酌</w:t>
      </w:r>
      <w:r w:rsidRPr="00545BF6">
        <w:rPr>
          <w:rFonts w:hint="eastAsia"/>
        </w:rPr>
        <w:t>預算法第62</w:t>
      </w:r>
      <w:r w:rsidR="007C4CBE">
        <w:rPr>
          <w:rFonts w:hint="eastAsia"/>
        </w:rPr>
        <w:t>條之</w:t>
      </w:r>
      <w:r w:rsidRPr="00545BF6">
        <w:rPr>
          <w:rFonts w:hint="eastAsia"/>
        </w:rPr>
        <w:t>1條規定</w:t>
      </w:r>
      <w:r>
        <w:rPr>
          <w:rStyle w:val="af3"/>
        </w:rPr>
        <w:footnoteReference w:id="1"/>
      </w:r>
      <w:r w:rsidRPr="00545BF6">
        <w:rPr>
          <w:rFonts w:hint="eastAsia"/>
        </w:rPr>
        <w:t>略以，政府各機關、公</w:t>
      </w:r>
      <w:r w:rsidRPr="00545BF6">
        <w:rPr>
          <w:rFonts w:hint="eastAsia"/>
        </w:rPr>
        <w:lastRenderedPageBreak/>
        <w:t>營事業及政府捐助之財團法人辦理政策及業務宣導之預算，應按月於機關資訊公開區公布執行資訊，另單位預算應編書表格式及注意事項、附屬單位預算應編書表內容、財團法人依法預算須送立法院之預算編製注意事項等規範</w:t>
      </w:r>
      <w:r w:rsidR="0015389D">
        <w:rPr>
          <w:rFonts w:hint="eastAsia"/>
        </w:rPr>
        <w:t>，</w:t>
      </w:r>
      <w:r w:rsidRPr="00545BF6">
        <w:rPr>
          <w:rFonts w:hint="eastAsia"/>
        </w:rPr>
        <w:t>均將</w:t>
      </w:r>
      <w:r w:rsidRPr="00545BF6">
        <w:t>「媒體政策及業務宣導費彙計表」</w:t>
      </w:r>
      <w:r w:rsidRPr="00545BF6">
        <w:rPr>
          <w:rFonts w:hint="eastAsia"/>
        </w:rPr>
        <w:t>列為預算書之參考表</w:t>
      </w:r>
      <w:r w:rsidR="0038503C">
        <w:rPr>
          <w:rFonts w:hint="eastAsia"/>
        </w:rPr>
        <w:t>，</w:t>
      </w:r>
      <w:r w:rsidRPr="00545BF6">
        <w:rPr>
          <w:rFonts w:hint="eastAsia"/>
        </w:rPr>
        <w:t>為利外界監督，國</w:t>
      </w:r>
      <w:r w:rsidR="0038503C">
        <w:rPr>
          <w:rFonts w:hint="eastAsia"/>
        </w:rPr>
        <w:t>家</w:t>
      </w:r>
      <w:r w:rsidRPr="00545BF6">
        <w:rPr>
          <w:rFonts w:hint="eastAsia"/>
        </w:rPr>
        <w:t>表</w:t>
      </w:r>
      <w:r w:rsidR="0038503C">
        <w:rPr>
          <w:rFonts w:hint="eastAsia"/>
        </w:rPr>
        <w:t>演</w:t>
      </w:r>
      <w:r w:rsidRPr="00545BF6">
        <w:rPr>
          <w:rFonts w:hint="eastAsia"/>
        </w:rPr>
        <w:t>藝</w:t>
      </w:r>
      <w:r w:rsidR="0038503C">
        <w:rPr>
          <w:rFonts w:hint="eastAsia"/>
        </w:rPr>
        <w:t>術</w:t>
      </w:r>
      <w:r w:rsidRPr="00545BF6">
        <w:rPr>
          <w:rFonts w:hint="eastAsia"/>
        </w:rPr>
        <w:t>中心辦理</w:t>
      </w:r>
      <w:r w:rsidRPr="00545BF6">
        <w:t>媒體政策及業務宣導</w:t>
      </w:r>
      <w:r w:rsidRPr="00545BF6">
        <w:rPr>
          <w:rFonts w:hint="eastAsia"/>
        </w:rPr>
        <w:t>之預算</w:t>
      </w:r>
      <w:r w:rsidR="0015389D">
        <w:rPr>
          <w:rFonts w:hint="eastAsia"/>
        </w:rPr>
        <w:t>及執行狀況</w:t>
      </w:r>
      <w:r w:rsidRPr="00545BF6">
        <w:rPr>
          <w:rFonts w:hint="eastAsia"/>
        </w:rPr>
        <w:t>，允宜參照</w:t>
      </w:r>
      <w:r w:rsidR="0015389D">
        <w:rPr>
          <w:rFonts w:hint="eastAsia"/>
        </w:rPr>
        <w:t>預算法及相關</w:t>
      </w:r>
      <w:r w:rsidRPr="00545BF6">
        <w:rPr>
          <w:rFonts w:hint="eastAsia"/>
        </w:rPr>
        <w:t>規</w:t>
      </w:r>
      <w:r w:rsidR="0015389D">
        <w:rPr>
          <w:rFonts w:hint="eastAsia"/>
        </w:rPr>
        <w:t>定</w:t>
      </w:r>
      <w:r w:rsidRPr="00545BF6">
        <w:rPr>
          <w:rFonts w:hint="eastAsia"/>
        </w:rPr>
        <w:t>於預算書及官網揭露媒宣費資訊。</w:t>
      </w:r>
    </w:p>
    <w:p w:rsidR="00965A00" w:rsidRDefault="00965A00" w:rsidP="00965A00">
      <w:pPr>
        <w:ind w:left="566" w:firstLine="566"/>
      </w:pPr>
      <w:r w:rsidRPr="00E00F33">
        <w:rPr>
          <w:rFonts w:hint="eastAsia"/>
        </w:rPr>
        <w:t>綜上，</w:t>
      </w:r>
      <w:r w:rsidR="00CE5625" w:rsidRPr="002C1AD5">
        <w:rPr>
          <w:rFonts w:hint="eastAsia"/>
          <w:color w:val="000000"/>
        </w:rPr>
        <w:t>國家表演藝術中心</w:t>
      </w:r>
      <w:r w:rsidRPr="00E00F33">
        <w:rPr>
          <w:rFonts w:hint="eastAsia"/>
        </w:rPr>
        <w:t>114年度預算案</w:t>
      </w:r>
      <w:r w:rsidR="0015389D">
        <w:rPr>
          <w:rFonts w:hint="eastAsia"/>
        </w:rPr>
        <w:t>編列媒宣費</w:t>
      </w:r>
      <w:r w:rsidRPr="00E00F33">
        <w:rPr>
          <w:rFonts w:hint="eastAsia"/>
          <w:color w:val="000000"/>
        </w:rPr>
        <w:t>7</w:t>
      </w:r>
      <w:r w:rsidRPr="00E00F33">
        <w:rPr>
          <w:color w:val="000000"/>
        </w:rPr>
        <w:t>,380</w:t>
      </w:r>
      <w:r w:rsidRPr="00E00F33">
        <w:rPr>
          <w:rFonts w:hint="eastAsia"/>
          <w:color w:val="000000"/>
        </w:rPr>
        <w:t>萬9千元</w:t>
      </w:r>
      <w:r w:rsidR="0015389D">
        <w:rPr>
          <w:rFonts w:hint="eastAsia"/>
          <w:color w:val="000000"/>
        </w:rPr>
        <w:t>，</w:t>
      </w:r>
      <w:r w:rsidRPr="00E00F33">
        <w:rPr>
          <w:rFonts w:hint="eastAsia"/>
          <w:color w:val="000000"/>
        </w:rPr>
        <w:t>較110及113年度預算</w:t>
      </w:r>
      <w:r w:rsidR="0015389D">
        <w:rPr>
          <w:rFonts w:hint="eastAsia"/>
          <w:color w:val="000000"/>
        </w:rPr>
        <w:t>數之</w:t>
      </w:r>
      <w:r w:rsidRPr="00E00F33">
        <w:rPr>
          <w:rFonts w:hint="eastAsia"/>
          <w:color w:val="000000"/>
        </w:rPr>
        <w:t>增幅</w:t>
      </w:r>
      <w:r w:rsidR="0038503C">
        <w:rPr>
          <w:rFonts w:hint="eastAsia"/>
          <w:color w:val="000000"/>
        </w:rPr>
        <w:t>各為</w:t>
      </w:r>
      <w:r w:rsidRPr="00E00F33">
        <w:rPr>
          <w:rFonts w:hint="eastAsia"/>
          <w:color w:val="000000"/>
        </w:rPr>
        <w:t>6成</w:t>
      </w:r>
      <w:r w:rsidR="0038503C">
        <w:rPr>
          <w:rFonts w:hint="eastAsia"/>
          <w:color w:val="000000"/>
        </w:rPr>
        <w:t>餘</w:t>
      </w:r>
      <w:r w:rsidRPr="00E00F33">
        <w:rPr>
          <w:rFonts w:hint="eastAsia"/>
          <w:color w:val="000000"/>
        </w:rPr>
        <w:t>及</w:t>
      </w:r>
      <w:r w:rsidR="0038503C">
        <w:rPr>
          <w:rFonts w:hint="eastAsia"/>
          <w:color w:val="000000"/>
        </w:rPr>
        <w:t>近2</w:t>
      </w:r>
      <w:r w:rsidRPr="00E00F33">
        <w:rPr>
          <w:rFonts w:hint="eastAsia"/>
          <w:color w:val="000000"/>
        </w:rPr>
        <w:t>成，</w:t>
      </w:r>
      <w:r w:rsidRPr="00E00F33">
        <w:rPr>
          <w:rFonts w:hint="eastAsia"/>
        </w:rPr>
        <w:t>允宜</w:t>
      </w:r>
      <w:r w:rsidRPr="00E00F33">
        <w:rPr>
          <w:rFonts w:hint="eastAsia"/>
          <w:color w:val="000000"/>
        </w:rPr>
        <w:t>本節約原則審慎使用管理，並於預算書揭露</w:t>
      </w:r>
      <w:r w:rsidRPr="00E00F33">
        <w:t>「媒體政策及業務宣導費彙計表」</w:t>
      </w:r>
      <w:r w:rsidRPr="00E00F33">
        <w:rPr>
          <w:rFonts w:hint="eastAsia"/>
        </w:rPr>
        <w:t>及按月</w:t>
      </w:r>
      <w:r w:rsidR="0038503C" w:rsidRPr="00E00F33">
        <w:rPr>
          <w:rFonts w:hint="eastAsia"/>
        </w:rPr>
        <w:t>於官網</w:t>
      </w:r>
      <w:r w:rsidRPr="00E00F33">
        <w:rPr>
          <w:rFonts w:hint="eastAsia"/>
        </w:rPr>
        <w:t>揭露媒宣費執行資訊，俾利外界監督。</w:t>
      </w:r>
    </w:p>
    <w:p w:rsidR="008B3E73" w:rsidRPr="00A4694E" w:rsidRDefault="0069212B" w:rsidP="0069212B">
      <w:pPr>
        <w:spacing w:beforeLines="30" w:before="150" w:line="360" w:lineRule="exact"/>
        <w:ind w:leftChars="-78" w:left="661" w:hangingChars="311" w:hanging="882"/>
        <w:jc w:val="left"/>
      </w:pPr>
      <w:r>
        <w:rPr>
          <w:rFonts w:hint="eastAsia"/>
          <w:b/>
          <w:color w:val="000000"/>
        </w:rPr>
        <w:t xml:space="preserve"> </w:t>
      </w:r>
      <w:r w:rsidR="008B3E73" w:rsidRPr="00E069C1">
        <w:rPr>
          <w:rFonts w:hint="eastAsia"/>
          <w:b/>
          <w:color w:val="000000"/>
        </w:rPr>
        <w:t>表</w:t>
      </w:r>
      <w:r w:rsidR="008B3E73">
        <w:rPr>
          <w:rFonts w:hint="eastAsia"/>
          <w:b/>
          <w:color w:val="000000"/>
        </w:rPr>
        <w:t>2</w:t>
      </w:r>
      <w:r w:rsidR="008B3E73" w:rsidRPr="00E069C1">
        <w:rPr>
          <w:rFonts w:hint="eastAsia"/>
          <w:b/>
          <w:color w:val="000000"/>
        </w:rPr>
        <w:t xml:space="preserve">  國家表演藝術中心</w:t>
      </w:r>
      <w:r w:rsidR="008B3E73">
        <w:rPr>
          <w:rFonts w:hint="eastAsia"/>
          <w:b/>
          <w:color w:val="000000"/>
        </w:rPr>
        <w:t xml:space="preserve">114年度媒體政策及業務宣導費預計執行內容概要表             </w:t>
      </w:r>
      <w:r w:rsidR="008B3E73" w:rsidRPr="00E069C1">
        <w:rPr>
          <w:rFonts w:hint="eastAsia"/>
          <w:b/>
          <w:color w:val="000000"/>
        </w:rPr>
        <w:t xml:space="preserve">    </w:t>
      </w:r>
      <w:r w:rsidR="008B3E73">
        <w:rPr>
          <w:rFonts w:hint="eastAsia"/>
          <w:b/>
          <w:color w:val="000000"/>
        </w:rPr>
        <w:t xml:space="preserve">                            </w:t>
      </w:r>
    </w:p>
    <w:tbl>
      <w:tblPr>
        <w:tblW w:w="8667" w:type="dxa"/>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2"/>
        <w:gridCol w:w="7645"/>
      </w:tblGrid>
      <w:tr w:rsidR="008B3E73" w:rsidRPr="00BE2360" w:rsidTr="008B3E73">
        <w:trPr>
          <w:tblHeader/>
        </w:trPr>
        <w:tc>
          <w:tcPr>
            <w:tcW w:w="1022" w:type="dxa"/>
            <w:shd w:val="clear" w:color="auto" w:fill="auto"/>
            <w:vAlign w:val="center"/>
            <w:hideMark/>
          </w:tcPr>
          <w:p w:rsidR="008B3E73" w:rsidRPr="00BE2360" w:rsidRDefault="008B3E73" w:rsidP="00E102C0">
            <w:pPr>
              <w:pStyle w:val="142"/>
              <w:rPr>
                <w:snapToGrid/>
              </w:rPr>
            </w:pPr>
            <w:r w:rsidRPr="00BE2360">
              <w:rPr>
                <w:rFonts w:hint="eastAsia"/>
                <w:snapToGrid/>
              </w:rPr>
              <w:t>單位別</w:t>
            </w:r>
          </w:p>
        </w:tc>
        <w:tc>
          <w:tcPr>
            <w:tcW w:w="7645" w:type="dxa"/>
            <w:shd w:val="clear" w:color="auto" w:fill="auto"/>
            <w:vAlign w:val="center"/>
            <w:hideMark/>
          </w:tcPr>
          <w:p w:rsidR="008B3E73" w:rsidRPr="00BE2360" w:rsidRDefault="008B3E73" w:rsidP="00E102C0">
            <w:pPr>
              <w:pStyle w:val="142"/>
              <w:jc w:val="center"/>
              <w:rPr>
                <w:rFonts w:hint="eastAsia"/>
                <w:snapToGrid/>
              </w:rPr>
            </w:pPr>
            <w:r w:rsidRPr="00BE2360">
              <w:rPr>
                <w:rFonts w:hint="eastAsia"/>
                <w:snapToGrid/>
              </w:rPr>
              <w:t>預計執行內容</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兩廳院</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場館形象記者會、國際專案宣傳、媒體及異業合作活動等。</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臺中歌劇院</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因應臺中歌劇院10週年慶，擴大執行線上/線下品牌活動、異業聯名行銷、網路行銷及品牌大型活動、串聯國際媒體及組織資源，開發企業贊助單位及深化會員經營，並擴大宣傳臺中歌劇院在環保永續、文化平權、自製節目及NTT+探索學習等活動宣傳及亮點。</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衛武營</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節目啟售記者會與宣傳、高雄捷運刊物架權利金、新春活動執行、貴賓及媒體餐會、節目記者會、衍生之講座及推廣活動辦理；OPENTIX網站廣告及售票系統專案分析、自媒體推播管理、廣告投放廣告代操、KOL及Podcast合作；短網址網站採購、電子報發報系統採購、Instagram監測工具採購、影音軟體採購；節目冊編輯、設計專案、節目專文、影片製作、拍攝、剪輯、後製、節目文宣派送、影片字幕翻譯。</w:t>
            </w:r>
          </w:p>
        </w:tc>
      </w:tr>
      <w:tr w:rsidR="008B3E73" w:rsidRPr="00BE2360" w:rsidTr="008B3E73">
        <w:tc>
          <w:tcPr>
            <w:tcW w:w="1022"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國家交響樂團</w:t>
            </w:r>
          </w:p>
        </w:tc>
        <w:tc>
          <w:tcPr>
            <w:tcW w:w="7645" w:type="dxa"/>
            <w:shd w:val="clear" w:color="auto" w:fill="auto"/>
            <w:vAlign w:val="center"/>
            <w:hideMark/>
          </w:tcPr>
          <w:p w:rsidR="008B3E73" w:rsidRPr="00BE2360" w:rsidRDefault="008B3E73" w:rsidP="00E102C0">
            <w:pPr>
              <w:pStyle w:val="142"/>
              <w:rPr>
                <w:rFonts w:hint="eastAsia"/>
                <w:snapToGrid/>
              </w:rPr>
            </w:pPr>
            <w:r w:rsidRPr="00BE2360">
              <w:rPr>
                <w:rFonts w:hint="eastAsia"/>
                <w:snapToGrid/>
              </w:rPr>
              <w:t>用於執行節目與整體活動所進行的各種市場推廣、宣傳或品牌宣導時，所需的各項開支，包含各種講座、會議、通告、記者會等執行，其中也包括樂團海內外形象之業務推廣等相關活動費用</w:t>
            </w:r>
          </w:p>
        </w:tc>
      </w:tr>
    </w:tbl>
    <w:p w:rsidR="0057696E" w:rsidRPr="00BA5318" w:rsidRDefault="008B3E73" w:rsidP="0096297C">
      <w:pPr>
        <w:pStyle w:val="142"/>
        <w:jc w:val="both"/>
      </w:pPr>
      <w:r w:rsidRPr="00E069C1">
        <w:rPr>
          <w:rFonts w:hint="eastAsia"/>
          <w:color w:val="000000"/>
        </w:rPr>
        <w:t>資料來源：</w:t>
      </w:r>
      <w:r w:rsidR="00FF3510" w:rsidRPr="00E069C1">
        <w:rPr>
          <w:rFonts w:hint="eastAsia"/>
          <w:color w:val="000000"/>
        </w:rPr>
        <w:t>國</w:t>
      </w:r>
      <w:r w:rsidR="00FF3510">
        <w:rPr>
          <w:rFonts w:hint="eastAsia"/>
          <w:color w:val="000000"/>
        </w:rPr>
        <w:t>家</w:t>
      </w:r>
      <w:r w:rsidR="00FF3510" w:rsidRPr="00E069C1">
        <w:rPr>
          <w:rFonts w:hint="eastAsia"/>
          <w:color w:val="000000"/>
        </w:rPr>
        <w:t>表</w:t>
      </w:r>
      <w:r w:rsidR="00FF3510">
        <w:rPr>
          <w:rFonts w:hint="eastAsia"/>
          <w:color w:val="000000"/>
        </w:rPr>
        <w:t>演</w:t>
      </w:r>
      <w:r w:rsidR="00FF3510" w:rsidRPr="00E069C1">
        <w:rPr>
          <w:rFonts w:hint="eastAsia"/>
          <w:color w:val="000000"/>
        </w:rPr>
        <w:t>藝</w:t>
      </w:r>
      <w:r w:rsidR="00FF3510">
        <w:rPr>
          <w:rFonts w:hint="eastAsia"/>
          <w:color w:val="000000"/>
        </w:rPr>
        <w:t>術</w:t>
      </w:r>
      <w:r w:rsidR="00FF3510" w:rsidRPr="00E069C1">
        <w:rPr>
          <w:rFonts w:hint="eastAsia"/>
          <w:color w:val="000000"/>
        </w:rPr>
        <w:t>中心提供。</w:t>
      </w:r>
    </w:p>
    <w:sectPr w:rsidR="0057696E" w:rsidRPr="00BA5318" w:rsidSect="004B3F8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4D" w:rsidRDefault="003E494D" w:rsidP="009B732E">
      <w:pPr>
        <w:spacing w:line="240" w:lineRule="auto"/>
        <w:ind w:left="560" w:firstLine="560"/>
      </w:pPr>
      <w:r>
        <w:separator/>
      </w:r>
    </w:p>
  </w:endnote>
  <w:endnote w:type="continuationSeparator" w:id="0">
    <w:p w:rsidR="003E494D" w:rsidRDefault="003E494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56485F">
    <w:pPr>
      <w:pStyle w:val="ae"/>
      <w:ind w:left="560" w:firstLine="400"/>
      <w:jc w:val="center"/>
    </w:pPr>
    <w:r>
      <w:fldChar w:fldCharType="begin"/>
    </w:r>
    <w:r>
      <w:instrText>PAGE   \* MERGEFORMAT</w:instrText>
    </w:r>
    <w:r>
      <w:fldChar w:fldCharType="separate"/>
    </w:r>
    <w:r w:rsidR="0096297C" w:rsidRPr="0096297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4D" w:rsidRDefault="003E494D" w:rsidP="009B732E">
      <w:pPr>
        <w:spacing w:line="240" w:lineRule="auto"/>
        <w:ind w:left="560" w:firstLine="560"/>
      </w:pPr>
      <w:r>
        <w:separator/>
      </w:r>
    </w:p>
  </w:footnote>
  <w:footnote w:type="continuationSeparator" w:id="0">
    <w:p w:rsidR="003E494D" w:rsidRDefault="003E494D" w:rsidP="009B732E">
      <w:pPr>
        <w:spacing w:line="240" w:lineRule="auto"/>
        <w:ind w:left="560" w:firstLine="560"/>
      </w:pPr>
      <w:r>
        <w:continuationSeparator/>
      </w:r>
    </w:p>
  </w:footnote>
  <w:footnote w:id="1">
    <w:p w:rsidR="0038503C" w:rsidRPr="00545BF6" w:rsidRDefault="0038503C" w:rsidP="003E5124">
      <w:pPr>
        <w:pStyle w:val="142"/>
        <w:ind w:leftChars="1" w:left="181" w:hangingChars="73" w:hanging="178"/>
        <w:jc w:val="both"/>
        <w:rPr>
          <w:rFonts w:hint="eastAsia"/>
        </w:rPr>
      </w:pPr>
      <w:r>
        <w:rPr>
          <w:rStyle w:val="af3"/>
        </w:rPr>
        <w:footnoteRef/>
      </w:r>
      <w:r>
        <w:t xml:space="preserve"> </w:t>
      </w:r>
      <w:r>
        <w:rPr>
          <w:rFonts w:hint="eastAsia"/>
        </w:rPr>
        <w:t>預算法第62條</w:t>
      </w:r>
      <w:r w:rsidR="007C4CBE">
        <w:rPr>
          <w:rFonts w:hint="eastAsia"/>
        </w:rPr>
        <w:t>之1</w:t>
      </w:r>
      <w:r>
        <w:rPr>
          <w:rFonts w:hint="eastAsia"/>
        </w:rPr>
        <w:t>第1項規定：「基於行政中立、維護新聞自由及人民權益，政府各機關暨公營事業、政府捐助基金百分之五十以上成立之財團法人及政府轉投資資本百分之五十以上事業，編列預算於平面媒體、廣播媒體、網路媒體（含社群媒體）及電視媒體辦理政策及業務宣導，應明確標示其為廣告且揭示辦理或贊助機關、單位名稱，並不得以置入性行銷方式進行。」</w:t>
      </w:r>
      <w:r w:rsidR="00073133">
        <w:rPr>
          <w:rFonts w:hint="eastAsia"/>
        </w:rPr>
        <w:t>同條第2項規定：</w:t>
      </w:r>
      <w:r>
        <w:rPr>
          <w:rFonts w:hint="eastAsia"/>
        </w:rPr>
        <w:t>「前項辦理政策及業務宣導之預算，各主管機關應就其執行情形加強管理，按月於機關資訊公開區公布宣導主題、媒體類型、期程、金額、執行單位等事項，並於主計總處網站專區公布，按季送立法院備查。」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6F3D"/>
    <w:multiLevelType w:val="hybridMultilevel"/>
    <w:tmpl w:val="497CAD1A"/>
    <w:lvl w:ilvl="0" w:tplc="9A5E863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2D0999"/>
    <w:multiLevelType w:val="hybridMultilevel"/>
    <w:tmpl w:val="974E2970"/>
    <w:lvl w:ilvl="0" w:tplc="B4469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3AE052B7"/>
    <w:multiLevelType w:val="hybridMultilevel"/>
    <w:tmpl w:val="D7CE7D36"/>
    <w:lvl w:ilvl="0" w:tplc="648854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0A357C"/>
    <w:multiLevelType w:val="hybridMultilevel"/>
    <w:tmpl w:val="FB1C07FA"/>
    <w:lvl w:ilvl="0" w:tplc="DA36D4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2C7018E"/>
    <w:multiLevelType w:val="multilevel"/>
    <w:tmpl w:val="BB2AC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4"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5E92DA1"/>
    <w:multiLevelType w:val="hybridMultilevel"/>
    <w:tmpl w:val="4A20247C"/>
    <w:lvl w:ilvl="0" w:tplc="538C7530">
      <w:start w:val="1"/>
      <w:numFmt w:val="taiwaneseCountingThousand"/>
      <w:lvlText w:val="(%1)"/>
      <w:lvlJc w:val="left"/>
      <w:pPr>
        <w:ind w:left="1286" w:hanging="72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2BCC"/>
    <w:rsid w:val="00004210"/>
    <w:rsid w:val="000052FB"/>
    <w:rsid w:val="0000599E"/>
    <w:rsid w:val="00006B0E"/>
    <w:rsid w:val="000157A2"/>
    <w:rsid w:val="000274E0"/>
    <w:rsid w:val="000320DC"/>
    <w:rsid w:val="00035B47"/>
    <w:rsid w:val="000368DE"/>
    <w:rsid w:val="0004193E"/>
    <w:rsid w:val="00043532"/>
    <w:rsid w:val="0004476D"/>
    <w:rsid w:val="000473E6"/>
    <w:rsid w:val="000525C2"/>
    <w:rsid w:val="000675EA"/>
    <w:rsid w:val="00070CCC"/>
    <w:rsid w:val="000712EC"/>
    <w:rsid w:val="00072356"/>
    <w:rsid w:val="00073133"/>
    <w:rsid w:val="0007377F"/>
    <w:rsid w:val="000817FB"/>
    <w:rsid w:val="00090BA0"/>
    <w:rsid w:val="000927F8"/>
    <w:rsid w:val="00094AB7"/>
    <w:rsid w:val="000A0C10"/>
    <w:rsid w:val="000B2277"/>
    <w:rsid w:val="000B4AD1"/>
    <w:rsid w:val="000B5D31"/>
    <w:rsid w:val="000B74EB"/>
    <w:rsid w:val="000C275D"/>
    <w:rsid w:val="000C6CF1"/>
    <w:rsid w:val="000D4B51"/>
    <w:rsid w:val="000E5B15"/>
    <w:rsid w:val="000E5F6D"/>
    <w:rsid w:val="000F0392"/>
    <w:rsid w:val="000F4362"/>
    <w:rsid w:val="000F5EB7"/>
    <w:rsid w:val="000F7630"/>
    <w:rsid w:val="00115982"/>
    <w:rsid w:val="001210C0"/>
    <w:rsid w:val="00122C8B"/>
    <w:rsid w:val="00124E07"/>
    <w:rsid w:val="0013423D"/>
    <w:rsid w:val="00135792"/>
    <w:rsid w:val="00135E2A"/>
    <w:rsid w:val="00135ED2"/>
    <w:rsid w:val="00142B55"/>
    <w:rsid w:val="00145668"/>
    <w:rsid w:val="0015389D"/>
    <w:rsid w:val="00155CEC"/>
    <w:rsid w:val="001666F8"/>
    <w:rsid w:val="00167ED7"/>
    <w:rsid w:val="00171EEF"/>
    <w:rsid w:val="00172F09"/>
    <w:rsid w:val="001749F8"/>
    <w:rsid w:val="00195A49"/>
    <w:rsid w:val="001A3A8B"/>
    <w:rsid w:val="001A57C6"/>
    <w:rsid w:val="001A654A"/>
    <w:rsid w:val="001B05EB"/>
    <w:rsid w:val="001C36CA"/>
    <w:rsid w:val="001C713B"/>
    <w:rsid w:val="001D145E"/>
    <w:rsid w:val="001D2CBA"/>
    <w:rsid w:val="001E1FAF"/>
    <w:rsid w:val="001E787E"/>
    <w:rsid w:val="001F6B6E"/>
    <w:rsid w:val="00201F11"/>
    <w:rsid w:val="00206AD5"/>
    <w:rsid w:val="00207357"/>
    <w:rsid w:val="0021072B"/>
    <w:rsid w:val="0021249E"/>
    <w:rsid w:val="002162AE"/>
    <w:rsid w:val="00230325"/>
    <w:rsid w:val="00234529"/>
    <w:rsid w:val="00236297"/>
    <w:rsid w:val="00240E56"/>
    <w:rsid w:val="00242F52"/>
    <w:rsid w:val="0024730B"/>
    <w:rsid w:val="0024790A"/>
    <w:rsid w:val="00250A41"/>
    <w:rsid w:val="00250CAB"/>
    <w:rsid w:val="002523EC"/>
    <w:rsid w:val="00256AB0"/>
    <w:rsid w:val="00262329"/>
    <w:rsid w:val="00262E5B"/>
    <w:rsid w:val="00263FEB"/>
    <w:rsid w:val="00266B3A"/>
    <w:rsid w:val="002701CE"/>
    <w:rsid w:val="0027537F"/>
    <w:rsid w:val="00276EF4"/>
    <w:rsid w:val="00284DAF"/>
    <w:rsid w:val="00286488"/>
    <w:rsid w:val="00295347"/>
    <w:rsid w:val="00295C6C"/>
    <w:rsid w:val="002B1CAB"/>
    <w:rsid w:val="002B49BC"/>
    <w:rsid w:val="002C09CD"/>
    <w:rsid w:val="002C1AD5"/>
    <w:rsid w:val="002C49B5"/>
    <w:rsid w:val="002D225F"/>
    <w:rsid w:val="002D7ABC"/>
    <w:rsid w:val="002E3ABC"/>
    <w:rsid w:val="002E3C95"/>
    <w:rsid w:val="002E69BE"/>
    <w:rsid w:val="002F5926"/>
    <w:rsid w:val="00304B9E"/>
    <w:rsid w:val="003161A2"/>
    <w:rsid w:val="00334B63"/>
    <w:rsid w:val="00343798"/>
    <w:rsid w:val="00346601"/>
    <w:rsid w:val="00346A53"/>
    <w:rsid w:val="00352154"/>
    <w:rsid w:val="00361507"/>
    <w:rsid w:val="00364BAC"/>
    <w:rsid w:val="003740B1"/>
    <w:rsid w:val="00376DF2"/>
    <w:rsid w:val="00377681"/>
    <w:rsid w:val="0038503C"/>
    <w:rsid w:val="00387FDA"/>
    <w:rsid w:val="0039646D"/>
    <w:rsid w:val="003A098D"/>
    <w:rsid w:val="003B1DEA"/>
    <w:rsid w:val="003B7075"/>
    <w:rsid w:val="003B7423"/>
    <w:rsid w:val="003B7B2E"/>
    <w:rsid w:val="003C3967"/>
    <w:rsid w:val="003D7353"/>
    <w:rsid w:val="003D7706"/>
    <w:rsid w:val="003E494D"/>
    <w:rsid w:val="003E5124"/>
    <w:rsid w:val="003E74D9"/>
    <w:rsid w:val="003F748F"/>
    <w:rsid w:val="004017B9"/>
    <w:rsid w:val="004022F0"/>
    <w:rsid w:val="00410FCD"/>
    <w:rsid w:val="00413740"/>
    <w:rsid w:val="00420631"/>
    <w:rsid w:val="0042489D"/>
    <w:rsid w:val="0042616E"/>
    <w:rsid w:val="00432B5E"/>
    <w:rsid w:val="00435174"/>
    <w:rsid w:val="00452E69"/>
    <w:rsid w:val="004555DD"/>
    <w:rsid w:val="004654D5"/>
    <w:rsid w:val="00471780"/>
    <w:rsid w:val="00480F45"/>
    <w:rsid w:val="0048578B"/>
    <w:rsid w:val="00495295"/>
    <w:rsid w:val="004A41F7"/>
    <w:rsid w:val="004A6C2F"/>
    <w:rsid w:val="004A7B6A"/>
    <w:rsid w:val="004A7E75"/>
    <w:rsid w:val="004B3F8F"/>
    <w:rsid w:val="004B48EE"/>
    <w:rsid w:val="004C52F3"/>
    <w:rsid w:val="004C66CC"/>
    <w:rsid w:val="004F0F56"/>
    <w:rsid w:val="004F2961"/>
    <w:rsid w:val="004F3212"/>
    <w:rsid w:val="004F3990"/>
    <w:rsid w:val="00502486"/>
    <w:rsid w:val="00524FDB"/>
    <w:rsid w:val="00530EC5"/>
    <w:rsid w:val="00541C88"/>
    <w:rsid w:val="005449FE"/>
    <w:rsid w:val="00550581"/>
    <w:rsid w:val="0056485F"/>
    <w:rsid w:val="00565AE2"/>
    <w:rsid w:val="00570190"/>
    <w:rsid w:val="0057022F"/>
    <w:rsid w:val="00571AA3"/>
    <w:rsid w:val="00573625"/>
    <w:rsid w:val="0057696E"/>
    <w:rsid w:val="00582036"/>
    <w:rsid w:val="00587531"/>
    <w:rsid w:val="00593E29"/>
    <w:rsid w:val="005961B7"/>
    <w:rsid w:val="005A630F"/>
    <w:rsid w:val="005B5377"/>
    <w:rsid w:val="005C188A"/>
    <w:rsid w:val="005C2050"/>
    <w:rsid w:val="005C4372"/>
    <w:rsid w:val="005D2928"/>
    <w:rsid w:val="005D45FD"/>
    <w:rsid w:val="005E039E"/>
    <w:rsid w:val="005E0B38"/>
    <w:rsid w:val="005E0BC4"/>
    <w:rsid w:val="005E607D"/>
    <w:rsid w:val="005F2E40"/>
    <w:rsid w:val="00600FFD"/>
    <w:rsid w:val="00601180"/>
    <w:rsid w:val="00605640"/>
    <w:rsid w:val="00607E60"/>
    <w:rsid w:val="00616731"/>
    <w:rsid w:val="006170EF"/>
    <w:rsid w:val="00617366"/>
    <w:rsid w:val="00624DD2"/>
    <w:rsid w:val="00634116"/>
    <w:rsid w:val="006400F2"/>
    <w:rsid w:val="00653100"/>
    <w:rsid w:val="006554D6"/>
    <w:rsid w:val="00663BB5"/>
    <w:rsid w:val="0066554A"/>
    <w:rsid w:val="00665AB8"/>
    <w:rsid w:val="0066727E"/>
    <w:rsid w:val="006679DA"/>
    <w:rsid w:val="00671E5C"/>
    <w:rsid w:val="00673621"/>
    <w:rsid w:val="00682237"/>
    <w:rsid w:val="00682535"/>
    <w:rsid w:val="00682CEE"/>
    <w:rsid w:val="0069212B"/>
    <w:rsid w:val="00692CE1"/>
    <w:rsid w:val="00693372"/>
    <w:rsid w:val="006B398B"/>
    <w:rsid w:val="006B5432"/>
    <w:rsid w:val="006C0168"/>
    <w:rsid w:val="006C3E0B"/>
    <w:rsid w:val="006C7C85"/>
    <w:rsid w:val="006D04AF"/>
    <w:rsid w:val="006D06CE"/>
    <w:rsid w:val="006D6E8B"/>
    <w:rsid w:val="006E27E6"/>
    <w:rsid w:val="006E2E35"/>
    <w:rsid w:val="006F3756"/>
    <w:rsid w:val="006F4202"/>
    <w:rsid w:val="007015A1"/>
    <w:rsid w:val="0070639F"/>
    <w:rsid w:val="0070774B"/>
    <w:rsid w:val="007122D3"/>
    <w:rsid w:val="007132ED"/>
    <w:rsid w:val="0072587F"/>
    <w:rsid w:val="00727E48"/>
    <w:rsid w:val="00732380"/>
    <w:rsid w:val="007415F1"/>
    <w:rsid w:val="007421A8"/>
    <w:rsid w:val="00743393"/>
    <w:rsid w:val="00744408"/>
    <w:rsid w:val="00747271"/>
    <w:rsid w:val="00747500"/>
    <w:rsid w:val="0075276C"/>
    <w:rsid w:val="00753060"/>
    <w:rsid w:val="007551A2"/>
    <w:rsid w:val="007658FC"/>
    <w:rsid w:val="00766B39"/>
    <w:rsid w:val="007740B1"/>
    <w:rsid w:val="007775F7"/>
    <w:rsid w:val="00777C94"/>
    <w:rsid w:val="00781D27"/>
    <w:rsid w:val="00783A93"/>
    <w:rsid w:val="00787218"/>
    <w:rsid w:val="00787308"/>
    <w:rsid w:val="007B00B7"/>
    <w:rsid w:val="007B5775"/>
    <w:rsid w:val="007B592F"/>
    <w:rsid w:val="007C4CBE"/>
    <w:rsid w:val="007E006B"/>
    <w:rsid w:val="007E2AF4"/>
    <w:rsid w:val="00807BDE"/>
    <w:rsid w:val="0082797B"/>
    <w:rsid w:val="008308A1"/>
    <w:rsid w:val="00832B9A"/>
    <w:rsid w:val="00834013"/>
    <w:rsid w:val="00844FDF"/>
    <w:rsid w:val="00847118"/>
    <w:rsid w:val="00855C2C"/>
    <w:rsid w:val="00860F96"/>
    <w:rsid w:val="00864AA1"/>
    <w:rsid w:val="00873D2D"/>
    <w:rsid w:val="00874C34"/>
    <w:rsid w:val="008839B0"/>
    <w:rsid w:val="008923AC"/>
    <w:rsid w:val="00894A03"/>
    <w:rsid w:val="008A0CF4"/>
    <w:rsid w:val="008B3E73"/>
    <w:rsid w:val="008C27D0"/>
    <w:rsid w:val="008C2BAB"/>
    <w:rsid w:val="008C4515"/>
    <w:rsid w:val="008D103F"/>
    <w:rsid w:val="008D4046"/>
    <w:rsid w:val="008F4C59"/>
    <w:rsid w:val="008F75E7"/>
    <w:rsid w:val="00904820"/>
    <w:rsid w:val="00921F4E"/>
    <w:rsid w:val="009227FB"/>
    <w:rsid w:val="00942788"/>
    <w:rsid w:val="00943BEF"/>
    <w:rsid w:val="0096297C"/>
    <w:rsid w:val="00965A00"/>
    <w:rsid w:val="00966A88"/>
    <w:rsid w:val="0097206B"/>
    <w:rsid w:val="0097649C"/>
    <w:rsid w:val="00981F26"/>
    <w:rsid w:val="00984C50"/>
    <w:rsid w:val="009A0B4A"/>
    <w:rsid w:val="009A319D"/>
    <w:rsid w:val="009A3B16"/>
    <w:rsid w:val="009B167B"/>
    <w:rsid w:val="009B1C16"/>
    <w:rsid w:val="009B6A11"/>
    <w:rsid w:val="009B732E"/>
    <w:rsid w:val="009C4BE9"/>
    <w:rsid w:val="009D35B9"/>
    <w:rsid w:val="009F1070"/>
    <w:rsid w:val="009F1219"/>
    <w:rsid w:val="009F222B"/>
    <w:rsid w:val="00A0093A"/>
    <w:rsid w:val="00A04909"/>
    <w:rsid w:val="00A13285"/>
    <w:rsid w:val="00A14D12"/>
    <w:rsid w:val="00A212B6"/>
    <w:rsid w:val="00A2377F"/>
    <w:rsid w:val="00A30D12"/>
    <w:rsid w:val="00A3346E"/>
    <w:rsid w:val="00A36D08"/>
    <w:rsid w:val="00A42D90"/>
    <w:rsid w:val="00A42FFD"/>
    <w:rsid w:val="00A452DE"/>
    <w:rsid w:val="00A4694E"/>
    <w:rsid w:val="00A52392"/>
    <w:rsid w:val="00A62C54"/>
    <w:rsid w:val="00A709CB"/>
    <w:rsid w:val="00A70B88"/>
    <w:rsid w:val="00A746E9"/>
    <w:rsid w:val="00A76A97"/>
    <w:rsid w:val="00A76E68"/>
    <w:rsid w:val="00A85E42"/>
    <w:rsid w:val="00A90365"/>
    <w:rsid w:val="00A92AAB"/>
    <w:rsid w:val="00A92B49"/>
    <w:rsid w:val="00A944D6"/>
    <w:rsid w:val="00AA3078"/>
    <w:rsid w:val="00AB4F5E"/>
    <w:rsid w:val="00AC3716"/>
    <w:rsid w:val="00AD4D71"/>
    <w:rsid w:val="00AE2094"/>
    <w:rsid w:val="00AF5B28"/>
    <w:rsid w:val="00B057EE"/>
    <w:rsid w:val="00B06CAB"/>
    <w:rsid w:val="00B12628"/>
    <w:rsid w:val="00B240B8"/>
    <w:rsid w:val="00B24AC1"/>
    <w:rsid w:val="00B25C17"/>
    <w:rsid w:val="00B268AF"/>
    <w:rsid w:val="00B310C5"/>
    <w:rsid w:val="00B34A3D"/>
    <w:rsid w:val="00B475AE"/>
    <w:rsid w:val="00B545E1"/>
    <w:rsid w:val="00B64E15"/>
    <w:rsid w:val="00B72B0B"/>
    <w:rsid w:val="00B74910"/>
    <w:rsid w:val="00B834A0"/>
    <w:rsid w:val="00B859B3"/>
    <w:rsid w:val="00B96C78"/>
    <w:rsid w:val="00BA5318"/>
    <w:rsid w:val="00BA60AA"/>
    <w:rsid w:val="00BA7ECB"/>
    <w:rsid w:val="00BB1F0C"/>
    <w:rsid w:val="00BC0551"/>
    <w:rsid w:val="00BC4401"/>
    <w:rsid w:val="00BD6ACD"/>
    <w:rsid w:val="00BE08DF"/>
    <w:rsid w:val="00BE31BB"/>
    <w:rsid w:val="00BE5DA0"/>
    <w:rsid w:val="00C00D4A"/>
    <w:rsid w:val="00C00E9D"/>
    <w:rsid w:val="00C02535"/>
    <w:rsid w:val="00C04BE8"/>
    <w:rsid w:val="00C04F57"/>
    <w:rsid w:val="00C13D4E"/>
    <w:rsid w:val="00C1648F"/>
    <w:rsid w:val="00C23015"/>
    <w:rsid w:val="00C235AD"/>
    <w:rsid w:val="00C266E2"/>
    <w:rsid w:val="00C326F3"/>
    <w:rsid w:val="00C44692"/>
    <w:rsid w:val="00C45A87"/>
    <w:rsid w:val="00C46408"/>
    <w:rsid w:val="00C53C7D"/>
    <w:rsid w:val="00C5425B"/>
    <w:rsid w:val="00C55B7B"/>
    <w:rsid w:val="00C60537"/>
    <w:rsid w:val="00C61233"/>
    <w:rsid w:val="00C614EC"/>
    <w:rsid w:val="00C653E6"/>
    <w:rsid w:val="00C73EFD"/>
    <w:rsid w:val="00C802D0"/>
    <w:rsid w:val="00C920DC"/>
    <w:rsid w:val="00C9544B"/>
    <w:rsid w:val="00CA3758"/>
    <w:rsid w:val="00CA7C0B"/>
    <w:rsid w:val="00CB195B"/>
    <w:rsid w:val="00CB4970"/>
    <w:rsid w:val="00CC01B7"/>
    <w:rsid w:val="00CD436C"/>
    <w:rsid w:val="00CE5625"/>
    <w:rsid w:val="00CF7E81"/>
    <w:rsid w:val="00CF7F51"/>
    <w:rsid w:val="00D02B5A"/>
    <w:rsid w:val="00D03D82"/>
    <w:rsid w:val="00D127C1"/>
    <w:rsid w:val="00D26B12"/>
    <w:rsid w:val="00D36A36"/>
    <w:rsid w:val="00D444FD"/>
    <w:rsid w:val="00D45E71"/>
    <w:rsid w:val="00D47582"/>
    <w:rsid w:val="00D55F58"/>
    <w:rsid w:val="00D56D4A"/>
    <w:rsid w:val="00D66400"/>
    <w:rsid w:val="00D66EC8"/>
    <w:rsid w:val="00D71ADD"/>
    <w:rsid w:val="00D87752"/>
    <w:rsid w:val="00D91649"/>
    <w:rsid w:val="00D91961"/>
    <w:rsid w:val="00D91AF8"/>
    <w:rsid w:val="00DB1192"/>
    <w:rsid w:val="00DB1E41"/>
    <w:rsid w:val="00DB5EE8"/>
    <w:rsid w:val="00DC07FE"/>
    <w:rsid w:val="00DC6249"/>
    <w:rsid w:val="00DD61BE"/>
    <w:rsid w:val="00DE270D"/>
    <w:rsid w:val="00DE795F"/>
    <w:rsid w:val="00DF0E76"/>
    <w:rsid w:val="00DF10CB"/>
    <w:rsid w:val="00E102C0"/>
    <w:rsid w:val="00E24336"/>
    <w:rsid w:val="00E243D3"/>
    <w:rsid w:val="00E26FB6"/>
    <w:rsid w:val="00E345A5"/>
    <w:rsid w:val="00E34CD2"/>
    <w:rsid w:val="00E36042"/>
    <w:rsid w:val="00E36F40"/>
    <w:rsid w:val="00E407B1"/>
    <w:rsid w:val="00E44998"/>
    <w:rsid w:val="00E45E77"/>
    <w:rsid w:val="00E53971"/>
    <w:rsid w:val="00E611FA"/>
    <w:rsid w:val="00E70F66"/>
    <w:rsid w:val="00E7319E"/>
    <w:rsid w:val="00E75459"/>
    <w:rsid w:val="00E82DE5"/>
    <w:rsid w:val="00E933D2"/>
    <w:rsid w:val="00EB0152"/>
    <w:rsid w:val="00EB4AD6"/>
    <w:rsid w:val="00EB5EF4"/>
    <w:rsid w:val="00EB766D"/>
    <w:rsid w:val="00ED272F"/>
    <w:rsid w:val="00ED6E03"/>
    <w:rsid w:val="00EE1A48"/>
    <w:rsid w:val="00EE2461"/>
    <w:rsid w:val="00EE2F8E"/>
    <w:rsid w:val="00EF2686"/>
    <w:rsid w:val="00EF2A6E"/>
    <w:rsid w:val="00EF6C8E"/>
    <w:rsid w:val="00F0175B"/>
    <w:rsid w:val="00F152B8"/>
    <w:rsid w:val="00F30C49"/>
    <w:rsid w:val="00F402D3"/>
    <w:rsid w:val="00F52A87"/>
    <w:rsid w:val="00F54091"/>
    <w:rsid w:val="00F55140"/>
    <w:rsid w:val="00F7148C"/>
    <w:rsid w:val="00F71B18"/>
    <w:rsid w:val="00F74BD3"/>
    <w:rsid w:val="00F85505"/>
    <w:rsid w:val="00F9414E"/>
    <w:rsid w:val="00FA26F3"/>
    <w:rsid w:val="00FA6AF0"/>
    <w:rsid w:val="00FB092A"/>
    <w:rsid w:val="00FB5E7B"/>
    <w:rsid w:val="00FB6811"/>
    <w:rsid w:val="00FC350F"/>
    <w:rsid w:val="00FD1EAA"/>
    <w:rsid w:val="00FD4805"/>
    <w:rsid w:val="00FD783F"/>
    <w:rsid w:val="00FE0261"/>
    <w:rsid w:val="00FE2AB5"/>
    <w:rsid w:val="00FF0309"/>
    <w:rsid w:val="00FF0852"/>
    <w:rsid w:val="00FF1D89"/>
    <w:rsid w:val="00FF2986"/>
    <w:rsid w:val="00FF35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E280C4-F933-4793-A2C6-E7B3A0E25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0473E6"/>
    <w:pPr>
      <w:tabs>
        <w:tab w:val="right" w:leader="hyphen" w:pos="8497"/>
      </w:tabs>
      <w:ind w:leftChars="0" w:left="487"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qFormat/>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qFormat/>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character" w:styleId="af8">
    <w:name w:val="Emphasis"/>
    <w:uiPriority w:val="20"/>
    <w:qFormat/>
    <w:rsid w:val="000C6CF1"/>
    <w:rPr>
      <w:i/>
      <w:iCs/>
    </w:rPr>
  </w:style>
  <w:style w:type="character" w:customStyle="1" w:styleId="145">
    <w:name w:val="第二層(14號字) 字元"/>
    <w:rsid w:val="00693372"/>
    <w:rPr>
      <w:rFonts w:ascii="標楷體" w:eastAsia="標楷體"/>
      <w:b/>
      <w:snapToGrid w:val="0"/>
      <w:kern w:val="2"/>
      <w:sz w:val="28"/>
    </w:rPr>
  </w:style>
  <w:style w:type="character" w:customStyle="1" w:styleId="24">
    <w:name w:val="(一)(二)(三) 字元2"/>
    <w:rsid w:val="002C1AD5"/>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8940389">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70339453">
      <w:bodyDiv w:val="1"/>
      <w:marLeft w:val="0"/>
      <w:marRight w:val="0"/>
      <w:marTop w:val="0"/>
      <w:marBottom w:val="0"/>
      <w:divBdr>
        <w:top w:val="none" w:sz="0" w:space="0" w:color="auto"/>
        <w:left w:val="none" w:sz="0" w:space="0" w:color="auto"/>
        <w:bottom w:val="none" w:sz="0" w:space="0" w:color="auto"/>
        <w:right w:val="none" w:sz="0" w:space="0" w:color="auto"/>
      </w:divBdr>
    </w:div>
    <w:div w:id="617684298">
      <w:bodyDiv w:val="1"/>
      <w:marLeft w:val="0"/>
      <w:marRight w:val="0"/>
      <w:marTop w:val="0"/>
      <w:marBottom w:val="0"/>
      <w:divBdr>
        <w:top w:val="none" w:sz="0" w:space="0" w:color="auto"/>
        <w:left w:val="none" w:sz="0" w:space="0" w:color="auto"/>
        <w:bottom w:val="none" w:sz="0" w:space="0" w:color="auto"/>
        <w:right w:val="none" w:sz="0" w:space="0" w:color="auto"/>
      </w:divBdr>
    </w:div>
    <w:div w:id="826241820">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541166798">
      <w:bodyDiv w:val="1"/>
      <w:marLeft w:val="0"/>
      <w:marRight w:val="0"/>
      <w:marTop w:val="0"/>
      <w:marBottom w:val="0"/>
      <w:divBdr>
        <w:top w:val="none" w:sz="0" w:space="0" w:color="auto"/>
        <w:left w:val="none" w:sz="0" w:space="0" w:color="auto"/>
        <w:bottom w:val="none" w:sz="0" w:space="0" w:color="auto"/>
        <w:right w:val="none" w:sz="0" w:space="0" w:color="auto"/>
      </w:divBdr>
    </w:div>
    <w:div w:id="1870297135">
      <w:bodyDiv w:val="1"/>
      <w:marLeft w:val="0"/>
      <w:marRight w:val="0"/>
      <w:marTop w:val="0"/>
      <w:marBottom w:val="0"/>
      <w:divBdr>
        <w:top w:val="none" w:sz="0" w:space="0" w:color="auto"/>
        <w:left w:val="none" w:sz="0" w:space="0" w:color="auto"/>
        <w:bottom w:val="none" w:sz="0" w:space="0" w:color="auto"/>
        <w:right w:val="none" w:sz="0" w:space="0" w:color="auto"/>
      </w:divBdr>
    </w:div>
    <w:div w:id="1894997043">
      <w:bodyDiv w:val="1"/>
      <w:marLeft w:val="0"/>
      <w:marRight w:val="0"/>
      <w:marTop w:val="0"/>
      <w:marBottom w:val="0"/>
      <w:divBdr>
        <w:top w:val="none" w:sz="0" w:space="0" w:color="auto"/>
        <w:left w:val="none" w:sz="0" w:space="0" w:color="auto"/>
        <w:bottom w:val="none" w:sz="0" w:space="0" w:color="auto"/>
        <w:right w:val="none" w:sz="0" w:space="0" w:color="auto"/>
      </w:divBdr>
    </w:div>
    <w:div w:id="1945189104">
      <w:bodyDiv w:val="1"/>
      <w:marLeft w:val="0"/>
      <w:marRight w:val="0"/>
      <w:marTop w:val="0"/>
      <w:marBottom w:val="0"/>
      <w:divBdr>
        <w:top w:val="none" w:sz="0" w:space="0" w:color="auto"/>
        <w:left w:val="none" w:sz="0" w:space="0" w:color="auto"/>
        <w:bottom w:val="none" w:sz="0" w:space="0" w:color="auto"/>
        <w:right w:val="none" w:sz="0" w:space="0" w:color="auto"/>
      </w:divBdr>
    </w:div>
    <w:div w:id="1987122349">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2D2207-4CF9-4B9A-ACAD-EC9AEDFB5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378</Words>
  <Characters>2158</Characters>
  <Application>Microsoft Office Word</Application>
  <DocSecurity>0</DocSecurity>
  <Lines>17</Lines>
  <Paragraphs>5</Paragraphs>
  <ScaleCrop>false</ScaleCrop>
  <Company>HOME</Company>
  <LinksUpToDate>false</LinksUpToDate>
  <CharactersWithSpaces>2531</CharactersWithSpaces>
  <SharedDoc>false</SharedDoc>
  <HLinks>
    <vt:vector size="30" baseType="variant">
      <vt:variant>
        <vt:i4>1769531</vt:i4>
      </vt:variant>
      <vt:variant>
        <vt:i4>26</vt:i4>
      </vt:variant>
      <vt:variant>
        <vt:i4>0</vt:i4>
      </vt:variant>
      <vt:variant>
        <vt:i4>5</vt:i4>
      </vt:variant>
      <vt:variant>
        <vt:lpwstr/>
      </vt:variant>
      <vt:variant>
        <vt:lpwstr>_Toc181027932</vt:lpwstr>
      </vt:variant>
      <vt:variant>
        <vt:i4>1769531</vt:i4>
      </vt:variant>
      <vt:variant>
        <vt:i4>20</vt:i4>
      </vt:variant>
      <vt:variant>
        <vt:i4>0</vt:i4>
      </vt:variant>
      <vt:variant>
        <vt:i4>5</vt:i4>
      </vt:variant>
      <vt:variant>
        <vt:lpwstr/>
      </vt:variant>
      <vt:variant>
        <vt:lpwstr>_Toc181027931</vt:lpwstr>
      </vt:variant>
      <vt:variant>
        <vt:i4>1769531</vt:i4>
      </vt:variant>
      <vt:variant>
        <vt:i4>14</vt:i4>
      </vt:variant>
      <vt:variant>
        <vt:i4>0</vt:i4>
      </vt:variant>
      <vt:variant>
        <vt:i4>5</vt:i4>
      </vt:variant>
      <vt:variant>
        <vt:lpwstr/>
      </vt:variant>
      <vt:variant>
        <vt:lpwstr>_Toc181027930</vt:lpwstr>
      </vt:variant>
      <vt:variant>
        <vt:i4>1703995</vt:i4>
      </vt:variant>
      <vt:variant>
        <vt:i4>8</vt:i4>
      </vt:variant>
      <vt:variant>
        <vt:i4>0</vt:i4>
      </vt:variant>
      <vt:variant>
        <vt:i4>5</vt:i4>
      </vt:variant>
      <vt:variant>
        <vt:lpwstr/>
      </vt:variant>
      <vt:variant>
        <vt:lpwstr>_Toc181027929</vt:lpwstr>
      </vt:variant>
      <vt:variant>
        <vt:i4>1703995</vt:i4>
      </vt:variant>
      <vt:variant>
        <vt:i4>2</vt:i4>
      </vt:variant>
      <vt:variant>
        <vt:i4>0</vt:i4>
      </vt:variant>
      <vt:variant>
        <vt:i4>5</vt:i4>
      </vt:variant>
      <vt:variant>
        <vt:lpwstr/>
      </vt:variant>
      <vt:variant>
        <vt:lpwstr>_Toc181027928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2024-10-29T01:57:00Z</cp:lastPrinted>
  <dcterms:created xsi:type="dcterms:W3CDTF">2024-11-01T07:50:00Z</dcterms:created>
  <dcterms:modified xsi:type="dcterms:W3CDTF">2024-11-01T07:50:00Z</dcterms:modified>
</cp:coreProperties>
</file>