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36CA" w:rsidRPr="00EE2F8E" w:rsidRDefault="0042616E" w:rsidP="001C36CA">
      <w:pPr>
        <w:pStyle w:val="a9"/>
        <w:rPr>
          <w:color w:val="000000"/>
        </w:rPr>
      </w:pPr>
      <w:bookmarkStart w:id="0" w:name="_GoBack"/>
      <w:bookmarkEnd w:id="0"/>
      <w:r w:rsidRPr="00EE2F8E">
        <w:rPr>
          <w:rFonts w:hint="eastAsia"/>
          <w:color w:val="000000"/>
        </w:rPr>
        <w:t>行政法人</w:t>
      </w:r>
      <w:r w:rsidR="001C36CA" w:rsidRPr="00EE2F8E">
        <w:rPr>
          <w:rFonts w:hint="eastAsia"/>
          <w:color w:val="000000"/>
        </w:rPr>
        <w:t>國家表演藝術中心11</w:t>
      </w:r>
      <w:r w:rsidR="00C614EC" w:rsidRPr="00EE2F8E">
        <w:rPr>
          <w:rFonts w:hint="eastAsia"/>
          <w:color w:val="000000"/>
        </w:rPr>
        <w:t>4</w:t>
      </w:r>
      <w:r w:rsidR="001C36CA" w:rsidRPr="00EE2F8E">
        <w:rPr>
          <w:rFonts w:hint="eastAsia"/>
          <w:color w:val="000000"/>
        </w:rPr>
        <w:t>年度預算評估報告</w:t>
      </w:r>
    </w:p>
    <w:p w:rsidR="001C36CA" w:rsidRPr="00943BEF" w:rsidRDefault="006D04AF" w:rsidP="001C36CA">
      <w:pPr>
        <w:pStyle w:val="a7"/>
        <w:ind w:firstLine="566"/>
        <w:rPr>
          <w:color w:val="FF0000"/>
        </w:rPr>
      </w:pPr>
      <w:r w:rsidRPr="00EE2F8E">
        <w:rPr>
          <w:rFonts w:hint="eastAsia"/>
          <w:color w:val="000000"/>
        </w:rPr>
        <w:t>國家表演藝術中心為行政法人型態</w:t>
      </w:r>
      <w:r w:rsidR="001C36CA" w:rsidRPr="00EE2F8E">
        <w:rPr>
          <w:rFonts w:hint="eastAsia"/>
          <w:color w:val="000000"/>
        </w:rPr>
        <w:t>之機構，轄下包含北中南三大國家級藝文場館-國家兩廳院、臺中國家歌劇院、衛武營國家藝術文化中心及附設團隊國家交響樂團(NSO)，監督機關為文化部。該中心11</w:t>
      </w:r>
      <w:r w:rsidR="00C614EC" w:rsidRPr="00EE2F8E">
        <w:rPr>
          <w:rFonts w:hint="eastAsia"/>
          <w:color w:val="000000"/>
        </w:rPr>
        <w:t>4</w:t>
      </w:r>
      <w:r w:rsidR="001C36CA" w:rsidRPr="00EE2F8E">
        <w:rPr>
          <w:rFonts w:hint="eastAsia"/>
          <w:color w:val="000000"/>
        </w:rPr>
        <w:t>年度預算案編列業務收入3</w:t>
      </w:r>
      <w:r w:rsidR="00C614EC" w:rsidRPr="00EE2F8E">
        <w:rPr>
          <w:rFonts w:hint="eastAsia"/>
          <w:color w:val="000000"/>
        </w:rPr>
        <w:t>2</w:t>
      </w:r>
      <w:r w:rsidR="001C36CA" w:rsidRPr="00EE2F8E">
        <w:rPr>
          <w:rFonts w:hint="eastAsia"/>
          <w:color w:val="000000"/>
        </w:rPr>
        <w:t>億</w:t>
      </w:r>
      <w:r w:rsidR="00C614EC" w:rsidRPr="00EE2F8E">
        <w:rPr>
          <w:rFonts w:hint="eastAsia"/>
          <w:color w:val="000000"/>
        </w:rPr>
        <w:t>5</w:t>
      </w:r>
      <w:r w:rsidR="001C36CA" w:rsidRPr="00EE2F8E">
        <w:rPr>
          <w:rFonts w:hint="eastAsia"/>
          <w:color w:val="000000"/>
        </w:rPr>
        <w:t>,</w:t>
      </w:r>
      <w:r w:rsidR="00C614EC" w:rsidRPr="00EE2F8E">
        <w:rPr>
          <w:rFonts w:hint="eastAsia"/>
          <w:color w:val="000000"/>
        </w:rPr>
        <w:t>824</w:t>
      </w:r>
      <w:r w:rsidR="001C36CA" w:rsidRPr="00EE2F8E">
        <w:rPr>
          <w:rFonts w:hint="eastAsia"/>
          <w:color w:val="000000"/>
        </w:rPr>
        <w:t>萬</w:t>
      </w:r>
      <w:r w:rsidR="00C614EC" w:rsidRPr="00EE2F8E">
        <w:rPr>
          <w:rFonts w:hint="eastAsia"/>
          <w:color w:val="000000"/>
        </w:rPr>
        <w:t>3</w:t>
      </w:r>
      <w:r w:rsidR="001C36CA" w:rsidRPr="00EE2F8E">
        <w:rPr>
          <w:rFonts w:hint="eastAsia"/>
          <w:color w:val="000000"/>
        </w:rPr>
        <w:t>千元、業務成本與費用</w:t>
      </w:r>
      <w:r w:rsidR="00682CEE" w:rsidRPr="00EE2F8E">
        <w:rPr>
          <w:rFonts w:hint="eastAsia"/>
          <w:color w:val="000000"/>
        </w:rPr>
        <w:t>3</w:t>
      </w:r>
      <w:r w:rsidR="00C614EC" w:rsidRPr="00EE2F8E">
        <w:rPr>
          <w:rFonts w:hint="eastAsia"/>
          <w:color w:val="000000"/>
        </w:rPr>
        <w:t>5</w:t>
      </w:r>
      <w:r w:rsidR="001C36CA" w:rsidRPr="00EE2F8E">
        <w:rPr>
          <w:rFonts w:hint="eastAsia"/>
          <w:color w:val="000000"/>
        </w:rPr>
        <w:t>億</w:t>
      </w:r>
      <w:r w:rsidR="00C614EC" w:rsidRPr="00EE2F8E">
        <w:rPr>
          <w:rFonts w:hint="eastAsia"/>
          <w:color w:val="000000"/>
        </w:rPr>
        <w:t>2</w:t>
      </w:r>
      <w:r w:rsidR="001C36CA" w:rsidRPr="00EE2F8E">
        <w:rPr>
          <w:rFonts w:hint="eastAsia"/>
          <w:color w:val="000000"/>
        </w:rPr>
        <w:t>,</w:t>
      </w:r>
      <w:r w:rsidR="00682CEE" w:rsidRPr="00EE2F8E">
        <w:rPr>
          <w:rFonts w:hint="eastAsia"/>
          <w:color w:val="000000"/>
        </w:rPr>
        <w:t>4</w:t>
      </w:r>
      <w:r w:rsidR="00C614EC" w:rsidRPr="00EE2F8E">
        <w:rPr>
          <w:rFonts w:hint="eastAsia"/>
          <w:color w:val="000000"/>
        </w:rPr>
        <w:t>7</w:t>
      </w:r>
      <w:r w:rsidR="00682CEE" w:rsidRPr="00EE2F8E">
        <w:rPr>
          <w:rFonts w:hint="eastAsia"/>
          <w:color w:val="000000"/>
        </w:rPr>
        <w:t>8</w:t>
      </w:r>
      <w:r w:rsidR="001C36CA" w:rsidRPr="00EE2F8E">
        <w:rPr>
          <w:rFonts w:hint="eastAsia"/>
          <w:color w:val="000000"/>
        </w:rPr>
        <w:t>萬</w:t>
      </w:r>
      <w:r w:rsidR="00C614EC" w:rsidRPr="00EE2F8E">
        <w:rPr>
          <w:rFonts w:hint="eastAsia"/>
          <w:color w:val="000000"/>
        </w:rPr>
        <w:t>4千</w:t>
      </w:r>
      <w:r w:rsidR="001C36CA" w:rsidRPr="00EE2F8E">
        <w:rPr>
          <w:rFonts w:hint="eastAsia"/>
          <w:color w:val="000000"/>
        </w:rPr>
        <w:t>元，業務外收入</w:t>
      </w:r>
      <w:r w:rsidR="00C614EC" w:rsidRPr="00EE2F8E">
        <w:rPr>
          <w:rFonts w:hint="eastAsia"/>
          <w:color w:val="000000"/>
        </w:rPr>
        <w:t>5</w:t>
      </w:r>
      <w:r w:rsidR="001C36CA" w:rsidRPr="00EE2F8E">
        <w:rPr>
          <w:rFonts w:hint="eastAsia"/>
          <w:color w:val="000000"/>
        </w:rPr>
        <w:t>,</w:t>
      </w:r>
      <w:r w:rsidR="00C614EC" w:rsidRPr="00EE2F8E">
        <w:rPr>
          <w:rFonts w:hint="eastAsia"/>
          <w:color w:val="000000"/>
        </w:rPr>
        <w:t>220</w:t>
      </w:r>
      <w:r w:rsidR="001C36CA" w:rsidRPr="00EE2F8E">
        <w:rPr>
          <w:rFonts w:hint="eastAsia"/>
          <w:color w:val="000000"/>
        </w:rPr>
        <w:t>萬</w:t>
      </w:r>
      <w:r w:rsidR="00C614EC" w:rsidRPr="00EE2F8E">
        <w:rPr>
          <w:rFonts w:hint="eastAsia"/>
          <w:color w:val="000000"/>
        </w:rPr>
        <w:t>5</w:t>
      </w:r>
      <w:r w:rsidR="00B310C5" w:rsidRPr="00EE2F8E">
        <w:rPr>
          <w:rFonts w:hint="eastAsia"/>
          <w:color w:val="000000"/>
        </w:rPr>
        <w:t>千</w:t>
      </w:r>
      <w:r w:rsidR="001C36CA" w:rsidRPr="00EE2F8E">
        <w:rPr>
          <w:rFonts w:hint="eastAsia"/>
          <w:color w:val="000000"/>
        </w:rPr>
        <w:t>元，收支相抵後短絀</w:t>
      </w:r>
      <w:r w:rsidR="00B310C5" w:rsidRPr="00EE2F8E">
        <w:rPr>
          <w:rFonts w:hint="eastAsia"/>
          <w:color w:val="000000"/>
        </w:rPr>
        <w:t>2億</w:t>
      </w:r>
      <w:r w:rsidR="00C614EC" w:rsidRPr="00EE2F8E">
        <w:rPr>
          <w:rFonts w:hint="eastAsia"/>
          <w:color w:val="000000"/>
        </w:rPr>
        <w:t>1</w:t>
      </w:r>
      <w:r w:rsidR="00C614EC" w:rsidRPr="00EE2F8E">
        <w:rPr>
          <w:color w:val="000000"/>
        </w:rPr>
        <w:t>,433</w:t>
      </w:r>
      <w:r w:rsidR="001C36CA" w:rsidRPr="00EE2F8E">
        <w:rPr>
          <w:rFonts w:hint="eastAsia"/>
          <w:color w:val="000000"/>
        </w:rPr>
        <w:t>萬</w:t>
      </w:r>
      <w:r w:rsidR="00C614EC" w:rsidRPr="00EE2F8E">
        <w:rPr>
          <w:rFonts w:hint="eastAsia"/>
          <w:color w:val="000000"/>
        </w:rPr>
        <w:t>6</w:t>
      </w:r>
      <w:r w:rsidR="001C36CA" w:rsidRPr="00EE2F8E">
        <w:rPr>
          <w:rFonts w:hint="eastAsia"/>
          <w:color w:val="000000"/>
        </w:rPr>
        <w:t>千元，較1</w:t>
      </w:r>
      <w:r w:rsidR="001C36CA" w:rsidRPr="00EE2F8E">
        <w:rPr>
          <w:color w:val="000000"/>
        </w:rPr>
        <w:t>1</w:t>
      </w:r>
      <w:r w:rsidR="00C614EC" w:rsidRPr="00EE2F8E">
        <w:rPr>
          <w:color w:val="000000"/>
        </w:rPr>
        <w:t>3</w:t>
      </w:r>
      <w:r w:rsidR="001C36CA" w:rsidRPr="00EE2F8E">
        <w:rPr>
          <w:rFonts w:hint="eastAsia"/>
          <w:color w:val="000000"/>
        </w:rPr>
        <w:t>年度預算短絀</w:t>
      </w:r>
      <w:r w:rsidR="00C614EC" w:rsidRPr="00EE2F8E">
        <w:rPr>
          <w:rFonts w:hint="eastAsia"/>
          <w:color w:val="000000"/>
        </w:rPr>
        <w:t>2億623</w:t>
      </w:r>
      <w:r w:rsidR="001C36CA" w:rsidRPr="00EE2F8E">
        <w:rPr>
          <w:rFonts w:hint="eastAsia"/>
          <w:color w:val="000000"/>
        </w:rPr>
        <w:t>萬</w:t>
      </w:r>
      <w:r w:rsidR="00C614EC" w:rsidRPr="00EE2F8E">
        <w:rPr>
          <w:rFonts w:hint="eastAsia"/>
          <w:color w:val="000000"/>
        </w:rPr>
        <w:t>4</w:t>
      </w:r>
      <w:r w:rsidR="00B310C5" w:rsidRPr="00EE2F8E">
        <w:rPr>
          <w:rFonts w:hint="eastAsia"/>
          <w:color w:val="000000"/>
        </w:rPr>
        <w:t>千元增加</w:t>
      </w:r>
      <w:r w:rsidR="001C36CA" w:rsidRPr="00EE2F8E">
        <w:rPr>
          <w:rFonts w:hint="eastAsia"/>
          <w:color w:val="000000"/>
        </w:rPr>
        <w:t>短絀</w:t>
      </w:r>
      <w:r w:rsidR="00C614EC" w:rsidRPr="00EE2F8E">
        <w:rPr>
          <w:rFonts w:hint="eastAsia"/>
          <w:color w:val="000000"/>
        </w:rPr>
        <w:t>810</w:t>
      </w:r>
      <w:r w:rsidR="001C36CA" w:rsidRPr="00EE2F8E">
        <w:rPr>
          <w:rFonts w:hint="eastAsia"/>
          <w:color w:val="000000"/>
        </w:rPr>
        <w:t>萬</w:t>
      </w:r>
      <w:r w:rsidR="00C614EC" w:rsidRPr="00EE2F8E">
        <w:rPr>
          <w:rFonts w:hint="eastAsia"/>
          <w:color w:val="000000"/>
        </w:rPr>
        <w:t>2</w:t>
      </w:r>
      <w:r w:rsidR="00B310C5" w:rsidRPr="00EE2F8E">
        <w:rPr>
          <w:rFonts w:hint="eastAsia"/>
          <w:color w:val="000000"/>
        </w:rPr>
        <w:t>千</w:t>
      </w:r>
      <w:r w:rsidR="001C36CA" w:rsidRPr="00EE2F8E">
        <w:rPr>
          <w:rFonts w:hint="eastAsia"/>
          <w:color w:val="000000"/>
        </w:rPr>
        <w:t>元(增幅</w:t>
      </w:r>
      <w:r w:rsidR="00C614EC" w:rsidRPr="00EE2F8E">
        <w:rPr>
          <w:rFonts w:hint="eastAsia"/>
          <w:color w:val="000000"/>
        </w:rPr>
        <w:t>3.93</w:t>
      </w:r>
      <w:r w:rsidR="001C36CA" w:rsidRPr="00EE2F8E">
        <w:rPr>
          <w:rFonts w:hint="eastAsia"/>
          <w:color w:val="000000"/>
        </w:rPr>
        <w:t>%)。謹就國家表演藝術中心11</w:t>
      </w:r>
      <w:r w:rsidR="00C614EC" w:rsidRPr="00EE2F8E">
        <w:rPr>
          <w:rFonts w:hint="eastAsia"/>
          <w:color w:val="000000"/>
        </w:rPr>
        <w:t>4</w:t>
      </w:r>
      <w:r w:rsidR="001C36CA" w:rsidRPr="00EE2F8E">
        <w:rPr>
          <w:rFonts w:hint="eastAsia"/>
          <w:color w:val="000000"/>
        </w:rPr>
        <w:t>年度預算案評估如下：</w:t>
      </w:r>
    </w:p>
    <w:p w:rsidR="00693372" w:rsidRPr="00693372" w:rsidRDefault="00693372" w:rsidP="00693372">
      <w:pPr>
        <w:pStyle w:val="14"/>
        <w:spacing w:beforeLines="100" w:before="500"/>
        <w:ind w:left="567" w:hanging="567"/>
        <w:rPr>
          <w:color w:val="000000"/>
        </w:rPr>
      </w:pPr>
      <w:bookmarkStart w:id="1" w:name="_Toc115287614"/>
      <w:bookmarkStart w:id="2" w:name="_Toc181027932"/>
      <w:r>
        <w:rPr>
          <w:rFonts w:hint="eastAsia"/>
          <w:color w:val="000000"/>
        </w:rPr>
        <w:t>五</w:t>
      </w:r>
      <w:r w:rsidRPr="00693372">
        <w:rPr>
          <w:rFonts w:hint="eastAsia"/>
          <w:color w:val="000000"/>
        </w:rPr>
        <w:t>、</w:t>
      </w:r>
      <w:r w:rsidR="00420631">
        <w:rPr>
          <w:rFonts w:hint="eastAsia"/>
          <w:color w:val="000000"/>
        </w:rPr>
        <w:t>113年度修正「</w:t>
      </w:r>
      <w:r w:rsidRPr="00693372">
        <w:rPr>
          <w:rFonts w:hAnsi="標楷體" w:hint="eastAsia"/>
          <w:color w:val="000000"/>
        </w:rPr>
        <w:t>藝文推廣廊道暨地面景觀設施整體規劃計畫</w:t>
      </w:r>
      <w:r w:rsidR="00420631">
        <w:rPr>
          <w:rFonts w:hAnsi="標楷體" w:hint="eastAsia"/>
          <w:color w:val="000000"/>
        </w:rPr>
        <w:t>」，總經費增至逾9億元，允宜強化管控</w:t>
      </w:r>
      <w:r w:rsidRPr="00693372">
        <w:rPr>
          <w:rFonts w:hint="eastAsia"/>
          <w:color w:val="000000"/>
        </w:rPr>
        <w:t>執行</w:t>
      </w:r>
      <w:r w:rsidR="00CE5625">
        <w:rPr>
          <w:rFonts w:hint="eastAsia"/>
          <w:color w:val="000000"/>
        </w:rPr>
        <w:t>進度</w:t>
      </w:r>
      <w:r w:rsidRPr="00693372">
        <w:rPr>
          <w:rFonts w:hint="eastAsia"/>
          <w:color w:val="000000"/>
        </w:rPr>
        <w:t>，俾</w:t>
      </w:r>
      <w:r w:rsidR="00420631">
        <w:rPr>
          <w:rFonts w:hint="eastAsia"/>
          <w:color w:val="000000"/>
        </w:rPr>
        <w:t>計畫如期如質完成</w:t>
      </w:r>
      <w:bookmarkEnd w:id="2"/>
    </w:p>
    <w:p w:rsidR="00693372" w:rsidRPr="00693372" w:rsidRDefault="00693372" w:rsidP="00693372">
      <w:pPr>
        <w:ind w:left="566" w:firstLine="566"/>
        <w:rPr>
          <w:color w:val="000000"/>
        </w:rPr>
      </w:pPr>
      <w:r w:rsidRPr="00693372">
        <w:rPr>
          <w:rFonts w:hint="eastAsia"/>
          <w:color w:val="000000"/>
        </w:rPr>
        <w:t>國家表演藝術中心114年度預算案編列文化部專案補助</w:t>
      </w:r>
      <w:r w:rsidRPr="00693372">
        <w:rPr>
          <w:rFonts w:hAnsi="標楷體" w:hint="eastAsia"/>
          <w:color w:val="000000"/>
        </w:rPr>
        <w:t>「兩廳院藝術力厚植計畫—藝文推廣廊道暨地面景觀設施整體規劃」</w:t>
      </w:r>
      <w:r w:rsidRPr="00693372">
        <w:rPr>
          <w:rFonts w:hint="eastAsia"/>
          <w:color w:val="000000"/>
        </w:rPr>
        <w:t xml:space="preserve"> (下簡稱推廣廊道暨地面景觀計畫)</w:t>
      </w:r>
      <w:r w:rsidR="00663BB5">
        <w:rPr>
          <w:rFonts w:hint="eastAsia"/>
          <w:color w:val="000000"/>
        </w:rPr>
        <w:t>資本支出</w:t>
      </w:r>
      <w:r w:rsidRPr="00693372">
        <w:rPr>
          <w:rFonts w:hint="eastAsia"/>
          <w:color w:val="000000"/>
        </w:rPr>
        <w:t>2億2</w:t>
      </w:r>
      <w:r w:rsidRPr="00693372">
        <w:rPr>
          <w:color w:val="000000"/>
        </w:rPr>
        <w:t>,680</w:t>
      </w:r>
      <w:r w:rsidRPr="00693372">
        <w:rPr>
          <w:rFonts w:hint="eastAsia"/>
          <w:color w:val="000000"/>
        </w:rPr>
        <w:t>萬元。茲說明如下：</w:t>
      </w:r>
    </w:p>
    <w:p w:rsidR="00693372" w:rsidRPr="00693372" w:rsidRDefault="00693372" w:rsidP="00693372">
      <w:pPr>
        <w:ind w:left="849" w:hangingChars="100" w:hanging="283"/>
        <w:rPr>
          <w:rFonts w:hint="eastAsia"/>
          <w:b/>
          <w:color w:val="000000"/>
        </w:rPr>
      </w:pPr>
      <w:r w:rsidRPr="00693372">
        <w:rPr>
          <w:rFonts w:hint="eastAsia"/>
          <w:b/>
          <w:color w:val="000000"/>
        </w:rPr>
        <w:t>(一)廊道暨地面景觀計畫旨在提供觀賞者安全共融路徑及藝文推廣與排練空間</w:t>
      </w:r>
    </w:p>
    <w:p w:rsidR="00693372" w:rsidRPr="00693372" w:rsidRDefault="00693372" w:rsidP="00693372">
      <w:pPr>
        <w:pStyle w:val="21"/>
        <w:ind w:left="850" w:firstLine="566"/>
        <w:rPr>
          <w:rFonts w:hint="eastAsia"/>
          <w:color w:val="000000"/>
        </w:rPr>
      </w:pPr>
      <w:r w:rsidRPr="00693372">
        <w:rPr>
          <w:rFonts w:hint="eastAsia"/>
          <w:color w:val="000000"/>
        </w:rPr>
        <w:t>推廣廊道暨地面景觀計畫係為興建多功能捷運藝文推廣廊道及重整地面景觀設施，藉由連結捷運中正紀念堂站5號出口與兩廳院地下室之藝文推廣廊道空間，提供節目觀賞者前往兩廳院更安全、共融之路徑，並創造藝文生活推廣空間、服務區、多功能排練與附屬空間等。</w:t>
      </w:r>
    </w:p>
    <w:p w:rsidR="00693372" w:rsidRPr="00693372" w:rsidRDefault="00693372" w:rsidP="00693372">
      <w:pPr>
        <w:ind w:left="849" w:hangingChars="100" w:hanging="283"/>
        <w:rPr>
          <w:rFonts w:hint="eastAsia"/>
          <w:b/>
          <w:color w:val="000000"/>
        </w:rPr>
      </w:pPr>
      <w:r w:rsidRPr="00693372">
        <w:rPr>
          <w:rFonts w:hint="eastAsia"/>
          <w:b/>
          <w:color w:val="000000"/>
        </w:rPr>
        <w:t>(二)113年再度修正計畫，因營建物價波動及增加工程</w:t>
      </w:r>
      <w:r w:rsidR="00420631">
        <w:rPr>
          <w:rFonts w:hint="eastAsia"/>
          <w:b/>
          <w:color w:val="000000"/>
        </w:rPr>
        <w:t>項目</w:t>
      </w:r>
      <w:r w:rsidRPr="00693372">
        <w:rPr>
          <w:rFonts w:hint="eastAsia"/>
          <w:b/>
          <w:color w:val="000000"/>
        </w:rPr>
        <w:t>，致調增總經費達55.44%，並延長執行期間2年</w:t>
      </w:r>
    </w:p>
    <w:p w:rsidR="00693372" w:rsidRPr="00693372" w:rsidRDefault="00693372" w:rsidP="00693372">
      <w:pPr>
        <w:pStyle w:val="123"/>
        <w:ind w:left="1133" w:hanging="283"/>
        <w:rPr>
          <w:color w:val="000000"/>
        </w:rPr>
      </w:pPr>
      <w:r w:rsidRPr="00693372">
        <w:rPr>
          <w:rFonts w:hint="eastAsia"/>
          <w:color w:val="000000"/>
        </w:rPr>
        <w:lastRenderedPageBreak/>
        <w:t>1.據</w:t>
      </w:r>
      <w:r w:rsidR="00CE5625" w:rsidRPr="002C1AD5">
        <w:rPr>
          <w:rFonts w:hint="eastAsia"/>
          <w:color w:val="000000"/>
        </w:rPr>
        <w:t>國家表演藝術中心</w:t>
      </w:r>
      <w:r w:rsidRPr="00693372">
        <w:rPr>
          <w:rFonts w:hint="eastAsia"/>
          <w:color w:val="000000"/>
        </w:rPr>
        <w:t>說明略以，</w:t>
      </w:r>
      <w:r w:rsidR="006C3E0B" w:rsidRPr="00BF3017">
        <w:rPr>
          <w:rFonts w:hint="eastAsia"/>
        </w:rPr>
        <w:t>109至</w:t>
      </w:r>
      <w:r w:rsidR="006C3E0B">
        <w:rPr>
          <w:rFonts w:hint="eastAsia"/>
        </w:rPr>
        <w:t>111</w:t>
      </w:r>
      <w:r w:rsidR="006C3E0B" w:rsidRPr="00BF3017">
        <w:rPr>
          <w:rFonts w:hint="eastAsia"/>
        </w:rPr>
        <w:t>年度累計已編列預算1,736萬6千元，均按預計進度執行，惟112年度預算5,653萬7千元，</w:t>
      </w:r>
      <w:r w:rsidR="006C3E0B">
        <w:rPr>
          <w:rFonts w:hint="eastAsia"/>
        </w:rPr>
        <w:t>預計</w:t>
      </w:r>
      <w:r w:rsidR="006C3E0B" w:rsidRPr="00BF3017">
        <w:rPr>
          <w:rFonts w:hint="eastAsia"/>
        </w:rPr>
        <w:t>辦理開工及結構體工程施作，因工程發包流標2次，第3次公告始決標，</w:t>
      </w:r>
      <w:r w:rsidR="006C3E0B">
        <w:rPr>
          <w:rFonts w:hint="eastAsia"/>
        </w:rPr>
        <w:t>且</w:t>
      </w:r>
      <w:r w:rsidR="006C3E0B" w:rsidRPr="00BF3017">
        <w:rPr>
          <w:rFonts w:hint="eastAsia"/>
        </w:rPr>
        <w:t>待辦理土地分割作業而尚未取得建造執照</w:t>
      </w:r>
      <w:r w:rsidR="006C3E0B">
        <w:rPr>
          <w:rFonts w:hint="eastAsia"/>
        </w:rPr>
        <w:t>，</w:t>
      </w:r>
      <w:r w:rsidR="006C3E0B" w:rsidRPr="00BF3017">
        <w:rPr>
          <w:rFonts w:hint="eastAsia"/>
        </w:rPr>
        <w:t>致實際支用僅243萬9千元，執行未如預期。</w:t>
      </w:r>
      <w:r w:rsidR="006C3E0B">
        <w:rPr>
          <w:rFonts w:hint="eastAsia"/>
        </w:rPr>
        <w:t>嗣於113年8月申報開工，預計11月進行連續壁導溝作業。</w:t>
      </w:r>
    </w:p>
    <w:p w:rsidR="00693372" w:rsidRPr="00693372" w:rsidRDefault="00693372" w:rsidP="00693372">
      <w:pPr>
        <w:pStyle w:val="123"/>
        <w:ind w:left="1133" w:hanging="283"/>
        <w:rPr>
          <w:color w:val="000000"/>
        </w:rPr>
      </w:pPr>
      <w:r w:rsidRPr="00693372">
        <w:rPr>
          <w:rFonts w:hint="eastAsia"/>
          <w:color w:val="000000"/>
        </w:rPr>
        <w:t>2.</w:t>
      </w:r>
      <w:r w:rsidR="00CE5625" w:rsidRPr="002C1AD5">
        <w:rPr>
          <w:rFonts w:hint="eastAsia"/>
          <w:color w:val="000000"/>
        </w:rPr>
        <w:t>國家表演藝術中心</w:t>
      </w:r>
      <w:r w:rsidRPr="00693372">
        <w:rPr>
          <w:rFonts w:hint="eastAsia"/>
          <w:color w:val="000000"/>
        </w:rPr>
        <w:t>推廣廊道暨地面景觀計畫原預計總經費4億678萬7千元，執行期間為109至114年</w:t>
      </w:r>
      <w:r w:rsidR="00420631">
        <w:rPr>
          <w:rFonts w:hint="eastAsia"/>
          <w:color w:val="000000"/>
        </w:rPr>
        <w:t>度；</w:t>
      </w:r>
      <w:r w:rsidRPr="00693372">
        <w:rPr>
          <w:rFonts w:hint="eastAsia"/>
          <w:color w:val="000000"/>
        </w:rPr>
        <w:t>嗣基於民眾意見及專家評估增加排練空間與設施</w:t>
      </w:r>
      <w:r w:rsidR="00420631">
        <w:rPr>
          <w:rFonts w:hint="eastAsia"/>
          <w:color w:val="000000"/>
        </w:rPr>
        <w:t>，</w:t>
      </w:r>
      <w:r w:rsidRPr="00693372">
        <w:rPr>
          <w:rFonts w:hint="eastAsia"/>
          <w:color w:val="000000"/>
        </w:rPr>
        <w:t>110年8月第1次修正計畫，總經費增為6億2</w:t>
      </w:r>
      <w:r w:rsidRPr="00693372">
        <w:rPr>
          <w:color w:val="000000"/>
        </w:rPr>
        <w:t>,</w:t>
      </w:r>
      <w:r w:rsidRPr="00693372">
        <w:rPr>
          <w:rFonts w:hint="eastAsia"/>
          <w:color w:val="000000"/>
        </w:rPr>
        <w:t>897萬5千元(含中央補助4億678萬7千元及</w:t>
      </w:r>
      <w:r w:rsidR="00CE5625" w:rsidRPr="002C1AD5">
        <w:rPr>
          <w:rFonts w:hint="eastAsia"/>
          <w:color w:val="000000"/>
        </w:rPr>
        <w:t>國家表演藝術中心</w:t>
      </w:r>
      <w:r w:rsidRPr="00693372">
        <w:rPr>
          <w:rFonts w:hint="eastAsia"/>
          <w:color w:val="000000"/>
        </w:rPr>
        <w:t>自籌2億2</w:t>
      </w:r>
      <w:r w:rsidRPr="00693372">
        <w:rPr>
          <w:color w:val="000000"/>
        </w:rPr>
        <w:t>,</w:t>
      </w:r>
      <w:r w:rsidRPr="00693372">
        <w:rPr>
          <w:rFonts w:hint="eastAsia"/>
          <w:color w:val="000000"/>
        </w:rPr>
        <w:t>218萬8千元)</w:t>
      </w:r>
      <w:r w:rsidR="00420631">
        <w:rPr>
          <w:rFonts w:hint="eastAsia"/>
          <w:color w:val="000000"/>
        </w:rPr>
        <w:t>；</w:t>
      </w:r>
      <w:r w:rsidRPr="00693372">
        <w:rPr>
          <w:rFonts w:hint="eastAsia"/>
          <w:color w:val="000000"/>
        </w:rPr>
        <w:t>113年3月因近年營建物價巨幅波動之影響，以及古蹟修護必要與安全結構強化等特殊條件需求，致使古蹟、基礎工程與連續壁費用增加等諸多因素，爰第2次修正計畫，總經費再調增為9億7</w:t>
      </w:r>
      <w:r w:rsidRPr="00693372">
        <w:rPr>
          <w:color w:val="000000"/>
        </w:rPr>
        <w:t>,</w:t>
      </w:r>
      <w:r w:rsidRPr="00693372">
        <w:rPr>
          <w:rFonts w:hint="eastAsia"/>
          <w:color w:val="000000"/>
        </w:rPr>
        <w:t>767萬7千元(含中央補助6億1</w:t>
      </w:r>
      <w:r w:rsidRPr="00693372">
        <w:rPr>
          <w:color w:val="000000"/>
        </w:rPr>
        <w:t>,737</w:t>
      </w:r>
      <w:r w:rsidRPr="00693372">
        <w:rPr>
          <w:rFonts w:hint="eastAsia"/>
          <w:color w:val="000000"/>
        </w:rPr>
        <w:t>萬4千元及</w:t>
      </w:r>
      <w:r w:rsidR="00CE5625" w:rsidRPr="002C1AD5">
        <w:rPr>
          <w:rFonts w:hint="eastAsia"/>
          <w:color w:val="000000"/>
        </w:rPr>
        <w:t>國家表演藝術中心</w:t>
      </w:r>
      <w:r w:rsidRPr="00693372">
        <w:rPr>
          <w:rFonts w:hint="eastAsia"/>
          <w:color w:val="000000"/>
        </w:rPr>
        <w:t>自籌3億</w:t>
      </w:r>
      <w:r w:rsidR="00BE31BB">
        <w:rPr>
          <w:rFonts w:hint="eastAsia"/>
          <w:color w:val="000000"/>
        </w:rPr>
        <w:t>6</w:t>
      </w:r>
      <w:r w:rsidR="00BE31BB">
        <w:rPr>
          <w:color w:val="000000"/>
        </w:rPr>
        <w:t>,0</w:t>
      </w:r>
      <w:r w:rsidRPr="00693372">
        <w:rPr>
          <w:rFonts w:hint="eastAsia"/>
          <w:color w:val="000000"/>
        </w:rPr>
        <w:t>3</w:t>
      </w:r>
      <w:r w:rsidRPr="00693372">
        <w:rPr>
          <w:color w:val="000000"/>
        </w:rPr>
        <w:t>0</w:t>
      </w:r>
      <w:r w:rsidRPr="00693372">
        <w:rPr>
          <w:rFonts w:hint="eastAsia"/>
          <w:color w:val="000000"/>
        </w:rPr>
        <w:t>萬3千元)，增幅達55.44%，且執行期間由109至114年</w:t>
      </w:r>
      <w:r w:rsidR="00BE31BB">
        <w:rPr>
          <w:rFonts w:hint="eastAsia"/>
          <w:color w:val="000000"/>
        </w:rPr>
        <w:t>度</w:t>
      </w:r>
      <w:r w:rsidRPr="00693372">
        <w:rPr>
          <w:rFonts w:hint="eastAsia"/>
          <w:color w:val="000000"/>
        </w:rPr>
        <w:t>展延至116年</w:t>
      </w:r>
      <w:r w:rsidR="00BE31BB">
        <w:rPr>
          <w:rFonts w:hint="eastAsia"/>
          <w:color w:val="000000"/>
        </w:rPr>
        <w:t>度</w:t>
      </w:r>
      <w:r w:rsidRPr="00693372">
        <w:rPr>
          <w:rFonts w:hint="eastAsia"/>
          <w:color w:val="000000"/>
        </w:rPr>
        <w:t>。衡酌該計畫已修正2次，總經費由4億餘元增至9億餘元，並延長執行期程，允宜加強執行</w:t>
      </w:r>
      <w:r w:rsidR="00CE5625">
        <w:rPr>
          <w:rFonts w:hint="eastAsia"/>
          <w:color w:val="000000"/>
        </w:rPr>
        <w:t>進度</w:t>
      </w:r>
      <w:r w:rsidRPr="00693372">
        <w:rPr>
          <w:rFonts w:hint="eastAsia"/>
          <w:color w:val="000000"/>
        </w:rPr>
        <w:t>管控。</w:t>
      </w:r>
    </w:p>
    <w:p w:rsidR="00693372" w:rsidRPr="00BA5318" w:rsidRDefault="00693372" w:rsidP="00A709CB">
      <w:pPr>
        <w:ind w:left="566" w:firstLine="566"/>
        <w:rPr>
          <w:rFonts w:hint="eastAsia"/>
        </w:rPr>
      </w:pPr>
      <w:r w:rsidRPr="00693372">
        <w:rPr>
          <w:rFonts w:hint="eastAsia"/>
          <w:color w:val="000000"/>
        </w:rPr>
        <w:t>綜上，國家表演藝術中心辦理</w:t>
      </w:r>
      <w:r w:rsidRPr="00693372">
        <w:rPr>
          <w:rFonts w:hAnsi="標楷體" w:hint="eastAsia"/>
          <w:color w:val="000000"/>
        </w:rPr>
        <w:t>「兩廳院藝術力厚植計畫—藝文推廣廊道暨地面景觀設施整體規劃」，</w:t>
      </w:r>
      <w:r w:rsidR="00BE31BB">
        <w:rPr>
          <w:rFonts w:hAnsi="標楷體" w:hint="eastAsia"/>
          <w:color w:val="000000"/>
        </w:rPr>
        <w:t>分別</w:t>
      </w:r>
      <w:r w:rsidRPr="00693372">
        <w:rPr>
          <w:rFonts w:hAnsi="標楷體" w:hint="eastAsia"/>
          <w:color w:val="000000"/>
        </w:rPr>
        <w:t>於110及113年修正計畫，總經費已由4億餘元增至9億餘元，執行期程延長2年，為</w:t>
      </w:r>
      <w:r w:rsidRPr="00693372">
        <w:rPr>
          <w:rFonts w:hint="eastAsia"/>
          <w:color w:val="000000"/>
        </w:rPr>
        <w:t>免後續再因營建物價調漲或期程延長而增加經費，允宜加強計畫執行</w:t>
      </w:r>
      <w:r w:rsidR="00CE5625">
        <w:rPr>
          <w:rFonts w:hint="eastAsia"/>
          <w:color w:val="000000"/>
        </w:rPr>
        <w:t>進度</w:t>
      </w:r>
      <w:r w:rsidRPr="00693372">
        <w:rPr>
          <w:rFonts w:hint="eastAsia"/>
          <w:color w:val="000000"/>
        </w:rPr>
        <w:t>管控。</w:t>
      </w:r>
    </w:p>
    <w:bookmarkEnd w:id="1"/>
    <w:p w:rsidR="0057696E" w:rsidRPr="00BA5318" w:rsidRDefault="00565AE2" w:rsidP="00EB4AD6">
      <w:pPr>
        <w:pStyle w:val="aa"/>
      </w:pPr>
      <w:r w:rsidRPr="00BA5318">
        <w:rPr>
          <w:rFonts w:hint="eastAsia"/>
        </w:rPr>
        <w:t>(分機：865</w:t>
      </w:r>
      <w:r w:rsidR="00CF7E81" w:rsidRPr="00BA5318">
        <w:t>3</w:t>
      </w:r>
      <w:r w:rsidRPr="00BA5318">
        <w:rPr>
          <w:rFonts w:hint="eastAsia"/>
        </w:rPr>
        <w:t xml:space="preserve"> </w:t>
      </w:r>
      <w:r w:rsidR="00CF7E81" w:rsidRPr="00BA5318">
        <w:rPr>
          <w:rFonts w:hint="eastAsia"/>
        </w:rPr>
        <w:t>江穗美</w:t>
      </w:r>
      <w:r w:rsidRPr="00BA5318">
        <w:rPr>
          <w:rFonts w:hint="eastAsia"/>
        </w:rPr>
        <w:t>)</w:t>
      </w:r>
    </w:p>
    <w:sectPr w:rsidR="0057696E" w:rsidRPr="00BA5318" w:rsidSect="004B3F8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94D" w:rsidRDefault="003E494D" w:rsidP="009B732E">
      <w:pPr>
        <w:spacing w:line="240" w:lineRule="auto"/>
        <w:ind w:left="560" w:firstLine="560"/>
      </w:pPr>
      <w:r>
        <w:separator/>
      </w:r>
    </w:p>
  </w:endnote>
  <w:endnote w:type="continuationSeparator" w:id="0">
    <w:p w:rsidR="003E494D" w:rsidRDefault="003E494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56485F">
    <w:pPr>
      <w:pStyle w:val="ae"/>
      <w:ind w:left="560" w:firstLine="400"/>
      <w:jc w:val="center"/>
    </w:pPr>
    <w:r>
      <w:fldChar w:fldCharType="begin"/>
    </w:r>
    <w:r>
      <w:instrText>PAGE   \* MERGEFORMAT</w:instrText>
    </w:r>
    <w:r>
      <w:fldChar w:fldCharType="separate"/>
    </w:r>
    <w:r w:rsidR="003E65DF" w:rsidRPr="003E65DF">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94D" w:rsidRDefault="003E494D" w:rsidP="009B732E">
      <w:pPr>
        <w:spacing w:line="240" w:lineRule="auto"/>
        <w:ind w:left="560" w:firstLine="560"/>
      </w:pPr>
      <w:r>
        <w:separator/>
      </w:r>
    </w:p>
  </w:footnote>
  <w:footnote w:type="continuationSeparator" w:id="0">
    <w:p w:rsidR="003E494D" w:rsidRDefault="003E494D"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503C" w:rsidRDefault="0038503C" w:rsidP="004F2961">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F6F3D"/>
    <w:multiLevelType w:val="hybridMultilevel"/>
    <w:tmpl w:val="497CAD1A"/>
    <w:lvl w:ilvl="0" w:tplc="9A5E863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1D2D0999"/>
    <w:multiLevelType w:val="hybridMultilevel"/>
    <w:tmpl w:val="974E2970"/>
    <w:lvl w:ilvl="0" w:tplc="B4469A0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3AE052B7"/>
    <w:multiLevelType w:val="hybridMultilevel"/>
    <w:tmpl w:val="D7CE7D36"/>
    <w:lvl w:ilvl="0" w:tplc="6488540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C0A357C"/>
    <w:multiLevelType w:val="hybridMultilevel"/>
    <w:tmpl w:val="FB1C07FA"/>
    <w:lvl w:ilvl="0" w:tplc="DA36D4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2C7018E"/>
    <w:multiLevelType w:val="multilevel"/>
    <w:tmpl w:val="BB2AC9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644"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5E92DA1"/>
    <w:multiLevelType w:val="hybridMultilevel"/>
    <w:tmpl w:val="4A20247C"/>
    <w:lvl w:ilvl="0" w:tplc="538C7530">
      <w:start w:val="1"/>
      <w:numFmt w:val="taiwaneseCountingThousand"/>
      <w:lvlText w:val="(%1)"/>
      <w:lvlJc w:val="left"/>
      <w:pPr>
        <w:ind w:left="1286" w:hanging="72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5"/>
  </w:num>
  <w:num w:numId="3">
    <w:abstractNumId w:val="1"/>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2BCC"/>
    <w:rsid w:val="00004210"/>
    <w:rsid w:val="000052FB"/>
    <w:rsid w:val="0000599E"/>
    <w:rsid w:val="00006B0E"/>
    <w:rsid w:val="000157A2"/>
    <w:rsid w:val="000274E0"/>
    <w:rsid w:val="000320DC"/>
    <w:rsid w:val="00035B47"/>
    <w:rsid w:val="000368DE"/>
    <w:rsid w:val="0004193E"/>
    <w:rsid w:val="00043532"/>
    <w:rsid w:val="0004476D"/>
    <w:rsid w:val="000473E6"/>
    <w:rsid w:val="000525C2"/>
    <w:rsid w:val="000675EA"/>
    <w:rsid w:val="00070CCC"/>
    <w:rsid w:val="000712EC"/>
    <w:rsid w:val="00072356"/>
    <w:rsid w:val="00073133"/>
    <w:rsid w:val="0007377F"/>
    <w:rsid w:val="000817FB"/>
    <w:rsid w:val="00090BA0"/>
    <w:rsid w:val="000927F8"/>
    <w:rsid w:val="00094AB7"/>
    <w:rsid w:val="000A0C10"/>
    <w:rsid w:val="000B2277"/>
    <w:rsid w:val="000B4AD1"/>
    <w:rsid w:val="000B5D31"/>
    <w:rsid w:val="000B74EB"/>
    <w:rsid w:val="000C275D"/>
    <w:rsid w:val="000C6CF1"/>
    <w:rsid w:val="000D4B51"/>
    <w:rsid w:val="000E5B15"/>
    <w:rsid w:val="000E5F6D"/>
    <w:rsid w:val="000F0392"/>
    <w:rsid w:val="000F4362"/>
    <w:rsid w:val="000F5EB7"/>
    <w:rsid w:val="000F7630"/>
    <w:rsid w:val="00115982"/>
    <w:rsid w:val="001210C0"/>
    <w:rsid w:val="00122C8B"/>
    <w:rsid w:val="00124E07"/>
    <w:rsid w:val="0013423D"/>
    <w:rsid w:val="00135792"/>
    <w:rsid w:val="00135E2A"/>
    <w:rsid w:val="00135ED2"/>
    <w:rsid w:val="00142B55"/>
    <w:rsid w:val="00145668"/>
    <w:rsid w:val="0015389D"/>
    <w:rsid w:val="00155CEC"/>
    <w:rsid w:val="001666F8"/>
    <w:rsid w:val="00167ED7"/>
    <w:rsid w:val="00171EEF"/>
    <w:rsid w:val="00172F09"/>
    <w:rsid w:val="001749F8"/>
    <w:rsid w:val="00195A49"/>
    <w:rsid w:val="001A3A8B"/>
    <w:rsid w:val="001A57C6"/>
    <w:rsid w:val="001A654A"/>
    <w:rsid w:val="001B05EB"/>
    <w:rsid w:val="001C36CA"/>
    <w:rsid w:val="001C713B"/>
    <w:rsid w:val="001D145E"/>
    <w:rsid w:val="001D2CBA"/>
    <w:rsid w:val="001E1FAF"/>
    <w:rsid w:val="001E787E"/>
    <w:rsid w:val="001F6B6E"/>
    <w:rsid w:val="00201F11"/>
    <w:rsid w:val="00206AD5"/>
    <w:rsid w:val="00207357"/>
    <w:rsid w:val="0021072B"/>
    <w:rsid w:val="0021249E"/>
    <w:rsid w:val="002162AE"/>
    <w:rsid w:val="00230325"/>
    <w:rsid w:val="00234529"/>
    <w:rsid w:val="00236297"/>
    <w:rsid w:val="00240E56"/>
    <w:rsid w:val="00242F52"/>
    <w:rsid w:val="0024730B"/>
    <w:rsid w:val="0024790A"/>
    <w:rsid w:val="00250A41"/>
    <w:rsid w:val="00250CAB"/>
    <w:rsid w:val="002523EC"/>
    <w:rsid w:val="00256AB0"/>
    <w:rsid w:val="00262329"/>
    <w:rsid w:val="00262E5B"/>
    <w:rsid w:val="00263FEB"/>
    <w:rsid w:val="00266B3A"/>
    <w:rsid w:val="002701CE"/>
    <w:rsid w:val="0027537F"/>
    <w:rsid w:val="00276EF4"/>
    <w:rsid w:val="00284DAF"/>
    <w:rsid w:val="00286488"/>
    <w:rsid w:val="00295347"/>
    <w:rsid w:val="00295C6C"/>
    <w:rsid w:val="002B1CAB"/>
    <w:rsid w:val="002B49BC"/>
    <w:rsid w:val="002C09CD"/>
    <w:rsid w:val="002C1AD5"/>
    <w:rsid w:val="002C49B5"/>
    <w:rsid w:val="002D225F"/>
    <w:rsid w:val="002D7ABC"/>
    <w:rsid w:val="002E3ABC"/>
    <w:rsid w:val="002E3C95"/>
    <w:rsid w:val="002E69BE"/>
    <w:rsid w:val="002F5926"/>
    <w:rsid w:val="00304B9E"/>
    <w:rsid w:val="003161A2"/>
    <w:rsid w:val="00334B63"/>
    <w:rsid w:val="00343798"/>
    <w:rsid w:val="00346601"/>
    <w:rsid w:val="00346A53"/>
    <w:rsid w:val="00352154"/>
    <w:rsid w:val="00361507"/>
    <w:rsid w:val="00364BAC"/>
    <w:rsid w:val="003740B1"/>
    <w:rsid w:val="00376DF2"/>
    <w:rsid w:val="00377681"/>
    <w:rsid w:val="0038503C"/>
    <w:rsid w:val="00387FDA"/>
    <w:rsid w:val="0039646D"/>
    <w:rsid w:val="003A098D"/>
    <w:rsid w:val="003B1DEA"/>
    <w:rsid w:val="003B7075"/>
    <w:rsid w:val="003B7423"/>
    <w:rsid w:val="003B7B2E"/>
    <w:rsid w:val="003C3967"/>
    <w:rsid w:val="003D7353"/>
    <w:rsid w:val="003D7706"/>
    <w:rsid w:val="003E494D"/>
    <w:rsid w:val="003E5124"/>
    <w:rsid w:val="003E65DF"/>
    <w:rsid w:val="003E74D9"/>
    <w:rsid w:val="003F748F"/>
    <w:rsid w:val="004017B9"/>
    <w:rsid w:val="004022F0"/>
    <w:rsid w:val="00410FCD"/>
    <w:rsid w:val="00413740"/>
    <w:rsid w:val="00420631"/>
    <w:rsid w:val="0042489D"/>
    <w:rsid w:val="0042616E"/>
    <w:rsid w:val="00432B5E"/>
    <w:rsid w:val="00435174"/>
    <w:rsid w:val="00452E69"/>
    <w:rsid w:val="004555DD"/>
    <w:rsid w:val="004654D5"/>
    <w:rsid w:val="00471780"/>
    <w:rsid w:val="00480F45"/>
    <w:rsid w:val="0048578B"/>
    <w:rsid w:val="00495295"/>
    <w:rsid w:val="004A41F7"/>
    <w:rsid w:val="004A6C2F"/>
    <w:rsid w:val="004A7B6A"/>
    <w:rsid w:val="004A7E75"/>
    <w:rsid w:val="004B3F8F"/>
    <w:rsid w:val="004B48EE"/>
    <w:rsid w:val="004C52F3"/>
    <w:rsid w:val="004C66CC"/>
    <w:rsid w:val="004F0F56"/>
    <w:rsid w:val="004F2961"/>
    <w:rsid w:val="004F3212"/>
    <w:rsid w:val="004F3990"/>
    <w:rsid w:val="00502486"/>
    <w:rsid w:val="00524FDB"/>
    <w:rsid w:val="00530EC5"/>
    <w:rsid w:val="00541C88"/>
    <w:rsid w:val="005449FE"/>
    <w:rsid w:val="00550581"/>
    <w:rsid w:val="0056485F"/>
    <w:rsid w:val="00565AE2"/>
    <w:rsid w:val="00570190"/>
    <w:rsid w:val="0057022F"/>
    <w:rsid w:val="00571AA3"/>
    <w:rsid w:val="00573625"/>
    <w:rsid w:val="0057696E"/>
    <w:rsid w:val="00582036"/>
    <w:rsid w:val="00587531"/>
    <w:rsid w:val="00593E29"/>
    <w:rsid w:val="005961B7"/>
    <w:rsid w:val="005A630F"/>
    <w:rsid w:val="005B5377"/>
    <w:rsid w:val="005C188A"/>
    <w:rsid w:val="005C2050"/>
    <w:rsid w:val="005C4372"/>
    <w:rsid w:val="005D2928"/>
    <w:rsid w:val="005D45FD"/>
    <w:rsid w:val="005E039E"/>
    <w:rsid w:val="005E0B38"/>
    <w:rsid w:val="005E0BC4"/>
    <w:rsid w:val="005E607D"/>
    <w:rsid w:val="005F2E40"/>
    <w:rsid w:val="00600FFD"/>
    <w:rsid w:val="00601180"/>
    <w:rsid w:val="00605640"/>
    <w:rsid w:val="00607E60"/>
    <w:rsid w:val="00616731"/>
    <w:rsid w:val="006170EF"/>
    <w:rsid w:val="00617366"/>
    <w:rsid w:val="00624DD2"/>
    <w:rsid w:val="00634116"/>
    <w:rsid w:val="006400F2"/>
    <w:rsid w:val="00653100"/>
    <w:rsid w:val="006554D6"/>
    <w:rsid w:val="00663BB5"/>
    <w:rsid w:val="0066554A"/>
    <w:rsid w:val="00665AB8"/>
    <w:rsid w:val="0066727E"/>
    <w:rsid w:val="006679DA"/>
    <w:rsid w:val="00671E5C"/>
    <w:rsid w:val="00673621"/>
    <w:rsid w:val="00682237"/>
    <w:rsid w:val="00682535"/>
    <w:rsid w:val="00682CEE"/>
    <w:rsid w:val="0069212B"/>
    <w:rsid w:val="00692CE1"/>
    <w:rsid w:val="00693372"/>
    <w:rsid w:val="006B398B"/>
    <w:rsid w:val="006B5432"/>
    <w:rsid w:val="006C0168"/>
    <w:rsid w:val="006C3E0B"/>
    <w:rsid w:val="006C7C85"/>
    <w:rsid w:val="006D04AF"/>
    <w:rsid w:val="006D06CE"/>
    <w:rsid w:val="006D6E8B"/>
    <w:rsid w:val="006E27E6"/>
    <w:rsid w:val="006E2E35"/>
    <w:rsid w:val="006F3756"/>
    <w:rsid w:val="006F4202"/>
    <w:rsid w:val="007015A1"/>
    <w:rsid w:val="0070639F"/>
    <w:rsid w:val="0070774B"/>
    <w:rsid w:val="007122D3"/>
    <w:rsid w:val="007132ED"/>
    <w:rsid w:val="0072587F"/>
    <w:rsid w:val="00727E48"/>
    <w:rsid w:val="00732380"/>
    <w:rsid w:val="007415F1"/>
    <w:rsid w:val="007421A8"/>
    <w:rsid w:val="00743393"/>
    <w:rsid w:val="00744408"/>
    <w:rsid w:val="00747271"/>
    <w:rsid w:val="00747500"/>
    <w:rsid w:val="0075276C"/>
    <w:rsid w:val="00753060"/>
    <w:rsid w:val="007551A2"/>
    <w:rsid w:val="007658FC"/>
    <w:rsid w:val="00766B39"/>
    <w:rsid w:val="007740B1"/>
    <w:rsid w:val="007775F7"/>
    <w:rsid w:val="00777C94"/>
    <w:rsid w:val="00781D27"/>
    <w:rsid w:val="00783A93"/>
    <w:rsid w:val="00787218"/>
    <w:rsid w:val="00787308"/>
    <w:rsid w:val="007B00B7"/>
    <w:rsid w:val="007B5775"/>
    <w:rsid w:val="007B592F"/>
    <w:rsid w:val="007C4CBE"/>
    <w:rsid w:val="007E006B"/>
    <w:rsid w:val="007E2AF4"/>
    <w:rsid w:val="00807BDE"/>
    <w:rsid w:val="0082797B"/>
    <w:rsid w:val="008308A1"/>
    <w:rsid w:val="00832B9A"/>
    <w:rsid w:val="00834013"/>
    <w:rsid w:val="00844FDF"/>
    <w:rsid w:val="00847118"/>
    <w:rsid w:val="00855C2C"/>
    <w:rsid w:val="00860F96"/>
    <w:rsid w:val="00864AA1"/>
    <w:rsid w:val="00873D2D"/>
    <w:rsid w:val="00874C34"/>
    <w:rsid w:val="008839B0"/>
    <w:rsid w:val="008923AC"/>
    <w:rsid w:val="00894A03"/>
    <w:rsid w:val="008A0CF4"/>
    <w:rsid w:val="008B3E73"/>
    <w:rsid w:val="008C27D0"/>
    <w:rsid w:val="008C2BAB"/>
    <w:rsid w:val="008C4515"/>
    <w:rsid w:val="008D103F"/>
    <w:rsid w:val="008D4046"/>
    <w:rsid w:val="008F4C59"/>
    <w:rsid w:val="008F75E7"/>
    <w:rsid w:val="00904820"/>
    <w:rsid w:val="00921F4E"/>
    <w:rsid w:val="009227FB"/>
    <w:rsid w:val="00942788"/>
    <w:rsid w:val="00943BEF"/>
    <w:rsid w:val="00965A00"/>
    <w:rsid w:val="00966A88"/>
    <w:rsid w:val="0097206B"/>
    <w:rsid w:val="0097649C"/>
    <w:rsid w:val="00981F26"/>
    <w:rsid w:val="00984C50"/>
    <w:rsid w:val="009A0B4A"/>
    <w:rsid w:val="009A319D"/>
    <w:rsid w:val="009A3B16"/>
    <w:rsid w:val="009B167B"/>
    <w:rsid w:val="009B1C16"/>
    <w:rsid w:val="009B6A11"/>
    <w:rsid w:val="009B732E"/>
    <w:rsid w:val="009C4BE9"/>
    <w:rsid w:val="009D35B9"/>
    <w:rsid w:val="009F1070"/>
    <w:rsid w:val="009F1219"/>
    <w:rsid w:val="009F222B"/>
    <w:rsid w:val="00A0093A"/>
    <w:rsid w:val="00A04909"/>
    <w:rsid w:val="00A13285"/>
    <w:rsid w:val="00A14D12"/>
    <w:rsid w:val="00A212B6"/>
    <w:rsid w:val="00A2377F"/>
    <w:rsid w:val="00A30D12"/>
    <w:rsid w:val="00A3346E"/>
    <w:rsid w:val="00A36D08"/>
    <w:rsid w:val="00A42D90"/>
    <w:rsid w:val="00A42FFD"/>
    <w:rsid w:val="00A452DE"/>
    <w:rsid w:val="00A4694E"/>
    <w:rsid w:val="00A52392"/>
    <w:rsid w:val="00A62C54"/>
    <w:rsid w:val="00A709CB"/>
    <w:rsid w:val="00A70B88"/>
    <w:rsid w:val="00A746E9"/>
    <w:rsid w:val="00A76A97"/>
    <w:rsid w:val="00A76E68"/>
    <w:rsid w:val="00A85E42"/>
    <w:rsid w:val="00A90365"/>
    <w:rsid w:val="00A92AAB"/>
    <w:rsid w:val="00A92B49"/>
    <w:rsid w:val="00A944D6"/>
    <w:rsid w:val="00AA3078"/>
    <w:rsid w:val="00AB4F5E"/>
    <w:rsid w:val="00AC3716"/>
    <w:rsid w:val="00AD4D71"/>
    <w:rsid w:val="00AE2094"/>
    <w:rsid w:val="00AF5B28"/>
    <w:rsid w:val="00B057EE"/>
    <w:rsid w:val="00B06CAB"/>
    <w:rsid w:val="00B12628"/>
    <w:rsid w:val="00B240B8"/>
    <w:rsid w:val="00B24AC1"/>
    <w:rsid w:val="00B25C17"/>
    <w:rsid w:val="00B268AF"/>
    <w:rsid w:val="00B310C5"/>
    <w:rsid w:val="00B34A3D"/>
    <w:rsid w:val="00B475AE"/>
    <w:rsid w:val="00B545E1"/>
    <w:rsid w:val="00B64E15"/>
    <w:rsid w:val="00B72B0B"/>
    <w:rsid w:val="00B74910"/>
    <w:rsid w:val="00B834A0"/>
    <w:rsid w:val="00B859B3"/>
    <w:rsid w:val="00B96C78"/>
    <w:rsid w:val="00BA5318"/>
    <w:rsid w:val="00BA60AA"/>
    <w:rsid w:val="00BA7ECB"/>
    <w:rsid w:val="00BB1F0C"/>
    <w:rsid w:val="00BC0551"/>
    <w:rsid w:val="00BC4401"/>
    <w:rsid w:val="00BD6ACD"/>
    <w:rsid w:val="00BE08DF"/>
    <w:rsid w:val="00BE31BB"/>
    <w:rsid w:val="00BE5DA0"/>
    <w:rsid w:val="00C00D4A"/>
    <w:rsid w:val="00C00E9D"/>
    <w:rsid w:val="00C02535"/>
    <w:rsid w:val="00C04BE8"/>
    <w:rsid w:val="00C04F57"/>
    <w:rsid w:val="00C13D4E"/>
    <w:rsid w:val="00C1648F"/>
    <w:rsid w:val="00C23015"/>
    <w:rsid w:val="00C235AD"/>
    <w:rsid w:val="00C266E2"/>
    <w:rsid w:val="00C326F3"/>
    <w:rsid w:val="00C44692"/>
    <w:rsid w:val="00C45A87"/>
    <w:rsid w:val="00C46408"/>
    <w:rsid w:val="00C53C7D"/>
    <w:rsid w:val="00C5425B"/>
    <w:rsid w:val="00C55B7B"/>
    <w:rsid w:val="00C60537"/>
    <w:rsid w:val="00C61233"/>
    <w:rsid w:val="00C614EC"/>
    <w:rsid w:val="00C653E6"/>
    <w:rsid w:val="00C73EFD"/>
    <w:rsid w:val="00C802D0"/>
    <w:rsid w:val="00C920DC"/>
    <w:rsid w:val="00C9544B"/>
    <w:rsid w:val="00CA3758"/>
    <w:rsid w:val="00CA7C0B"/>
    <w:rsid w:val="00CB195B"/>
    <w:rsid w:val="00CB4970"/>
    <w:rsid w:val="00CC01B7"/>
    <w:rsid w:val="00CD436C"/>
    <w:rsid w:val="00CE5625"/>
    <w:rsid w:val="00CF7E81"/>
    <w:rsid w:val="00CF7F51"/>
    <w:rsid w:val="00D02B5A"/>
    <w:rsid w:val="00D03D82"/>
    <w:rsid w:val="00D127C1"/>
    <w:rsid w:val="00D26B12"/>
    <w:rsid w:val="00D36A36"/>
    <w:rsid w:val="00D444FD"/>
    <w:rsid w:val="00D45E71"/>
    <w:rsid w:val="00D47582"/>
    <w:rsid w:val="00D55F58"/>
    <w:rsid w:val="00D56D4A"/>
    <w:rsid w:val="00D66400"/>
    <w:rsid w:val="00D66EC8"/>
    <w:rsid w:val="00D71ADD"/>
    <w:rsid w:val="00D87752"/>
    <w:rsid w:val="00D91649"/>
    <w:rsid w:val="00D91961"/>
    <w:rsid w:val="00D91AF8"/>
    <w:rsid w:val="00DB1192"/>
    <w:rsid w:val="00DB1E41"/>
    <w:rsid w:val="00DB5EE8"/>
    <w:rsid w:val="00DC07FE"/>
    <w:rsid w:val="00DC6249"/>
    <w:rsid w:val="00DD61BE"/>
    <w:rsid w:val="00DE270D"/>
    <w:rsid w:val="00DE795F"/>
    <w:rsid w:val="00DF0E76"/>
    <w:rsid w:val="00DF10CB"/>
    <w:rsid w:val="00E102C0"/>
    <w:rsid w:val="00E24336"/>
    <w:rsid w:val="00E243D3"/>
    <w:rsid w:val="00E26FB6"/>
    <w:rsid w:val="00E345A5"/>
    <w:rsid w:val="00E34CD2"/>
    <w:rsid w:val="00E36042"/>
    <w:rsid w:val="00E36F40"/>
    <w:rsid w:val="00E407B1"/>
    <w:rsid w:val="00E44998"/>
    <w:rsid w:val="00E45E77"/>
    <w:rsid w:val="00E53971"/>
    <w:rsid w:val="00E611FA"/>
    <w:rsid w:val="00E70F66"/>
    <w:rsid w:val="00E7319E"/>
    <w:rsid w:val="00E75459"/>
    <w:rsid w:val="00E82DE5"/>
    <w:rsid w:val="00E933D2"/>
    <w:rsid w:val="00EB0152"/>
    <w:rsid w:val="00EB4AD6"/>
    <w:rsid w:val="00EB5EF4"/>
    <w:rsid w:val="00EB766D"/>
    <w:rsid w:val="00ED272F"/>
    <w:rsid w:val="00ED6E03"/>
    <w:rsid w:val="00EE1A48"/>
    <w:rsid w:val="00EE2461"/>
    <w:rsid w:val="00EE2F8E"/>
    <w:rsid w:val="00EF2686"/>
    <w:rsid w:val="00EF2A6E"/>
    <w:rsid w:val="00EF6C8E"/>
    <w:rsid w:val="00F0175B"/>
    <w:rsid w:val="00F152B8"/>
    <w:rsid w:val="00F30C49"/>
    <w:rsid w:val="00F402D3"/>
    <w:rsid w:val="00F52A87"/>
    <w:rsid w:val="00F54091"/>
    <w:rsid w:val="00F55140"/>
    <w:rsid w:val="00F7148C"/>
    <w:rsid w:val="00F71B18"/>
    <w:rsid w:val="00F74BD3"/>
    <w:rsid w:val="00F85505"/>
    <w:rsid w:val="00F9414E"/>
    <w:rsid w:val="00FA26F3"/>
    <w:rsid w:val="00FA6AF0"/>
    <w:rsid w:val="00FB092A"/>
    <w:rsid w:val="00FB5E7B"/>
    <w:rsid w:val="00FB6811"/>
    <w:rsid w:val="00FC350F"/>
    <w:rsid w:val="00FD1EAA"/>
    <w:rsid w:val="00FD4805"/>
    <w:rsid w:val="00FD783F"/>
    <w:rsid w:val="00FE0261"/>
    <w:rsid w:val="00FE2AB5"/>
    <w:rsid w:val="00FF0309"/>
    <w:rsid w:val="00FF0852"/>
    <w:rsid w:val="00FF1D89"/>
    <w:rsid w:val="00FF2986"/>
    <w:rsid w:val="00FF35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1145D34-A335-438F-AEFE-96497B9CD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65AE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565AE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565AE2"/>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0473E6"/>
    <w:pPr>
      <w:tabs>
        <w:tab w:val="right" w:leader="hyphen" w:pos="8497"/>
      </w:tabs>
      <w:ind w:leftChars="0" w:left="487"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character" w:customStyle="1" w:styleId="10">
    <w:name w:val="標題 1 字元"/>
    <w:link w:val="1"/>
    <w:uiPriority w:val="9"/>
    <w:rsid w:val="00565AE2"/>
    <w:rPr>
      <w:rFonts w:ascii="Calibri Light" w:hAnsi="Calibri Light"/>
      <w:b/>
      <w:bCs/>
      <w:snapToGrid w:val="0"/>
      <w:kern w:val="52"/>
      <w:sz w:val="52"/>
      <w:szCs w:val="52"/>
    </w:rPr>
  </w:style>
  <w:style w:type="character" w:customStyle="1" w:styleId="20">
    <w:name w:val="標題 2 字元"/>
    <w:link w:val="2"/>
    <w:uiPriority w:val="9"/>
    <w:semiHidden/>
    <w:rsid w:val="00565AE2"/>
    <w:rPr>
      <w:rFonts w:ascii="Calibri Light" w:hAnsi="Calibri Light"/>
      <w:b/>
      <w:bCs/>
      <w:snapToGrid w:val="0"/>
      <w:kern w:val="2"/>
      <w:sz w:val="48"/>
      <w:szCs w:val="48"/>
    </w:rPr>
  </w:style>
  <w:style w:type="character" w:customStyle="1" w:styleId="30">
    <w:name w:val="標題 3 字元"/>
    <w:link w:val="3"/>
    <w:uiPriority w:val="9"/>
    <w:semiHidden/>
    <w:rsid w:val="00565AE2"/>
    <w:rPr>
      <w:rFonts w:ascii="Calibri Light" w:hAnsi="Calibri Light"/>
      <w:b/>
      <w:bCs/>
      <w:snapToGrid w:val="0"/>
      <w:kern w:val="2"/>
      <w:sz w:val="36"/>
      <w:szCs w:val="36"/>
    </w:rPr>
  </w:style>
  <w:style w:type="character" w:customStyle="1" w:styleId="11">
    <w:name w:val="(一)(二)(三) 字元1"/>
    <w:link w:val="a4"/>
    <w:rsid w:val="00565AE2"/>
    <w:rPr>
      <w:rFonts w:ascii="標楷體" w:eastAsia="標楷體"/>
      <w:snapToGrid w:val="0"/>
      <w:kern w:val="2"/>
      <w:sz w:val="28"/>
      <w:szCs w:val="28"/>
    </w:rPr>
  </w:style>
  <w:style w:type="character" w:customStyle="1" w:styleId="143">
    <w:name w:val="表格內文(14行高) 字元"/>
    <w:link w:val="142"/>
    <w:qFormat/>
    <w:rsid w:val="00565AE2"/>
    <w:rPr>
      <w:rFonts w:ascii="標楷體" w:eastAsia="標楷體"/>
      <w:snapToGrid w:val="0"/>
      <w:kern w:val="2"/>
      <w:sz w:val="24"/>
      <w:szCs w:val="28"/>
    </w:rPr>
  </w:style>
  <w:style w:type="table" w:styleId="af2">
    <w:name w:val="Table Grid"/>
    <w:basedOn w:val="a1"/>
    <w:uiPriority w:val="59"/>
    <w:rsid w:val="00565A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一)下內文縮2 字元"/>
    <w:link w:val="21"/>
    <w:qFormat/>
    <w:locked/>
    <w:rsid w:val="00565AE2"/>
    <w:rPr>
      <w:rFonts w:ascii="標楷體" w:eastAsia="標楷體"/>
      <w:snapToGrid w:val="0"/>
      <w:kern w:val="2"/>
      <w:sz w:val="28"/>
      <w:szCs w:val="28"/>
    </w:rPr>
  </w:style>
  <w:style w:type="character" w:styleId="af3">
    <w:name w:val="footnote reference"/>
    <w:aliases w:val="FR,Ref,de nota al pie,註腳內容,Error-Fußnotenzeichen5,Error-Fußnotenzeichen6,Error-Fußnotenzeichen3,Error-Fusnotßnotenzeichen5,Error-Fußnotenzeic"/>
    <w:uiPriority w:val="99"/>
    <w:unhideWhenUsed/>
    <w:qFormat/>
    <w:rsid w:val="00565AE2"/>
    <w:rPr>
      <w:vertAlign w:val="superscript"/>
    </w:rPr>
  </w:style>
  <w:style w:type="paragraph" w:styleId="af4">
    <w:name w:val="footnote text"/>
    <w:basedOn w:val="a"/>
    <w:link w:val="af5"/>
    <w:uiPriority w:val="99"/>
    <w:semiHidden/>
    <w:unhideWhenUsed/>
    <w:rsid w:val="00565AE2"/>
    <w:pPr>
      <w:snapToGrid w:val="0"/>
      <w:jc w:val="left"/>
    </w:pPr>
    <w:rPr>
      <w:sz w:val="20"/>
      <w:szCs w:val="20"/>
    </w:rPr>
  </w:style>
  <w:style w:type="character" w:customStyle="1" w:styleId="af5">
    <w:name w:val="註腳文字 字元"/>
    <w:link w:val="af4"/>
    <w:uiPriority w:val="99"/>
    <w:semiHidden/>
    <w:rsid w:val="00565AE2"/>
    <w:rPr>
      <w:rFonts w:ascii="標楷體" w:eastAsia="標楷體"/>
      <w:snapToGrid w:val="0"/>
      <w:kern w:val="2"/>
    </w:rPr>
  </w:style>
  <w:style w:type="character" w:styleId="af6">
    <w:name w:val="Hyperlink"/>
    <w:uiPriority w:val="99"/>
    <w:unhideWhenUsed/>
    <w:rsid w:val="00565AE2"/>
    <w:rPr>
      <w:color w:val="0563C1"/>
      <w:u w:val="single"/>
    </w:rPr>
  </w:style>
  <w:style w:type="character" w:customStyle="1" w:styleId="af7">
    <w:name w:val="(一)(二)(三) 字元"/>
    <w:rsid w:val="0082797B"/>
    <w:rPr>
      <w:rFonts w:ascii="標楷體" w:eastAsia="標楷體"/>
      <w:snapToGrid w:val="0"/>
      <w:kern w:val="2"/>
      <w:sz w:val="28"/>
      <w:szCs w:val="28"/>
    </w:rPr>
  </w:style>
  <w:style w:type="character" w:customStyle="1" w:styleId="141">
    <w:name w:val="第二層(14號字) 字元1"/>
    <w:link w:val="14"/>
    <w:locked/>
    <w:rsid w:val="00834013"/>
    <w:rPr>
      <w:rFonts w:ascii="標楷體" w:eastAsia="標楷體"/>
      <w:b/>
      <w:snapToGrid w:val="0"/>
      <w:kern w:val="2"/>
      <w:sz w:val="28"/>
    </w:rPr>
  </w:style>
  <w:style w:type="character" w:styleId="af8">
    <w:name w:val="Emphasis"/>
    <w:uiPriority w:val="20"/>
    <w:qFormat/>
    <w:rsid w:val="000C6CF1"/>
    <w:rPr>
      <w:i/>
      <w:iCs/>
    </w:rPr>
  </w:style>
  <w:style w:type="character" w:customStyle="1" w:styleId="145">
    <w:name w:val="第二層(14號字) 字元"/>
    <w:rsid w:val="00693372"/>
    <w:rPr>
      <w:rFonts w:ascii="標楷體" w:eastAsia="標楷體"/>
      <w:b/>
      <w:snapToGrid w:val="0"/>
      <w:kern w:val="2"/>
      <w:sz w:val="28"/>
    </w:rPr>
  </w:style>
  <w:style w:type="character" w:customStyle="1" w:styleId="24">
    <w:name w:val="(一)(二)(三) 字元2"/>
    <w:rsid w:val="002C1AD5"/>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947">
      <w:bodyDiv w:val="1"/>
      <w:marLeft w:val="0"/>
      <w:marRight w:val="0"/>
      <w:marTop w:val="0"/>
      <w:marBottom w:val="0"/>
      <w:divBdr>
        <w:top w:val="none" w:sz="0" w:space="0" w:color="auto"/>
        <w:left w:val="none" w:sz="0" w:space="0" w:color="auto"/>
        <w:bottom w:val="none" w:sz="0" w:space="0" w:color="auto"/>
        <w:right w:val="none" w:sz="0" w:space="0" w:color="auto"/>
      </w:divBdr>
    </w:div>
    <w:div w:id="18940389">
      <w:bodyDiv w:val="1"/>
      <w:marLeft w:val="0"/>
      <w:marRight w:val="0"/>
      <w:marTop w:val="0"/>
      <w:marBottom w:val="0"/>
      <w:divBdr>
        <w:top w:val="none" w:sz="0" w:space="0" w:color="auto"/>
        <w:left w:val="none" w:sz="0" w:space="0" w:color="auto"/>
        <w:bottom w:val="none" w:sz="0" w:space="0" w:color="auto"/>
        <w:right w:val="none" w:sz="0" w:space="0" w:color="auto"/>
      </w:divBdr>
    </w:div>
    <w:div w:id="105465748">
      <w:bodyDiv w:val="1"/>
      <w:marLeft w:val="0"/>
      <w:marRight w:val="0"/>
      <w:marTop w:val="0"/>
      <w:marBottom w:val="0"/>
      <w:divBdr>
        <w:top w:val="none" w:sz="0" w:space="0" w:color="auto"/>
        <w:left w:val="none" w:sz="0" w:space="0" w:color="auto"/>
        <w:bottom w:val="none" w:sz="0" w:space="0" w:color="auto"/>
        <w:right w:val="none" w:sz="0" w:space="0" w:color="auto"/>
      </w:divBdr>
    </w:div>
    <w:div w:id="170339453">
      <w:bodyDiv w:val="1"/>
      <w:marLeft w:val="0"/>
      <w:marRight w:val="0"/>
      <w:marTop w:val="0"/>
      <w:marBottom w:val="0"/>
      <w:divBdr>
        <w:top w:val="none" w:sz="0" w:space="0" w:color="auto"/>
        <w:left w:val="none" w:sz="0" w:space="0" w:color="auto"/>
        <w:bottom w:val="none" w:sz="0" w:space="0" w:color="auto"/>
        <w:right w:val="none" w:sz="0" w:space="0" w:color="auto"/>
      </w:divBdr>
    </w:div>
    <w:div w:id="617684298">
      <w:bodyDiv w:val="1"/>
      <w:marLeft w:val="0"/>
      <w:marRight w:val="0"/>
      <w:marTop w:val="0"/>
      <w:marBottom w:val="0"/>
      <w:divBdr>
        <w:top w:val="none" w:sz="0" w:space="0" w:color="auto"/>
        <w:left w:val="none" w:sz="0" w:space="0" w:color="auto"/>
        <w:bottom w:val="none" w:sz="0" w:space="0" w:color="auto"/>
        <w:right w:val="none" w:sz="0" w:space="0" w:color="auto"/>
      </w:divBdr>
    </w:div>
    <w:div w:id="826241820">
      <w:bodyDiv w:val="1"/>
      <w:marLeft w:val="0"/>
      <w:marRight w:val="0"/>
      <w:marTop w:val="0"/>
      <w:marBottom w:val="0"/>
      <w:divBdr>
        <w:top w:val="none" w:sz="0" w:space="0" w:color="auto"/>
        <w:left w:val="none" w:sz="0" w:space="0" w:color="auto"/>
        <w:bottom w:val="none" w:sz="0" w:space="0" w:color="auto"/>
        <w:right w:val="none" w:sz="0" w:space="0" w:color="auto"/>
      </w:divBdr>
    </w:div>
    <w:div w:id="1420365563">
      <w:bodyDiv w:val="1"/>
      <w:marLeft w:val="0"/>
      <w:marRight w:val="0"/>
      <w:marTop w:val="0"/>
      <w:marBottom w:val="0"/>
      <w:divBdr>
        <w:top w:val="none" w:sz="0" w:space="0" w:color="auto"/>
        <w:left w:val="none" w:sz="0" w:space="0" w:color="auto"/>
        <w:bottom w:val="none" w:sz="0" w:space="0" w:color="auto"/>
        <w:right w:val="none" w:sz="0" w:space="0" w:color="auto"/>
      </w:divBdr>
    </w:div>
    <w:div w:id="1541166798">
      <w:bodyDiv w:val="1"/>
      <w:marLeft w:val="0"/>
      <w:marRight w:val="0"/>
      <w:marTop w:val="0"/>
      <w:marBottom w:val="0"/>
      <w:divBdr>
        <w:top w:val="none" w:sz="0" w:space="0" w:color="auto"/>
        <w:left w:val="none" w:sz="0" w:space="0" w:color="auto"/>
        <w:bottom w:val="none" w:sz="0" w:space="0" w:color="auto"/>
        <w:right w:val="none" w:sz="0" w:space="0" w:color="auto"/>
      </w:divBdr>
    </w:div>
    <w:div w:id="1870297135">
      <w:bodyDiv w:val="1"/>
      <w:marLeft w:val="0"/>
      <w:marRight w:val="0"/>
      <w:marTop w:val="0"/>
      <w:marBottom w:val="0"/>
      <w:divBdr>
        <w:top w:val="none" w:sz="0" w:space="0" w:color="auto"/>
        <w:left w:val="none" w:sz="0" w:space="0" w:color="auto"/>
        <w:bottom w:val="none" w:sz="0" w:space="0" w:color="auto"/>
        <w:right w:val="none" w:sz="0" w:space="0" w:color="auto"/>
      </w:divBdr>
    </w:div>
    <w:div w:id="1894997043">
      <w:bodyDiv w:val="1"/>
      <w:marLeft w:val="0"/>
      <w:marRight w:val="0"/>
      <w:marTop w:val="0"/>
      <w:marBottom w:val="0"/>
      <w:divBdr>
        <w:top w:val="none" w:sz="0" w:space="0" w:color="auto"/>
        <w:left w:val="none" w:sz="0" w:space="0" w:color="auto"/>
        <w:bottom w:val="none" w:sz="0" w:space="0" w:color="auto"/>
        <w:right w:val="none" w:sz="0" w:space="0" w:color="auto"/>
      </w:divBdr>
    </w:div>
    <w:div w:id="1945189104">
      <w:bodyDiv w:val="1"/>
      <w:marLeft w:val="0"/>
      <w:marRight w:val="0"/>
      <w:marTop w:val="0"/>
      <w:marBottom w:val="0"/>
      <w:divBdr>
        <w:top w:val="none" w:sz="0" w:space="0" w:color="auto"/>
        <w:left w:val="none" w:sz="0" w:space="0" w:color="auto"/>
        <w:bottom w:val="none" w:sz="0" w:space="0" w:color="auto"/>
        <w:right w:val="none" w:sz="0" w:space="0" w:color="auto"/>
      </w:divBdr>
    </w:div>
    <w:div w:id="1987122349">
      <w:bodyDiv w:val="1"/>
      <w:marLeft w:val="0"/>
      <w:marRight w:val="0"/>
      <w:marTop w:val="0"/>
      <w:marBottom w:val="0"/>
      <w:divBdr>
        <w:top w:val="none" w:sz="0" w:space="0" w:color="auto"/>
        <w:left w:val="none" w:sz="0" w:space="0" w:color="auto"/>
        <w:bottom w:val="none" w:sz="0" w:space="0" w:color="auto"/>
        <w:right w:val="none" w:sz="0" w:space="0" w:color="auto"/>
      </w:divBdr>
    </w:div>
    <w:div w:id="209639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F2F67-78EE-4C1C-B5EC-7D5C1D99C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2</Pages>
  <Words>192</Words>
  <Characters>1098</Characters>
  <Application>Microsoft Office Word</Application>
  <DocSecurity>0</DocSecurity>
  <Lines>9</Lines>
  <Paragraphs>2</Paragraphs>
  <ScaleCrop>false</ScaleCrop>
  <Company>HOME</Company>
  <LinksUpToDate>false</LinksUpToDate>
  <CharactersWithSpaces>1288</CharactersWithSpaces>
  <SharedDoc>false</SharedDoc>
  <HLinks>
    <vt:vector size="30" baseType="variant">
      <vt:variant>
        <vt:i4>1769531</vt:i4>
      </vt:variant>
      <vt:variant>
        <vt:i4>26</vt:i4>
      </vt:variant>
      <vt:variant>
        <vt:i4>0</vt:i4>
      </vt:variant>
      <vt:variant>
        <vt:i4>5</vt:i4>
      </vt:variant>
      <vt:variant>
        <vt:lpwstr/>
      </vt:variant>
      <vt:variant>
        <vt:lpwstr>_Toc181027932</vt:lpwstr>
      </vt:variant>
      <vt:variant>
        <vt:i4>1769531</vt:i4>
      </vt:variant>
      <vt:variant>
        <vt:i4>20</vt:i4>
      </vt:variant>
      <vt:variant>
        <vt:i4>0</vt:i4>
      </vt:variant>
      <vt:variant>
        <vt:i4>5</vt:i4>
      </vt:variant>
      <vt:variant>
        <vt:lpwstr/>
      </vt:variant>
      <vt:variant>
        <vt:lpwstr>_Toc181027931</vt:lpwstr>
      </vt:variant>
      <vt:variant>
        <vt:i4>1769531</vt:i4>
      </vt:variant>
      <vt:variant>
        <vt:i4>14</vt:i4>
      </vt:variant>
      <vt:variant>
        <vt:i4>0</vt:i4>
      </vt:variant>
      <vt:variant>
        <vt:i4>5</vt:i4>
      </vt:variant>
      <vt:variant>
        <vt:lpwstr/>
      </vt:variant>
      <vt:variant>
        <vt:lpwstr>_Toc181027930</vt:lpwstr>
      </vt:variant>
      <vt:variant>
        <vt:i4>1703995</vt:i4>
      </vt:variant>
      <vt:variant>
        <vt:i4>8</vt:i4>
      </vt:variant>
      <vt:variant>
        <vt:i4>0</vt:i4>
      </vt:variant>
      <vt:variant>
        <vt:i4>5</vt:i4>
      </vt:variant>
      <vt:variant>
        <vt:lpwstr/>
      </vt:variant>
      <vt:variant>
        <vt:lpwstr>_Toc181027929</vt:lpwstr>
      </vt:variant>
      <vt:variant>
        <vt:i4>1703995</vt:i4>
      </vt:variant>
      <vt:variant>
        <vt:i4>2</vt:i4>
      </vt:variant>
      <vt:variant>
        <vt:i4>0</vt:i4>
      </vt:variant>
      <vt:variant>
        <vt:i4>5</vt:i4>
      </vt:variant>
      <vt:variant>
        <vt:lpwstr/>
      </vt:variant>
      <vt:variant>
        <vt:lpwstr>_Toc181027928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2024-10-29T01:57:00Z</cp:lastPrinted>
  <dcterms:created xsi:type="dcterms:W3CDTF">2024-11-01T07:50:00Z</dcterms:created>
  <dcterms:modified xsi:type="dcterms:W3CDTF">2024-11-01T07:50:00Z</dcterms:modified>
</cp:coreProperties>
</file>