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092" w:rsidRPr="001139C2" w:rsidRDefault="00485092" w:rsidP="00875D54">
      <w:pPr>
        <w:pStyle w:val="ae"/>
      </w:pPr>
      <w:bookmarkStart w:id="0" w:name="_Toc149473656"/>
      <w:bookmarkStart w:id="1" w:name="_GoBack"/>
      <w:bookmarkEnd w:id="1"/>
      <w:r w:rsidRPr="001139C2">
        <w:rPr>
          <w:rFonts w:hint="eastAsia"/>
        </w:rPr>
        <w:t>研發及產業訓儲替代役基金</w:t>
      </w:r>
      <w:r w:rsidRPr="001139C2">
        <w:rPr>
          <w:rFonts w:hAnsi="標楷體" w:hint="eastAsia"/>
        </w:rPr>
        <w:t>、</w:t>
      </w:r>
      <w:r w:rsidRPr="001139C2">
        <w:rPr>
          <w:rFonts w:hint="eastAsia"/>
        </w:rPr>
        <w:t>警察消防海巡移民空勤人員及協勤民力安全基金11</w:t>
      </w:r>
      <w:r w:rsidR="004A540A">
        <w:rPr>
          <w:rFonts w:hint="eastAsia"/>
        </w:rPr>
        <w:t>4</w:t>
      </w:r>
      <w:r w:rsidRPr="001139C2">
        <w:rPr>
          <w:rFonts w:hint="eastAsia"/>
        </w:rPr>
        <w:t>年度預算</w:t>
      </w:r>
      <w:r w:rsidRPr="001139C2">
        <w:rPr>
          <w:rFonts w:hAnsi="標楷體" w:hint="eastAsia"/>
        </w:rPr>
        <w:t>評估報告</w:t>
      </w:r>
      <w:bookmarkStart w:id="2" w:name="_Toc52990095"/>
    </w:p>
    <w:p w:rsidR="00485092" w:rsidRPr="00F86FE8" w:rsidRDefault="00944547" w:rsidP="00485092">
      <w:pPr>
        <w:pStyle w:val="14"/>
        <w:ind w:left="567" w:hanging="567"/>
      </w:pPr>
      <w:bookmarkStart w:id="3" w:name="_Toc432060487"/>
      <w:bookmarkStart w:id="4" w:name="_Toc21958701"/>
      <w:bookmarkStart w:id="5" w:name="_Toc117835331"/>
      <w:bookmarkStart w:id="6" w:name="_Toc148357232"/>
      <w:bookmarkStart w:id="7" w:name="_Toc192671294"/>
      <w:bookmarkStart w:id="8" w:name="_Toc148520536"/>
      <w:bookmarkStart w:id="9" w:name="_Toc181174643"/>
      <w:bookmarkEnd w:id="2"/>
      <w:r>
        <w:rPr>
          <w:rFonts w:hint="eastAsia"/>
        </w:rPr>
        <w:t>五</w:t>
      </w:r>
      <w:r w:rsidR="00485092" w:rsidRPr="00F86FE8">
        <w:rPr>
          <w:rFonts w:hint="eastAsia"/>
        </w:rPr>
        <w:t>、</w:t>
      </w:r>
      <w:bookmarkEnd w:id="3"/>
      <w:bookmarkEnd w:id="4"/>
      <w:bookmarkEnd w:id="8"/>
      <w:r w:rsidR="00485092" w:rsidRPr="00F86FE8">
        <w:rPr>
          <w:rFonts w:hint="eastAsia"/>
        </w:rPr>
        <w:t>113年</w:t>
      </w:r>
      <w:r w:rsidR="00CB5AA4">
        <w:rPr>
          <w:rFonts w:hint="eastAsia"/>
        </w:rPr>
        <w:t>前7個月</w:t>
      </w:r>
      <w:r w:rsidR="00485092" w:rsidRPr="00F86FE8">
        <w:rPr>
          <w:rFonts w:hint="eastAsia"/>
        </w:rPr>
        <w:t>遭受歹徒暴力攻擊死亡、執行救災(難)救護死傷及112年度處理交通事故現場發生意外致受傷者案件均較上年度增加，允宜提升安全條件並強化事件調查</w:t>
      </w:r>
      <w:bookmarkEnd w:id="9"/>
    </w:p>
    <w:p w:rsidR="00485092" w:rsidRPr="00B85995" w:rsidRDefault="00485092" w:rsidP="00485092">
      <w:pPr>
        <w:ind w:left="566" w:firstLine="566"/>
      </w:pPr>
      <w:r w:rsidRPr="00B85995">
        <w:rPr>
          <w:rFonts w:hint="eastAsia"/>
        </w:rPr>
        <w:t>警民基金11</w:t>
      </w:r>
      <w:r w:rsidR="00B85995" w:rsidRPr="00B85995">
        <w:rPr>
          <w:rFonts w:hint="eastAsia"/>
        </w:rPr>
        <w:t>4</w:t>
      </w:r>
      <w:r w:rsidRPr="00B85995">
        <w:rPr>
          <w:rFonts w:hint="eastAsia"/>
        </w:rPr>
        <w:t>年度預算案編列</w:t>
      </w:r>
      <w:r w:rsidR="00B85995" w:rsidRPr="00B85995">
        <w:rPr>
          <w:rFonts w:hint="eastAsia"/>
        </w:rPr>
        <w:t>基金用途「執行勤務死亡遺族生活照護計畫」1</w:t>
      </w:r>
      <w:r w:rsidR="00B85995" w:rsidRPr="00B85995">
        <w:t>,200</w:t>
      </w:r>
      <w:r w:rsidR="00B85995" w:rsidRPr="00B85995">
        <w:rPr>
          <w:rFonts w:hint="eastAsia"/>
        </w:rPr>
        <w:t>萬6千元及</w:t>
      </w:r>
      <w:r w:rsidRPr="00B85995">
        <w:rPr>
          <w:rFonts w:hint="eastAsia"/>
        </w:rPr>
        <w:t>「執行勤務受傷人員醫療計畫」22</w:t>
      </w:r>
      <w:r w:rsidR="00B85995" w:rsidRPr="00B85995">
        <w:rPr>
          <w:rFonts w:hint="eastAsia"/>
        </w:rPr>
        <w:t>2</w:t>
      </w:r>
      <w:r w:rsidRPr="00B85995">
        <w:rPr>
          <w:rFonts w:hint="eastAsia"/>
        </w:rPr>
        <w:t>萬</w:t>
      </w:r>
      <w:r w:rsidR="00B85995" w:rsidRPr="00B85995">
        <w:rPr>
          <w:rFonts w:hint="eastAsia"/>
        </w:rPr>
        <w:t>6</w:t>
      </w:r>
      <w:r w:rsidRPr="00B85995">
        <w:rPr>
          <w:rFonts w:hint="eastAsia"/>
        </w:rPr>
        <w:t>千元，</w:t>
      </w:r>
      <w:r w:rsidR="00B85995" w:rsidRPr="00B85995">
        <w:rPr>
          <w:rFonts w:hint="eastAsia"/>
        </w:rPr>
        <w:t>分別</w:t>
      </w:r>
      <w:r w:rsidRPr="00B85995">
        <w:rPr>
          <w:rFonts w:hint="eastAsia"/>
        </w:rPr>
        <w:t>較11</w:t>
      </w:r>
      <w:r w:rsidR="00B85995" w:rsidRPr="00B85995">
        <w:rPr>
          <w:rFonts w:hint="eastAsia"/>
        </w:rPr>
        <w:t>3</w:t>
      </w:r>
      <w:r w:rsidRPr="00B85995">
        <w:rPr>
          <w:rFonts w:hint="eastAsia"/>
        </w:rPr>
        <w:t>年度預算數減少</w:t>
      </w:r>
      <w:r w:rsidR="00B85995" w:rsidRPr="00B85995">
        <w:rPr>
          <w:rFonts w:hint="eastAsia"/>
        </w:rPr>
        <w:t>100萬元及2</w:t>
      </w:r>
      <w:r w:rsidRPr="00B85995">
        <w:rPr>
          <w:rFonts w:hint="eastAsia"/>
        </w:rPr>
        <w:t>萬</w:t>
      </w:r>
      <w:r w:rsidR="00B85995" w:rsidRPr="00B85995">
        <w:rPr>
          <w:rFonts w:hint="eastAsia"/>
        </w:rPr>
        <w:t>3</w:t>
      </w:r>
      <w:r w:rsidRPr="00B85995">
        <w:rPr>
          <w:rFonts w:hint="eastAsia"/>
        </w:rPr>
        <w:t>千元</w:t>
      </w:r>
      <w:r w:rsidRPr="00B85995">
        <w:rPr>
          <w:rFonts w:hAnsi="標楷體" w:hint="eastAsia"/>
        </w:rPr>
        <w:t>，減</w:t>
      </w:r>
      <w:r w:rsidRPr="00B85995">
        <w:rPr>
          <w:rFonts w:hint="eastAsia"/>
        </w:rPr>
        <w:t>幅</w:t>
      </w:r>
      <w:r w:rsidR="00B85995" w:rsidRPr="00B85995">
        <w:rPr>
          <w:rFonts w:hint="eastAsia"/>
        </w:rPr>
        <w:t>分別為7.69%及1.02</w:t>
      </w:r>
      <w:r w:rsidRPr="00B85995">
        <w:rPr>
          <w:rFonts w:hint="eastAsia"/>
        </w:rPr>
        <w:t>%。經查：</w:t>
      </w:r>
    </w:p>
    <w:p w:rsidR="00485092" w:rsidRPr="006A0FE2" w:rsidRDefault="00485092" w:rsidP="00485092">
      <w:pPr>
        <w:pStyle w:val="a7"/>
        <w:ind w:left="849" w:hanging="283"/>
        <w:rPr>
          <w:b/>
        </w:rPr>
      </w:pPr>
      <w:r w:rsidRPr="006A0FE2">
        <w:rPr>
          <w:rFonts w:hAnsi="標楷體" w:hint="eastAsia"/>
          <w:b/>
        </w:rPr>
        <w:t>(</w:t>
      </w:r>
      <w:r w:rsidRPr="006A0FE2">
        <w:rPr>
          <w:rFonts w:hAnsi="標楷體" w:cs="細明體" w:hint="eastAsia"/>
          <w:b/>
        </w:rPr>
        <w:t>一)</w:t>
      </w:r>
      <w:r w:rsidRPr="006A0FE2">
        <w:rPr>
          <w:rFonts w:hint="eastAsia"/>
          <w:b/>
        </w:rPr>
        <w:t>執行勤務傷</w:t>
      </w:r>
      <w:r w:rsidR="006A0FE2" w:rsidRPr="006A0FE2">
        <w:rPr>
          <w:rFonts w:hint="eastAsia"/>
          <w:b/>
        </w:rPr>
        <w:t>亡安全金之發給</w:t>
      </w:r>
      <w:r w:rsidRPr="006A0FE2">
        <w:rPr>
          <w:rFonts w:hint="eastAsia"/>
          <w:b/>
        </w:rPr>
        <w:t>規定</w:t>
      </w:r>
    </w:p>
    <w:p w:rsidR="00485092" w:rsidRPr="006F2588" w:rsidRDefault="00485092" w:rsidP="00485092">
      <w:pPr>
        <w:pStyle w:val="22"/>
        <w:ind w:left="850" w:firstLine="566"/>
      </w:pPr>
      <w:r w:rsidRPr="006F2588">
        <w:rPr>
          <w:rFonts w:hint="eastAsia"/>
        </w:rPr>
        <w:t>依據警察消防海巡移民空勤人員及協勤民力安全基金設置管理條例第4條規定：「本基金之運用範圍如下：一、執行勤務死亡其遺族生活之安全金。二、執行勤務受傷、失能醫療、住院及復健之安全金。三、執行勤務之其他生活、急難救助安全金。</w:t>
      </w:r>
      <w:r w:rsidRPr="006F2588">
        <w:rPr>
          <w:rFonts w:hAnsi="標楷體" w:hint="eastAsia"/>
        </w:rPr>
        <w:t>」及</w:t>
      </w:r>
      <w:r w:rsidRPr="006F2588">
        <w:t>警察消防海巡</w:t>
      </w:r>
      <w:r w:rsidRPr="006F2588">
        <w:rPr>
          <w:rFonts w:hint="eastAsia"/>
        </w:rPr>
        <w:t>移民</w:t>
      </w:r>
      <w:r w:rsidRPr="006F2588">
        <w:t>空勤人員及協勤民力安全金發給辦法</w:t>
      </w:r>
      <w:r w:rsidRPr="006F2588">
        <w:rPr>
          <w:rFonts w:hint="eastAsia"/>
        </w:rPr>
        <w:t>第3條規定：「依本條例第4條第1項第2款規定發給之受傷、失能醫療、住院及復健安全金，</w:t>
      </w:r>
      <w:r w:rsidRPr="006F2588">
        <w:t>…</w:t>
      </w:r>
      <w:r w:rsidRPr="006F2588">
        <w:rPr>
          <w:rFonts w:hint="eastAsia"/>
        </w:rPr>
        <w:t>。前項第3款所定失能等級，準用公教人員保險失能給付標準認定之。</w:t>
      </w:r>
      <w:r w:rsidRPr="006F2588">
        <w:rPr>
          <w:rFonts w:hAnsi="標楷體" w:hint="eastAsia"/>
        </w:rPr>
        <w:t>」</w:t>
      </w:r>
    </w:p>
    <w:p w:rsidR="00485092" w:rsidRPr="002F4CEF" w:rsidRDefault="00485092" w:rsidP="006A0FE2">
      <w:pPr>
        <w:pStyle w:val="a7"/>
        <w:ind w:left="849" w:hanging="283"/>
        <w:rPr>
          <w:rFonts w:hAnsi="細明體" w:cs="細明體"/>
          <w:b/>
          <w:snapToGrid/>
          <w:kern w:val="0"/>
          <w:sz w:val="24"/>
          <w:szCs w:val="24"/>
        </w:rPr>
      </w:pPr>
      <w:r w:rsidRPr="002F4CEF">
        <w:rPr>
          <w:rFonts w:hAnsi="標楷體" w:hint="eastAsia"/>
          <w:b/>
        </w:rPr>
        <w:t>(</w:t>
      </w:r>
      <w:r w:rsidRPr="002F4CEF">
        <w:rPr>
          <w:rFonts w:hAnsi="標楷體" w:cs="細明體" w:hint="eastAsia"/>
          <w:b/>
        </w:rPr>
        <w:t>二)113年度遭受歹徒暴力攻擊死亡、執行救災(難)救護死亡、執行救災(難)救護受傷</w:t>
      </w:r>
      <w:r w:rsidR="00FA4E0F">
        <w:rPr>
          <w:rFonts w:hAnsi="標楷體" w:cs="細明體" w:hint="eastAsia"/>
          <w:b/>
        </w:rPr>
        <w:t>，以</w:t>
      </w:r>
      <w:r w:rsidRPr="002F4CEF">
        <w:rPr>
          <w:rFonts w:hAnsi="標楷體" w:cs="細明體" w:hint="eastAsia"/>
          <w:b/>
        </w:rPr>
        <w:t>及112年度處理交通事故現場發生意外致受傷者</w:t>
      </w:r>
      <w:r w:rsidRPr="002F4CEF">
        <w:rPr>
          <w:rFonts w:hint="eastAsia"/>
          <w:b/>
        </w:rPr>
        <w:t>案件均較上年度增加</w:t>
      </w:r>
      <w:r w:rsidRPr="002F4CEF">
        <w:rPr>
          <w:rFonts w:hAnsi="標楷體" w:hint="eastAsia"/>
          <w:b/>
        </w:rPr>
        <w:t>，致核發金額隨之提高</w:t>
      </w:r>
    </w:p>
    <w:p w:rsidR="00485092" w:rsidRPr="006F2588" w:rsidRDefault="00485092" w:rsidP="00485092">
      <w:pPr>
        <w:pStyle w:val="22"/>
        <w:ind w:left="850" w:firstLine="566"/>
      </w:pPr>
      <w:r w:rsidRPr="006F2588">
        <w:rPr>
          <w:rFonts w:hint="eastAsia"/>
        </w:rPr>
        <w:t>依據警政署提供近年度執行勤務死亡及受傷申請核發案件資料顯示，其申請案包括遭受歹徒暴力攻擊死傷、執行救災(難)</w:t>
      </w:r>
      <w:r w:rsidR="006F2588" w:rsidRPr="006F2588">
        <w:rPr>
          <w:rFonts w:hint="eastAsia"/>
        </w:rPr>
        <w:t>或</w:t>
      </w:r>
      <w:r w:rsidRPr="006F2588">
        <w:rPr>
          <w:rFonts w:hint="eastAsia"/>
        </w:rPr>
        <w:t>救護死傷、處理交通事故現場發生意外致死傷</w:t>
      </w:r>
      <w:r w:rsidR="006F2588" w:rsidRPr="006F2588">
        <w:rPr>
          <w:rFonts w:hint="eastAsia"/>
        </w:rPr>
        <w:t>，以</w:t>
      </w:r>
      <w:r w:rsidRPr="006F2588">
        <w:rPr>
          <w:rFonts w:hint="eastAsia"/>
        </w:rPr>
        <w:t>及其他一</w:t>
      </w:r>
      <w:r w:rsidRPr="006F2588">
        <w:rPr>
          <w:rFonts w:hint="eastAsia"/>
        </w:rPr>
        <w:lastRenderedPageBreak/>
        <w:t>般勤務發生意外死傷等類別。其中</w:t>
      </w:r>
      <w:r w:rsidR="001A0665" w:rsidRPr="006F2588">
        <w:rPr>
          <w:rFonts w:hint="eastAsia"/>
        </w:rPr>
        <w:t>112年度並無警察消防海巡移民空勤人員及協勤民力遭受歹徒暴力攻擊死亡者及執行救災</w:t>
      </w:r>
      <w:r w:rsidR="001A0665" w:rsidRPr="006F2588">
        <w:rPr>
          <w:rFonts w:hint="eastAsia"/>
        </w:rPr>
        <w:lastRenderedPageBreak/>
        <w:t>(難)救護死亡者，惟</w:t>
      </w:r>
      <w:r w:rsidRPr="006F2588">
        <w:rPr>
          <w:rFonts w:hint="eastAsia"/>
        </w:rPr>
        <w:t>113年度</w:t>
      </w:r>
      <w:r w:rsidR="002E358A">
        <w:rPr>
          <w:rFonts w:hint="eastAsia"/>
        </w:rPr>
        <w:t>前</w:t>
      </w:r>
      <w:r w:rsidR="006E1715" w:rsidRPr="006F2588">
        <w:rPr>
          <w:rFonts w:hint="eastAsia"/>
        </w:rPr>
        <w:t>7個月</w:t>
      </w:r>
      <w:r w:rsidRPr="006F2588">
        <w:rPr>
          <w:rFonts w:hint="eastAsia"/>
        </w:rPr>
        <w:t>遭受歹徒暴力攻擊死亡者</w:t>
      </w:r>
      <w:r w:rsidR="006E1715" w:rsidRPr="006F2588">
        <w:rPr>
          <w:rFonts w:hint="eastAsia"/>
        </w:rPr>
        <w:t>及</w:t>
      </w:r>
      <w:r w:rsidRPr="006F2588">
        <w:rPr>
          <w:rFonts w:hint="eastAsia"/>
        </w:rPr>
        <w:t>執行救災(難)救護死亡者核發人數</w:t>
      </w:r>
      <w:r w:rsidR="006E1715" w:rsidRPr="006F2588">
        <w:rPr>
          <w:rFonts w:hint="eastAsia"/>
        </w:rPr>
        <w:t>分別</w:t>
      </w:r>
      <w:r w:rsidR="002E358A">
        <w:rPr>
          <w:rFonts w:hint="eastAsia"/>
        </w:rPr>
        <w:t>為</w:t>
      </w:r>
      <w:r w:rsidR="006E1715" w:rsidRPr="006F2588">
        <w:rPr>
          <w:rFonts w:hint="eastAsia"/>
        </w:rPr>
        <w:t>1人及5人</w:t>
      </w:r>
      <w:r w:rsidR="00DE238F">
        <w:rPr>
          <w:rFonts w:hint="eastAsia"/>
        </w:rPr>
        <w:t>，且</w:t>
      </w:r>
      <w:r w:rsidR="00DE238F" w:rsidRPr="006F2588">
        <w:rPr>
          <w:rFonts w:hint="eastAsia"/>
        </w:rPr>
        <w:t>核發金額</w:t>
      </w:r>
      <w:r w:rsidR="00DE238F">
        <w:rPr>
          <w:rFonts w:hint="eastAsia"/>
        </w:rPr>
        <w:t>分別</w:t>
      </w:r>
      <w:r w:rsidR="00DE238F" w:rsidRPr="006F2588">
        <w:rPr>
          <w:rFonts w:hint="eastAsia"/>
        </w:rPr>
        <w:t>增加</w:t>
      </w:r>
      <w:r w:rsidR="00DE238F">
        <w:rPr>
          <w:rFonts w:hint="eastAsia"/>
        </w:rPr>
        <w:t>為300萬元及1</w:t>
      </w:r>
      <w:r w:rsidR="00DE238F">
        <w:t>,500</w:t>
      </w:r>
      <w:r w:rsidR="00DE238F">
        <w:rPr>
          <w:rFonts w:hint="eastAsia"/>
        </w:rPr>
        <w:t>萬元</w:t>
      </w:r>
      <w:r w:rsidR="00064B21" w:rsidRPr="006F2588">
        <w:rPr>
          <w:rFonts w:hint="eastAsia"/>
        </w:rPr>
        <w:t>（詳表1</w:t>
      </w:r>
      <w:r w:rsidR="00064B21">
        <w:rPr>
          <w:rFonts w:hint="eastAsia"/>
        </w:rPr>
        <w:t>）</w:t>
      </w:r>
      <w:r w:rsidR="001A0665" w:rsidRPr="006F2588">
        <w:rPr>
          <w:rFonts w:hint="eastAsia"/>
        </w:rPr>
        <w:t>；</w:t>
      </w:r>
      <w:r w:rsidR="00217C7C" w:rsidRPr="006F2588">
        <w:rPr>
          <w:rFonts w:hint="eastAsia"/>
        </w:rPr>
        <w:t>另</w:t>
      </w:r>
      <w:r w:rsidRPr="006F2588">
        <w:rPr>
          <w:rFonts w:hint="eastAsia"/>
        </w:rPr>
        <w:t>113年</w:t>
      </w:r>
      <w:r w:rsidR="00217C7C" w:rsidRPr="006F2588">
        <w:rPr>
          <w:rFonts w:hint="eastAsia"/>
        </w:rPr>
        <w:t>前7個月</w:t>
      </w:r>
      <w:r w:rsidRPr="006F2588">
        <w:rPr>
          <w:rFonts w:hint="eastAsia"/>
        </w:rPr>
        <w:t>執行救災(難)、救護受傷者核發人數</w:t>
      </w:r>
      <w:r w:rsidR="00217C7C" w:rsidRPr="006F2588">
        <w:rPr>
          <w:rFonts w:hint="eastAsia"/>
        </w:rPr>
        <w:t>高達9人，</w:t>
      </w:r>
      <w:r w:rsidRPr="006F2588">
        <w:rPr>
          <w:rFonts w:hint="eastAsia"/>
        </w:rPr>
        <w:t>較</w:t>
      </w:r>
      <w:r w:rsidR="00217C7C" w:rsidRPr="006F2588">
        <w:rPr>
          <w:rFonts w:hint="eastAsia"/>
        </w:rPr>
        <w:t>1</w:t>
      </w:r>
      <w:r w:rsidR="00DE238F">
        <w:rPr>
          <w:rFonts w:hint="eastAsia"/>
        </w:rPr>
        <w:t>09</w:t>
      </w:r>
      <w:r w:rsidR="00217C7C" w:rsidRPr="006F2588">
        <w:rPr>
          <w:rFonts w:hint="eastAsia"/>
        </w:rPr>
        <w:t>至</w:t>
      </w:r>
      <w:r w:rsidRPr="006F2588">
        <w:rPr>
          <w:rFonts w:hint="eastAsia"/>
        </w:rPr>
        <w:t>112年度</w:t>
      </w:r>
      <w:r w:rsidR="00217C7C" w:rsidRPr="006F2588">
        <w:rPr>
          <w:rFonts w:hint="eastAsia"/>
        </w:rPr>
        <w:t>之每年4人</w:t>
      </w:r>
      <w:r w:rsidR="00DE238F">
        <w:rPr>
          <w:rFonts w:hint="eastAsia"/>
        </w:rPr>
        <w:t>至5人成長約1倍</w:t>
      </w:r>
      <w:r w:rsidR="00064B21">
        <w:rPr>
          <w:rFonts w:hint="eastAsia"/>
        </w:rPr>
        <w:t>，且核發金額暴增為141</w:t>
      </w:r>
      <w:r w:rsidR="00064B21">
        <w:t>.65</w:t>
      </w:r>
      <w:r w:rsidR="00064B21">
        <w:rPr>
          <w:rFonts w:hint="eastAsia"/>
        </w:rPr>
        <w:t>萬元</w:t>
      </w:r>
      <w:r w:rsidR="00DE238F">
        <w:rPr>
          <w:rFonts w:hint="eastAsia"/>
        </w:rPr>
        <w:t>；而</w:t>
      </w:r>
      <w:r w:rsidRPr="006F2588">
        <w:rPr>
          <w:rFonts w:hint="eastAsia"/>
        </w:rPr>
        <w:t>112年度處理交通事故現場發生意外致受傷者核發人數</w:t>
      </w:r>
      <w:r w:rsidR="00D0217D">
        <w:rPr>
          <w:rFonts w:hint="eastAsia"/>
        </w:rPr>
        <w:t>及金額分別為</w:t>
      </w:r>
      <w:r w:rsidR="00217C7C" w:rsidRPr="006F2588">
        <w:rPr>
          <w:rFonts w:hint="eastAsia"/>
        </w:rPr>
        <w:t>3人</w:t>
      </w:r>
      <w:r w:rsidR="00D0217D">
        <w:rPr>
          <w:rFonts w:hint="eastAsia"/>
        </w:rPr>
        <w:t>及12.3萬元</w:t>
      </w:r>
      <w:r w:rsidR="00217C7C" w:rsidRPr="006F2588">
        <w:rPr>
          <w:rFonts w:hint="eastAsia"/>
        </w:rPr>
        <w:t>，亦</w:t>
      </w:r>
      <w:r w:rsidRPr="006F2588">
        <w:rPr>
          <w:rFonts w:hint="eastAsia"/>
        </w:rPr>
        <w:t>較111年</w:t>
      </w:r>
      <w:r w:rsidR="00217C7C" w:rsidRPr="006F2588">
        <w:rPr>
          <w:rFonts w:hint="eastAsia"/>
        </w:rPr>
        <w:t>度之2人</w:t>
      </w:r>
      <w:r w:rsidR="00D0217D">
        <w:rPr>
          <w:rFonts w:hint="eastAsia"/>
        </w:rPr>
        <w:t>及5.6萬元增加</w:t>
      </w:r>
      <w:r w:rsidRPr="006F2588">
        <w:rPr>
          <w:rFonts w:hint="eastAsia"/>
        </w:rPr>
        <w:t>（詳表2）。</w:t>
      </w:r>
    </w:p>
    <w:p w:rsidR="00D037C9" w:rsidRPr="009A376C" w:rsidRDefault="00D037C9" w:rsidP="00D14F98">
      <w:pPr>
        <w:autoSpaceDE w:val="0"/>
        <w:autoSpaceDN w:val="0"/>
        <w:ind w:leftChars="300" w:left="1272" w:hangingChars="149" w:hanging="422"/>
        <w:jc w:val="left"/>
        <w:rPr>
          <w:b/>
        </w:rPr>
      </w:pPr>
      <w:r w:rsidRPr="009A376C">
        <w:rPr>
          <w:rFonts w:hint="eastAsia"/>
          <w:b/>
        </w:rPr>
        <w:t>表1  警民基金執行勤務</w:t>
      </w:r>
      <w:r>
        <w:rPr>
          <w:rFonts w:hint="eastAsia"/>
          <w:b/>
        </w:rPr>
        <w:t>死亡</w:t>
      </w:r>
      <w:r w:rsidRPr="009A376C">
        <w:rPr>
          <w:rFonts w:hint="eastAsia"/>
          <w:b/>
        </w:rPr>
        <w:t>人員醫療計畫申請核發情形表</w:t>
      </w:r>
    </w:p>
    <w:p w:rsidR="00D037C9" w:rsidRPr="00A045CE" w:rsidRDefault="00D037C9" w:rsidP="00D037C9">
      <w:pPr>
        <w:autoSpaceDE w:val="0"/>
        <w:autoSpaceDN w:val="0"/>
        <w:spacing w:line="320" w:lineRule="exact"/>
        <w:ind w:leftChars="198" w:left="1273" w:hangingChars="251" w:hanging="712"/>
        <w:jc w:val="right"/>
        <w:rPr>
          <w:sz w:val="24"/>
          <w:szCs w:val="24"/>
        </w:rPr>
      </w:pPr>
      <w:r w:rsidRPr="009A376C">
        <w:rPr>
          <w:rFonts w:hint="eastAsia"/>
          <w:b/>
        </w:rPr>
        <w:t xml:space="preserve">              </w:t>
      </w:r>
      <w:r w:rsidRPr="009A376C">
        <w:rPr>
          <w:rFonts w:hint="eastAsia"/>
          <w:sz w:val="24"/>
          <w:szCs w:val="24"/>
        </w:rPr>
        <w:t>單位：件</w:t>
      </w:r>
      <w:r w:rsidRPr="009A376C">
        <w:rPr>
          <w:rFonts w:hAnsi="標楷體" w:hint="eastAsia"/>
          <w:sz w:val="24"/>
          <w:szCs w:val="24"/>
        </w:rPr>
        <w:t>；</w:t>
      </w:r>
      <w:r w:rsidRPr="009A376C">
        <w:rPr>
          <w:rFonts w:hint="eastAsia"/>
          <w:sz w:val="24"/>
          <w:szCs w:val="24"/>
        </w:rPr>
        <w:t>人</w:t>
      </w:r>
      <w:r w:rsidRPr="009A376C">
        <w:rPr>
          <w:rFonts w:hAnsi="標楷體" w:hint="eastAsia"/>
          <w:sz w:val="24"/>
          <w:szCs w:val="24"/>
        </w:rPr>
        <w:t>；</w:t>
      </w:r>
      <w:r w:rsidRPr="009A376C">
        <w:rPr>
          <w:rFonts w:hint="eastAsia"/>
          <w:sz w:val="24"/>
          <w:szCs w:val="24"/>
        </w:rPr>
        <w:t>次</w:t>
      </w:r>
      <w:r w:rsidRPr="009A376C">
        <w:rPr>
          <w:rFonts w:hAnsi="標楷體" w:hint="eastAsia"/>
          <w:sz w:val="24"/>
          <w:szCs w:val="24"/>
        </w:rPr>
        <w:t>；</w:t>
      </w:r>
      <w:r w:rsidRPr="009A376C">
        <w:rPr>
          <w:rFonts w:hint="eastAsia"/>
          <w:sz w:val="24"/>
          <w:szCs w:val="24"/>
        </w:rPr>
        <w:t>新臺幣千元</w:t>
      </w:r>
    </w:p>
    <w:tbl>
      <w:tblPr>
        <w:tblW w:w="776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974"/>
        <w:gridCol w:w="727"/>
        <w:gridCol w:w="883"/>
        <w:gridCol w:w="884"/>
        <w:gridCol w:w="9"/>
        <w:gridCol w:w="975"/>
        <w:gridCol w:w="783"/>
        <w:gridCol w:w="884"/>
        <w:gridCol w:w="936"/>
      </w:tblGrid>
      <w:tr w:rsidR="00D037C9" w:rsidRPr="00D14F98" w:rsidTr="00D14F98">
        <w:tc>
          <w:tcPr>
            <w:tcW w:w="709" w:type="dxa"/>
            <w:vMerge w:val="restart"/>
            <w:shd w:val="clear" w:color="auto" w:fill="auto"/>
            <w:vAlign w:val="center"/>
          </w:tcPr>
          <w:p w:rsidR="00D037C9" w:rsidRPr="00D14F98" w:rsidRDefault="00D037C9" w:rsidP="00D14F98">
            <w:pPr>
              <w:pStyle w:val="142"/>
              <w:ind w:left="78" w:hangingChars="32" w:hanging="78"/>
              <w:jc w:val="center"/>
            </w:pPr>
            <w:r w:rsidRPr="00D14F98">
              <w:rPr>
                <w:rFonts w:hint="eastAsia"/>
              </w:rPr>
              <w:t>年度</w:t>
            </w:r>
          </w:p>
        </w:tc>
        <w:tc>
          <w:tcPr>
            <w:tcW w:w="3477" w:type="dxa"/>
            <w:gridSpan w:val="5"/>
            <w:shd w:val="clear" w:color="auto" w:fill="auto"/>
          </w:tcPr>
          <w:p w:rsidR="00D037C9" w:rsidRPr="00D14F98" w:rsidRDefault="00D037C9" w:rsidP="00D14F98">
            <w:pPr>
              <w:pStyle w:val="142"/>
              <w:jc w:val="center"/>
            </w:pPr>
            <w:r w:rsidRPr="00D14F98">
              <w:rPr>
                <w:rFonts w:hint="eastAsia"/>
              </w:rPr>
              <w:t>遭受歹徒暴力攻擊死亡</w:t>
            </w:r>
          </w:p>
        </w:tc>
        <w:tc>
          <w:tcPr>
            <w:tcW w:w="3578" w:type="dxa"/>
            <w:gridSpan w:val="4"/>
            <w:shd w:val="clear" w:color="auto" w:fill="auto"/>
          </w:tcPr>
          <w:p w:rsidR="00D037C9" w:rsidRPr="00D14F98" w:rsidRDefault="00D037C9" w:rsidP="00D14F98">
            <w:pPr>
              <w:pStyle w:val="142"/>
              <w:jc w:val="center"/>
            </w:pPr>
            <w:r w:rsidRPr="00D14F98">
              <w:rPr>
                <w:rFonts w:hint="eastAsia"/>
              </w:rPr>
              <w:t>執行救災(難)、救護死亡</w:t>
            </w:r>
          </w:p>
        </w:tc>
      </w:tr>
      <w:tr w:rsidR="00D037C9" w:rsidRPr="00D14F98" w:rsidTr="00D14F98">
        <w:tc>
          <w:tcPr>
            <w:tcW w:w="709" w:type="dxa"/>
            <w:vMerge/>
            <w:shd w:val="clear" w:color="auto" w:fill="auto"/>
          </w:tcPr>
          <w:p w:rsidR="00D037C9" w:rsidRPr="00D14F98" w:rsidRDefault="00D037C9" w:rsidP="00D14F98">
            <w:pPr>
              <w:pStyle w:val="142"/>
              <w:jc w:val="center"/>
            </w:pPr>
          </w:p>
        </w:tc>
        <w:tc>
          <w:tcPr>
            <w:tcW w:w="974" w:type="dxa"/>
            <w:shd w:val="clear" w:color="auto" w:fill="auto"/>
            <w:vAlign w:val="center"/>
          </w:tcPr>
          <w:p w:rsidR="00D037C9" w:rsidRPr="00D14F98" w:rsidRDefault="00D037C9" w:rsidP="00D14F98">
            <w:pPr>
              <w:pStyle w:val="142"/>
              <w:jc w:val="center"/>
            </w:pPr>
            <w:r w:rsidRPr="00D14F98">
              <w:rPr>
                <w:rFonts w:hint="eastAsia"/>
              </w:rPr>
              <w:t>案件數</w:t>
            </w:r>
          </w:p>
        </w:tc>
        <w:tc>
          <w:tcPr>
            <w:tcW w:w="727" w:type="dxa"/>
            <w:shd w:val="clear" w:color="auto" w:fill="auto"/>
            <w:vAlign w:val="center"/>
          </w:tcPr>
          <w:p w:rsidR="00D037C9" w:rsidRPr="00D14F98" w:rsidRDefault="00D037C9" w:rsidP="00D14F98">
            <w:pPr>
              <w:pStyle w:val="142"/>
              <w:jc w:val="center"/>
            </w:pPr>
            <w:r w:rsidRPr="00D14F98">
              <w:rPr>
                <w:rFonts w:hint="eastAsia"/>
              </w:rPr>
              <w:t>人數</w:t>
            </w:r>
          </w:p>
        </w:tc>
        <w:tc>
          <w:tcPr>
            <w:tcW w:w="883" w:type="dxa"/>
            <w:shd w:val="clear" w:color="auto" w:fill="auto"/>
          </w:tcPr>
          <w:p w:rsidR="00D037C9" w:rsidRPr="00D14F98" w:rsidRDefault="00D037C9" w:rsidP="00D14F98">
            <w:pPr>
              <w:pStyle w:val="142"/>
              <w:jc w:val="center"/>
            </w:pPr>
            <w:r w:rsidRPr="00D14F98">
              <w:rPr>
                <w:rFonts w:hint="eastAsia"/>
              </w:rPr>
              <w:t>核發次數</w:t>
            </w:r>
          </w:p>
        </w:tc>
        <w:tc>
          <w:tcPr>
            <w:tcW w:w="884" w:type="dxa"/>
            <w:shd w:val="clear" w:color="auto" w:fill="auto"/>
          </w:tcPr>
          <w:p w:rsidR="00D037C9" w:rsidRPr="00D14F98" w:rsidRDefault="00D037C9" w:rsidP="00D14F98">
            <w:pPr>
              <w:pStyle w:val="142"/>
              <w:jc w:val="center"/>
            </w:pPr>
            <w:r w:rsidRPr="00D14F98">
              <w:rPr>
                <w:rFonts w:hint="eastAsia"/>
              </w:rPr>
              <w:t>核發金額</w:t>
            </w:r>
          </w:p>
        </w:tc>
        <w:tc>
          <w:tcPr>
            <w:tcW w:w="984" w:type="dxa"/>
            <w:gridSpan w:val="2"/>
            <w:shd w:val="clear" w:color="auto" w:fill="auto"/>
            <w:vAlign w:val="center"/>
          </w:tcPr>
          <w:p w:rsidR="00D037C9" w:rsidRPr="00D14F98" w:rsidRDefault="00D037C9" w:rsidP="00D14F98">
            <w:pPr>
              <w:pStyle w:val="142"/>
              <w:jc w:val="center"/>
            </w:pPr>
            <w:r w:rsidRPr="00D14F98">
              <w:rPr>
                <w:rFonts w:hint="eastAsia"/>
              </w:rPr>
              <w:t>案件數</w:t>
            </w:r>
          </w:p>
        </w:tc>
        <w:tc>
          <w:tcPr>
            <w:tcW w:w="783" w:type="dxa"/>
            <w:shd w:val="clear" w:color="auto" w:fill="auto"/>
            <w:vAlign w:val="center"/>
          </w:tcPr>
          <w:p w:rsidR="00D037C9" w:rsidRPr="00D14F98" w:rsidRDefault="00D037C9" w:rsidP="00D14F98">
            <w:pPr>
              <w:pStyle w:val="142"/>
              <w:jc w:val="center"/>
            </w:pPr>
            <w:r w:rsidRPr="00D14F98">
              <w:rPr>
                <w:rFonts w:hint="eastAsia"/>
              </w:rPr>
              <w:t>人數</w:t>
            </w:r>
          </w:p>
        </w:tc>
        <w:tc>
          <w:tcPr>
            <w:tcW w:w="884" w:type="dxa"/>
            <w:shd w:val="clear" w:color="auto" w:fill="auto"/>
          </w:tcPr>
          <w:p w:rsidR="00D037C9" w:rsidRPr="00D14F98" w:rsidRDefault="00D037C9" w:rsidP="00D14F98">
            <w:pPr>
              <w:pStyle w:val="142"/>
              <w:jc w:val="center"/>
            </w:pPr>
            <w:r w:rsidRPr="00D14F98">
              <w:rPr>
                <w:rFonts w:hint="eastAsia"/>
              </w:rPr>
              <w:t>核發次數</w:t>
            </w:r>
          </w:p>
        </w:tc>
        <w:tc>
          <w:tcPr>
            <w:tcW w:w="936" w:type="dxa"/>
            <w:shd w:val="clear" w:color="auto" w:fill="auto"/>
          </w:tcPr>
          <w:p w:rsidR="00D037C9" w:rsidRPr="00D14F98" w:rsidRDefault="00D037C9" w:rsidP="00D14F98">
            <w:pPr>
              <w:pStyle w:val="142"/>
              <w:jc w:val="center"/>
            </w:pPr>
            <w:r w:rsidRPr="00D14F98">
              <w:rPr>
                <w:rFonts w:hint="eastAsia"/>
              </w:rPr>
              <w:t>核發金額</w:t>
            </w:r>
          </w:p>
        </w:tc>
      </w:tr>
      <w:tr w:rsidR="00D037C9" w:rsidRPr="00D14F98" w:rsidTr="00D14F98">
        <w:trPr>
          <w:trHeight w:hRule="exact" w:val="340"/>
        </w:trPr>
        <w:tc>
          <w:tcPr>
            <w:tcW w:w="709" w:type="dxa"/>
            <w:shd w:val="clear" w:color="auto" w:fill="auto"/>
          </w:tcPr>
          <w:p w:rsidR="00D037C9" w:rsidRPr="00D14F98" w:rsidRDefault="00D037C9" w:rsidP="00D14F98">
            <w:pPr>
              <w:pStyle w:val="142"/>
              <w:jc w:val="center"/>
            </w:pPr>
            <w:r w:rsidRPr="00D14F98">
              <w:rPr>
                <w:rFonts w:hint="eastAsia"/>
              </w:rPr>
              <w:t>109</w:t>
            </w:r>
          </w:p>
        </w:tc>
        <w:tc>
          <w:tcPr>
            <w:tcW w:w="974" w:type="dxa"/>
            <w:shd w:val="clear" w:color="auto" w:fill="auto"/>
            <w:vAlign w:val="center"/>
          </w:tcPr>
          <w:p w:rsidR="00D037C9" w:rsidRPr="00D14F98" w:rsidRDefault="00D037C9" w:rsidP="00D14F98">
            <w:pPr>
              <w:pStyle w:val="142"/>
              <w:jc w:val="right"/>
            </w:pPr>
            <w:r w:rsidRPr="00D14F98">
              <w:rPr>
                <w:rFonts w:hint="eastAsia"/>
              </w:rPr>
              <w:t>-</w:t>
            </w:r>
          </w:p>
        </w:tc>
        <w:tc>
          <w:tcPr>
            <w:tcW w:w="727" w:type="dxa"/>
            <w:shd w:val="clear" w:color="auto" w:fill="auto"/>
            <w:vAlign w:val="center"/>
          </w:tcPr>
          <w:p w:rsidR="00D037C9" w:rsidRPr="00D14F98" w:rsidRDefault="00D037C9" w:rsidP="00D14F98">
            <w:pPr>
              <w:pStyle w:val="142"/>
              <w:jc w:val="right"/>
            </w:pPr>
            <w:r w:rsidRPr="00D14F98">
              <w:rPr>
                <w:rFonts w:hint="eastAsia"/>
              </w:rPr>
              <w:t>-</w:t>
            </w:r>
          </w:p>
        </w:tc>
        <w:tc>
          <w:tcPr>
            <w:tcW w:w="883" w:type="dxa"/>
            <w:shd w:val="clear" w:color="auto" w:fill="auto"/>
            <w:vAlign w:val="center"/>
          </w:tcPr>
          <w:p w:rsidR="00D037C9" w:rsidRPr="00D14F98" w:rsidRDefault="00D037C9" w:rsidP="00D14F98">
            <w:pPr>
              <w:pStyle w:val="142"/>
              <w:jc w:val="right"/>
            </w:pPr>
            <w:r w:rsidRPr="00D14F98">
              <w:rPr>
                <w:rFonts w:hint="eastAsia"/>
              </w:rPr>
              <w:t>-</w:t>
            </w:r>
          </w:p>
        </w:tc>
        <w:tc>
          <w:tcPr>
            <w:tcW w:w="884" w:type="dxa"/>
            <w:shd w:val="clear" w:color="auto" w:fill="auto"/>
            <w:vAlign w:val="center"/>
          </w:tcPr>
          <w:p w:rsidR="00D037C9" w:rsidRPr="00D14F98" w:rsidRDefault="00D037C9" w:rsidP="00D14F98">
            <w:pPr>
              <w:pStyle w:val="142"/>
              <w:jc w:val="right"/>
            </w:pPr>
            <w:r w:rsidRPr="00D14F98">
              <w:rPr>
                <w:rFonts w:hint="eastAsia"/>
              </w:rPr>
              <w:t>-</w:t>
            </w:r>
          </w:p>
        </w:tc>
        <w:tc>
          <w:tcPr>
            <w:tcW w:w="984" w:type="dxa"/>
            <w:gridSpan w:val="2"/>
            <w:shd w:val="clear" w:color="auto" w:fill="auto"/>
            <w:vAlign w:val="center"/>
          </w:tcPr>
          <w:p w:rsidR="00D037C9" w:rsidRPr="00D14F98" w:rsidRDefault="00D037C9" w:rsidP="00D14F98">
            <w:pPr>
              <w:pStyle w:val="142"/>
              <w:jc w:val="right"/>
            </w:pPr>
            <w:r w:rsidRPr="00D14F98">
              <w:rPr>
                <w:rFonts w:hint="eastAsia"/>
              </w:rPr>
              <w:t>-</w:t>
            </w:r>
          </w:p>
        </w:tc>
        <w:tc>
          <w:tcPr>
            <w:tcW w:w="783" w:type="dxa"/>
            <w:shd w:val="clear" w:color="auto" w:fill="auto"/>
            <w:vAlign w:val="center"/>
          </w:tcPr>
          <w:p w:rsidR="00D037C9" w:rsidRPr="00D14F98" w:rsidRDefault="00D037C9" w:rsidP="00D14F98">
            <w:pPr>
              <w:pStyle w:val="142"/>
              <w:jc w:val="right"/>
            </w:pPr>
            <w:r w:rsidRPr="00D14F98">
              <w:rPr>
                <w:rFonts w:hint="eastAsia"/>
              </w:rPr>
              <w:t>-</w:t>
            </w:r>
          </w:p>
        </w:tc>
        <w:tc>
          <w:tcPr>
            <w:tcW w:w="884" w:type="dxa"/>
            <w:shd w:val="clear" w:color="auto" w:fill="auto"/>
            <w:vAlign w:val="center"/>
          </w:tcPr>
          <w:p w:rsidR="00D037C9" w:rsidRPr="00D14F98" w:rsidRDefault="00D037C9" w:rsidP="00D14F98">
            <w:pPr>
              <w:pStyle w:val="142"/>
              <w:jc w:val="right"/>
            </w:pPr>
            <w:r w:rsidRPr="00D14F98">
              <w:rPr>
                <w:rFonts w:hint="eastAsia"/>
              </w:rPr>
              <w:t>-</w:t>
            </w:r>
          </w:p>
        </w:tc>
        <w:tc>
          <w:tcPr>
            <w:tcW w:w="936" w:type="dxa"/>
            <w:shd w:val="clear" w:color="auto" w:fill="auto"/>
            <w:vAlign w:val="center"/>
          </w:tcPr>
          <w:p w:rsidR="00D037C9" w:rsidRPr="00D14F98" w:rsidRDefault="00D037C9" w:rsidP="00D14F98">
            <w:pPr>
              <w:pStyle w:val="142"/>
              <w:jc w:val="right"/>
            </w:pPr>
            <w:r w:rsidRPr="00D14F98">
              <w:rPr>
                <w:rFonts w:hint="eastAsia"/>
              </w:rPr>
              <w:t>-</w:t>
            </w:r>
          </w:p>
        </w:tc>
      </w:tr>
      <w:tr w:rsidR="00D037C9" w:rsidRPr="00D14F98" w:rsidTr="00D14F98">
        <w:trPr>
          <w:trHeight w:hRule="exact" w:val="340"/>
        </w:trPr>
        <w:tc>
          <w:tcPr>
            <w:tcW w:w="709" w:type="dxa"/>
            <w:shd w:val="clear" w:color="auto" w:fill="auto"/>
          </w:tcPr>
          <w:p w:rsidR="00D037C9" w:rsidRPr="00D14F98" w:rsidRDefault="00D037C9" w:rsidP="00D14F98">
            <w:pPr>
              <w:pStyle w:val="142"/>
              <w:jc w:val="center"/>
            </w:pPr>
            <w:r w:rsidRPr="00D14F98">
              <w:rPr>
                <w:rFonts w:hint="eastAsia"/>
              </w:rPr>
              <w:t>110</w:t>
            </w:r>
          </w:p>
        </w:tc>
        <w:tc>
          <w:tcPr>
            <w:tcW w:w="974" w:type="dxa"/>
            <w:shd w:val="clear" w:color="auto" w:fill="auto"/>
            <w:vAlign w:val="center"/>
          </w:tcPr>
          <w:p w:rsidR="00D037C9" w:rsidRPr="00D14F98" w:rsidRDefault="00D037C9" w:rsidP="00D14F98">
            <w:pPr>
              <w:pStyle w:val="142"/>
              <w:jc w:val="right"/>
            </w:pPr>
            <w:r w:rsidRPr="00D14F98">
              <w:rPr>
                <w:rFonts w:hint="eastAsia"/>
              </w:rPr>
              <w:t>-</w:t>
            </w:r>
          </w:p>
        </w:tc>
        <w:tc>
          <w:tcPr>
            <w:tcW w:w="727" w:type="dxa"/>
            <w:shd w:val="clear" w:color="auto" w:fill="auto"/>
            <w:vAlign w:val="center"/>
          </w:tcPr>
          <w:p w:rsidR="00D037C9" w:rsidRPr="00D14F98" w:rsidRDefault="00D037C9" w:rsidP="00D14F98">
            <w:pPr>
              <w:pStyle w:val="142"/>
              <w:jc w:val="right"/>
            </w:pPr>
            <w:r w:rsidRPr="00D14F98">
              <w:rPr>
                <w:rFonts w:hint="eastAsia"/>
              </w:rPr>
              <w:t>-</w:t>
            </w:r>
          </w:p>
        </w:tc>
        <w:tc>
          <w:tcPr>
            <w:tcW w:w="883" w:type="dxa"/>
            <w:shd w:val="clear" w:color="auto" w:fill="auto"/>
            <w:vAlign w:val="center"/>
          </w:tcPr>
          <w:p w:rsidR="00D037C9" w:rsidRPr="00D14F98" w:rsidRDefault="00D037C9" w:rsidP="00D14F98">
            <w:pPr>
              <w:pStyle w:val="142"/>
              <w:jc w:val="right"/>
            </w:pPr>
            <w:r w:rsidRPr="00D14F98">
              <w:rPr>
                <w:rFonts w:hint="eastAsia"/>
              </w:rPr>
              <w:t>-</w:t>
            </w:r>
          </w:p>
        </w:tc>
        <w:tc>
          <w:tcPr>
            <w:tcW w:w="884" w:type="dxa"/>
            <w:shd w:val="clear" w:color="auto" w:fill="auto"/>
            <w:vAlign w:val="center"/>
          </w:tcPr>
          <w:p w:rsidR="00D037C9" w:rsidRPr="00D14F98" w:rsidRDefault="00D037C9" w:rsidP="00D14F98">
            <w:pPr>
              <w:pStyle w:val="142"/>
              <w:jc w:val="right"/>
            </w:pPr>
            <w:r w:rsidRPr="00D14F98">
              <w:rPr>
                <w:rFonts w:hint="eastAsia"/>
              </w:rPr>
              <w:t>-</w:t>
            </w:r>
          </w:p>
        </w:tc>
        <w:tc>
          <w:tcPr>
            <w:tcW w:w="984" w:type="dxa"/>
            <w:gridSpan w:val="2"/>
            <w:shd w:val="clear" w:color="auto" w:fill="auto"/>
            <w:vAlign w:val="center"/>
          </w:tcPr>
          <w:p w:rsidR="00D037C9" w:rsidRPr="00D14F98" w:rsidRDefault="00D037C9" w:rsidP="00D14F98">
            <w:pPr>
              <w:pStyle w:val="142"/>
              <w:jc w:val="right"/>
            </w:pPr>
            <w:r w:rsidRPr="00D14F98">
              <w:rPr>
                <w:rFonts w:hint="eastAsia"/>
              </w:rPr>
              <w:t>1</w:t>
            </w:r>
          </w:p>
        </w:tc>
        <w:tc>
          <w:tcPr>
            <w:tcW w:w="783" w:type="dxa"/>
            <w:shd w:val="clear" w:color="auto" w:fill="auto"/>
            <w:vAlign w:val="center"/>
          </w:tcPr>
          <w:p w:rsidR="00D037C9" w:rsidRPr="00D14F98" w:rsidRDefault="00D037C9" w:rsidP="00D14F98">
            <w:pPr>
              <w:pStyle w:val="142"/>
              <w:jc w:val="right"/>
            </w:pPr>
            <w:r w:rsidRPr="00D14F98">
              <w:rPr>
                <w:rFonts w:hint="eastAsia"/>
              </w:rPr>
              <w:t>1</w:t>
            </w:r>
          </w:p>
        </w:tc>
        <w:tc>
          <w:tcPr>
            <w:tcW w:w="884" w:type="dxa"/>
            <w:shd w:val="clear" w:color="auto" w:fill="auto"/>
            <w:vAlign w:val="center"/>
          </w:tcPr>
          <w:p w:rsidR="00D037C9" w:rsidRPr="00D14F98" w:rsidRDefault="00D037C9" w:rsidP="00D14F98">
            <w:pPr>
              <w:pStyle w:val="142"/>
              <w:jc w:val="right"/>
            </w:pPr>
            <w:r w:rsidRPr="00D14F98">
              <w:rPr>
                <w:rFonts w:hint="eastAsia"/>
              </w:rPr>
              <w:t>1</w:t>
            </w:r>
          </w:p>
        </w:tc>
        <w:tc>
          <w:tcPr>
            <w:tcW w:w="936" w:type="dxa"/>
            <w:shd w:val="clear" w:color="auto" w:fill="auto"/>
            <w:vAlign w:val="center"/>
          </w:tcPr>
          <w:p w:rsidR="00D037C9" w:rsidRPr="00D14F98" w:rsidRDefault="00D037C9" w:rsidP="00D14F98">
            <w:pPr>
              <w:pStyle w:val="142"/>
              <w:jc w:val="right"/>
            </w:pPr>
            <w:r w:rsidRPr="00D14F98">
              <w:rPr>
                <w:rFonts w:hint="eastAsia"/>
              </w:rPr>
              <w:t>3</w:t>
            </w:r>
            <w:r w:rsidRPr="00D14F98">
              <w:t>,</w:t>
            </w:r>
            <w:r w:rsidRPr="00D14F98">
              <w:rPr>
                <w:rFonts w:hint="eastAsia"/>
              </w:rPr>
              <w:t>000</w:t>
            </w:r>
          </w:p>
        </w:tc>
      </w:tr>
      <w:tr w:rsidR="00D037C9" w:rsidRPr="00D14F98" w:rsidTr="00D14F98">
        <w:trPr>
          <w:trHeight w:hRule="exact" w:val="340"/>
        </w:trPr>
        <w:tc>
          <w:tcPr>
            <w:tcW w:w="709" w:type="dxa"/>
            <w:shd w:val="clear" w:color="auto" w:fill="auto"/>
          </w:tcPr>
          <w:p w:rsidR="00D037C9" w:rsidRPr="00D14F98" w:rsidRDefault="00D037C9" w:rsidP="00D14F98">
            <w:pPr>
              <w:pStyle w:val="142"/>
              <w:jc w:val="center"/>
            </w:pPr>
            <w:r w:rsidRPr="00D14F98">
              <w:rPr>
                <w:rFonts w:hint="eastAsia"/>
              </w:rPr>
              <w:t>111</w:t>
            </w:r>
          </w:p>
        </w:tc>
        <w:tc>
          <w:tcPr>
            <w:tcW w:w="974" w:type="dxa"/>
            <w:shd w:val="clear" w:color="auto" w:fill="auto"/>
            <w:vAlign w:val="center"/>
          </w:tcPr>
          <w:p w:rsidR="00D037C9" w:rsidRPr="00D14F98" w:rsidRDefault="00D037C9" w:rsidP="00D14F98">
            <w:pPr>
              <w:pStyle w:val="142"/>
              <w:jc w:val="right"/>
            </w:pPr>
            <w:r w:rsidRPr="00D14F98">
              <w:t>2</w:t>
            </w:r>
          </w:p>
        </w:tc>
        <w:tc>
          <w:tcPr>
            <w:tcW w:w="727" w:type="dxa"/>
            <w:shd w:val="clear" w:color="auto" w:fill="auto"/>
            <w:vAlign w:val="center"/>
          </w:tcPr>
          <w:p w:rsidR="00D037C9" w:rsidRPr="00D14F98" w:rsidRDefault="00D037C9" w:rsidP="00D14F98">
            <w:pPr>
              <w:pStyle w:val="142"/>
              <w:jc w:val="right"/>
            </w:pPr>
            <w:r w:rsidRPr="00D14F98">
              <w:rPr>
                <w:rFonts w:hint="eastAsia"/>
              </w:rPr>
              <w:t>2</w:t>
            </w:r>
          </w:p>
        </w:tc>
        <w:tc>
          <w:tcPr>
            <w:tcW w:w="883" w:type="dxa"/>
            <w:shd w:val="clear" w:color="auto" w:fill="auto"/>
            <w:vAlign w:val="center"/>
          </w:tcPr>
          <w:p w:rsidR="00D037C9" w:rsidRPr="00D14F98" w:rsidRDefault="00D037C9" w:rsidP="00D14F98">
            <w:pPr>
              <w:pStyle w:val="142"/>
              <w:jc w:val="right"/>
            </w:pPr>
            <w:r w:rsidRPr="00D14F98">
              <w:rPr>
                <w:rFonts w:hint="eastAsia"/>
              </w:rPr>
              <w:t>2</w:t>
            </w:r>
          </w:p>
        </w:tc>
        <w:tc>
          <w:tcPr>
            <w:tcW w:w="884" w:type="dxa"/>
            <w:shd w:val="clear" w:color="auto" w:fill="auto"/>
            <w:vAlign w:val="center"/>
          </w:tcPr>
          <w:p w:rsidR="00D037C9" w:rsidRPr="00D14F98" w:rsidRDefault="00D037C9" w:rsidP="00D14F98">
            <w:pPr>
              <w:pStyle w:val="142"/>
              <w:jc w:val="right"/>
            </w:pPr>
            <w:r w:rsidRPr="00D14F98">
              <w:rPr>
                <w:rFonts w:hint="eastAsia"/>
              </w:rPr>
              <w:t>6,000</w:t>
            </w:r>
          </w:p>
        </w:tc>
        <w:tc>
          <w:tcPr>
            <w:tcW w:w="984" w:type="dxa"/>
            <w:gridSpan w:val="2"/>
            <w:shd w:val="clear" w:color="auto" w:fill="auto"/>
            <w:vAlign w:val="center"/>
          </w:tcPr>
          <w:p w:rsidR="00D037C9" w:rsidRPr="00D14F98" w:rsidRDefault="00D037C9" w:rsidP="00D14F98">
            <w:pPr>
              <w:pStyle w:val="142"/>
              <w:jc w:val="right"/>
            </w:pPr>
            <w:r w:rsidRPr="00D14F98">
              <w:rPr>
                <w:rFonts w:hint="eastAsia"/>
              </w:rPr>
              <w:t>-</w:t>
            </w:r>
          </w:p>
        </w:tc>
        <w:tc>
          <w:tcPr>
            <w:tcW w:w="783" w:type="dxa"/>
            <w:shd w:val="clear" w:color="auto" w:fill="auto"/>
            <w:vAlign w:val="center"/>
          </w:tcPr>
          <w:p w:rsidR="00D037C9" w:rsidRPr="00D14F98" w:rsidRDefault="00D037C9" w:rsidP="00D14F98">
            <w:pPr>
              <w:pStyle w:val="142"/>
              <w:jc w:val="right"/>
            </w:pPr>
            <w:r w:rsidRPr="00D14F98">
              <w:rPr>
                <w:rFonts w:hint="eastAsia"/>
              </w:rPr>
              <w:t>-</w:t>
            </w:r>
          </w:p>
        </w:tc>
        <w:tc>
          <w:tcPr>
            <w:tcW w:w="884" w:type="dxa"/>
            <w:shd w:val="clear" w:color="auto" w:fill="auto"/>
            <w:vAlign w:val="center"/>
          </w:tcPr>
          <w:p w:rsidR="00D037C9" w:rsidRPr="00D14F98" w:rsidRDefault="00D037C9" w:rsidP="00D14F98">
            <w:pPr>
              <w:pStyle w:val="142"/>
              <w:jc w:val="right"/>
            </w:pPr>
            <w:r w:rsidRPr="00D14F98">
              <w:rPr>
                <w:rFonts w:hint="eastAsia"/>
              </w:rPr>
              <w:t>-</w:t>
            </w:r>
          </w:p>
        </w:tc>
        <w:tc>
          <w:tcPr>
            <w:tcW w:w="936" w:type="dxa"/>
            <w:shd w:val="clear" w:color="auto" w:fill="auto"/>
            <w:vAlign w:val="center"/>
          </w:tcPr>
          <w:p w:rsidR="00D037C9" w:rsidRPr="00D14F98" w:rsidRDefault="00D037C9" w:rsidP="00D14F98">
            <w:pPr>
              <w:pStyle w:val="142"/>
              <w:jc w:val="right"/>
            </w:pPr>
            <w:r w:rsidRPr="00D14F98">
              <w:rPr>
                <w:rFonts w:hint="eastAsia"/>
              </w:rPr>
              <w:t>-</w:t>
            </w:r>
          </w:p>
        </w:tc>
      </w:tr>
      <w:tr w:rsidR="00D037C9" w:rsidRPr="00D14F98" w:rsidTr="00D14F98">
        <w:trPr>
          <w:trHeight w:hRule="exact" w:val="340"/>
        </w:trPr>
        <w:tc>
          <w:tcPr>
            <w:tcW w:w="709" w:type="dxa"/>
            <w:shd w:val="clear" w:color="auto" w:fill="auto"/>
          </w:tcPr>
          <w:p w:rsidR="00D037C9" w:rsidRPr="00D14F98" w:rsidRDefault="00D037C9" w:rsidP="00D14F98">
            <w:pPr>
              <w:pStyle w:val="142"/>
              <w:jc w:val="center"/>
            </w:pPr>
            <w:r w:rsidRPr="00D14F98">
              <w:rPr>
                <w:rFonts w:hint="eastAsia"/>
              </w:rPr>
              <w:t>112</w:t>
            </w:r>
          </w:p>
        </w:tc>
        <w:tc>
          <w:tcPr>
            <w:tcW w:w="974" w:type="dxa"/>
            <w:shd w:val="clear" w:color="auto" w:fill="auto"/>
          </w:tcPr>
          <w:p w:rsidR="00D037C9" w:rsidRPr="00D14F98" w:rsidRDefault="00D037C9" w:rsidP="00D14F98">
            <w:pPr>
              <w:pStyle w:val="142"/>
              <w:jc w:val="right"/>
            </w:pPr>
            <w:r w:rsidRPr="00D14F98">
              <w:t>-</w:t>
            </w:r>
          </w:p>
        </w:tc>
        <w:tc>
          <w:tcPr>
            <w:tcW w:w="727" w:type="dxa"/>
            <w:shd w:val="clear" w:color="auto" w:fill="auto"/>
          </w:tcPr>
          <w:p w:rsidR="00D037C9" w:rsidRPr="00D14F98" w:rsidRDefault="00D037C9" w:rsidP="00D14F98">
            <w:pPr>
              <w:pStyle w:val="142"/>
              <w:jc w:val="right"/>
            </w:pPr>
            <w:r w:rsidRPr="00D14F98">
              <w:t>-</w:t>
            </w:r>
          </w:p>
        </w:tc>
        <w:tc>
          <w:tcPr>
            <w:tcW w:w="883" w:type="dxa"/>
            <w:shd w:val="clear" w:color="auto" w:fill="auto"/>
          </w:tcPr>
          <w:p w:rsidR="00D037C9" w:rsidRPr="00D14F98" w:rsidRDefault="00D037C9" w:rsidP="00D14F98">
            <w:pPr>
              <w:pStyle w:val="142"/>
              <w:jc w:val="right"/>
            </w:pPr>
            <w:r w:rsidRPr="00D14F98">
              <w:t>-</w:t>
            </w:r>
          </w:p>
        </w:tc>
        <w:tc>
          <w:tcPr>
            <w:tcW w:w="884" w:type="dxa"/>
            <w:shd w:val="clear" w:color="auto" w:fill="auto"/>
          </w:tcPr>
          <w:p w:rsidR="00D037C9" w:rsidRPr="00D14F98" w:rsidRDefault="00D037C9" w:rsidP="00D14F98">
            <w:pPr>
              <w:pStyle w:val="142"/>
              <w:jc w:val="right"/>
            </w:pPr>
            <w:r w:rsidRPr="00D14F98">
              <w:t>-</w:t>
            </w:r>
          </w:p>
        </w:tc>
        <w:tc>
          <w:tcPr>
            <w:tcW w:w="984" w:type="dxa"/>
            <w:gridSpan w:val="2"/>
            <w:shd w:val="clear" w:color="auto" w:fill="auto"/>
          </w:tcPr>
          <w:p w:rsidR="00D037C9" w:rsidRPr="00D14F98" w:rsidRDefault="00D037C9" w:rsidP="00D14F98">
            <w:pPr>
              <w:pStyle w:val="142"/>
              <w:jc w:val="right"/>
            </w:pPr>
            <w:r w:rsidRPr="00D14F98">
              <w:t>-</w:t>
            </w:r>
          </w:p>
        </w:tc>
        <w:tc>
          <w:tcPr>
            <w:tcW w:w="783" w:type="dxa"/>
            <w:shd w:val="clear" w:color="auto" w:fill="auto"/>
          </w:tcPr>
          <w:p w:rsidR="00D037C9" w:rsidRPr="00D14F98" w:rsidRDefault="00D037C9" w:rsidP="00D14F98">
            <w:pPr>
              <w:pStyle w:val="142"/>
              <w:jc w:val="right"/>
            </w:pPr>
            <w:r w:rsidRPr="00D14F98">
              <w:t>-</w:t>
            </w:r>
          </w:p>
        </w:tc>
        <w:tc>
          <w:tcPr>
            <w:tcW w:w="884" w:type="dxa"/>
            <w:shd w:val="clear" w:color="auto" w:fill="auto"/>
          </w:tcPr>
          <w:p w:rsidR="00D037C9" w:rsidRPr="00D14F98" w:rsidRDefault="00D037C9" w:rsidP="00D14F98">
            <w:pPr>
              <w:pStyle w:val="142"/>
              <w:jc w:val="right"/>
            </w:pPr>
            <w:r w:rsidRPr="00D14F98">
              <w:t>-</w:t>
            </w:r>
          </w:p>
        </w:tc>
        <w:tc>
          <w:tcPr>
            <w:tcW w:w="936" w:type="dxa"/>
            <w:shd w:val="clear" w:color="auto" w:fill="auto"/>
          </w:tcPr>
          <w:p w:rsidR="00D037C9" w:rsidRPr="00D14F98" w:rsidRDefault="00D037C9" w:rsidP="00D14F98">
            <w:pPr>
              <w:pStyle w:val="142"/>
              <w:jc w:val="right"/>
            </w:pPr>
            <w:r w:rsidRPr="00D14F98">
              <w:t>-</w:t>
            </w:r>
          </w:p>
        </w:tc>
      </w:tr>
      <w:tr w:rsidR="00D037C9" w:rsidRPr="00D14F98" w:rsidTr="00D14F98">
        <w:trPr>
          <w:trHeight w:hRule="exact" w:val="340"/>
        </w:trPr>
        <w:tc>
          <w:tcPr>
            <w:tcW w:w="709" w:type="dxa"/>
            <w:shd w:val="clear" w:color="auto" w:fill="auto"/>
          </w:tcPr>
          <w:p w:rsidR="00D037C9" w:rsidRPr="00D14F98" w:rsidRDefault="00D037C9" w:rsidP="00D14F98">
            <w:pPr>
              <w:pStyle w:val="142"/>
              <w:jc w:val="center"/>
            </w:pPr>
            <w:r w:rsidRPr="00D14F98">
              <w:rPr>
                <w:rFonts w:hint="eastAsia"/>
              </w:rPr>
              <w:t>113</w:t>
            </w:r>
          </w:p>
        </w:tc>
        <w:tc>
          <w:tcPr>
            <w:tcW w:w="974" w:type="dxa"/>
            <w:shd w:val="clear" w:color="auto" w:fill="auto"/>
          </w:tcPr>
          <w:p w:rsidR="00D037C9" w:rsidRPr="00D14F98" w:rsidRDefault="00D037C9" w:rsidP="00D14F98">
            <w:pPr>
              <w:pStyle w:val="142"/>
              <w:jc w:val="right"/>
            </w:pPr>
            <w:r w:rsidRPr="00D14F98">
              <w:t>1</w:t>
            </w:r>
          </w:p>
        </w:tc>
        <w:tc>
          <w:tcPr>
            <w:tcW w:w="727" w:type="dxa"/>
            <w:shd w:val="clear" w:color="auto" w:fill="auto"/>
          </w:tcPr>
          <w:p w:rsidR="00D037C9" w:rsidRPr="00D14F98" w:rsidRDefault="00D037C9" w:rsidP="00D14F98">
            <w:pPr>
              <w:pStyle w:val="142"/>
              <w:jc w:val="right"/>
            </w:pPr>
            <w:r w:rsidRPr="00D14F98">
              <w:t>1</w:t>
            </w:r>
          </w:p>
        </w:tc>
        <w:tc>
          <w:tcPr>
            <w:tcW w:w="883" w:type="dxa"/>
            <w:shd w:val="clear" w:color="auto" w:fill="auto"/>
          </w:tcPr>
          <w:p w:rsidR="00D037C9" w:rsidRPr="00D14F98" w:rsidRDefault="00D037C9" w:rsidP="00D14F98">
            <w:pPr>
              <w:pStyle w:val="142"/>
              <w:jc w:val="right"/>
            </w:pPr>
            <w:r w:rsidRPr="00D14F98">
              <w:t>1</w:t>
            </w:r>
          </w:p>
        </w:tc>
        <w:tc>
          <w:tcPr>
            <w:tcW w:w="884" w:type="dxa"/>
            <w:shd w:val="clear" w:color="auto" w:fill="auto"/>
          </w:tcPr>
          <w:p w:rsidR="00D037C9" w:rsidRPr="00D14F98" w:rsidRDefault="00D037C9" w:rsidP="00D14F98">
            <w:pPr>
              <w:pStyle w:val="142"/>
              <w:jc w:val="right"/>
            </w:pPr>
            <w:r w:rsidRPr="00D14F98">
              <w:t>3,000</w:t>
            </w:r>
          </w:p>
        </w:tc>
        <w:tc>
          <w:tcPr>
            <w:tcW w:w="984" w:type="dxa"/>
            <w:gridSpan w:val="2"/>
            <w:shd w:val="clear" w:color="auto" w:fill="auto"/>
          </w:tcPr>
          <w:p w:rsidR="00D037C9" w:rsidRPr="00D14F98" w:rsidRDefault="00D037C9" w:rsidP="00D14F98">
            <w:pPr>
              <w:pStyle w:val="142"/>
              <w:jc w:val="right"/>
            </w:pPr>
            <w:r w:rsidRPr="00D14F98">
              <w:t>5</w:t>
            </w:r>
          </w:p>
        </w:tc>
        <w:tc>
          <w:tcPr>
            <w:tcW w:w="783" w:type="dxa"/>
            <w:shd w:val="clear" w:color="auto" w:fill="auto"/>
          </w:tcPr>
          <w:p w:rsidR="00D037C9" w:rsidRPr="00D14F98" w:rsidRDefault="00D037C9" w:rsidP="00D14F98">
            <w:pPr>
              <w:pStyle w:val="142"/>
              <w:jc w:val="right"/>
            </w:pPr>
            <w:r w:rsidRPr="00D14F98">
              <w:t>5</w:t>
            </w:r>
          </w:p>
        </w:tc>
        <w:tc>
          <w:tcPr>
            <w:tcW w:w="884" w:type="dxa"/>
            <w:shd w:val="clear" w:color="auto" w:fill="auto"/>
          </w:tcPr>
          <w:p w:rsidR="00D037C9" w:rsidRPr="00D14F98" w:rsidRDefault="00D037C9" w:rsidP="00D14F98">
            <w:pPr>
              <w:pStyle w:val="142"/>
              <w:jc w:val="right"/>
            </w:pPr>
            <w:r w:rsidRPr="00D14F98">
              <w:t>5</w:t>
            </w:r>
          </w:p>
        </w:tc>
        <w:tc>
          <w:tcPr>
            <w:tcW w:w="936" w:type="dxa"/>
            <w:shd w:val="clear" w:color="auto" w:fill="auto"/>
          </w:tcPr>
          <w:p w:rsidR="00D037C9" w:rsidRPr="00D14F98" w:rsidRDefault="00D037C9" w:rsidP="00D14F98">
            <w:pPr>
              <w:pStyle w:val="142"/>
              <w:jc w:val="right"/>
            </w:pPr>
            <w:r w:rsidRPr="00D14F98">
              <w:t>15,000</w:t>
            </w:r>
          </w:p>
        </w:tc>
      </w:tr>
    </w:tbl>
    <w:p w:rsidR="00D037C9" w:rsidRDefault="00D14F98" w:rsidP="00D14F98">
      <w:pPr>
        <w:tabs>
          <w:tab w:val="left" w:pos="709"/>
        </w:tabs>
        <w:spacing w:line="280" w:lineRule="exact"/>
        <w:ind w:leftChars="300" w:left="981" w:rightChars="-67" w:right="-190" w:hangingChars="54" w:hanging="131"/>
        <w:rPr>
          <w:rFonts w:hAnsi="標楷體"/>
          <w:sz w:val="24"/>
          <w:szCs w:val="24"/>
        </w:rPr>
      </w:pPr>
      <w:r>
        <w:rPr>
          <w:rFonts w:hAnsi="標楷體" w:hint="eastAsia"/>
          <w:sz w:val="24"/>
          <w:szCs w:val="24"/>
        </w:rPr>
        <w:t>說    明</w:t>
      </w:r>
      <w:r w:rsidR="00D037C9" w:rsidRPr="000E2527">
        <w:rPr>
          <w:rFonts w:hAnsi="標楷體" w:hint="eastAsia"/>
          <w:sz w:val="24"/>
          <w:szCs w:val="24"/>
        </w:rPr>
        <w:t>：113年度係</w:t>
      </w:r>
      <w:r>
        <w:rPr>
          <w:rFonts w:hAnsi="標楷體" w:hint="eastAsia"/>
          <w:sz w:val="24"/>
          <w:szCs w:val="24"/>
        </w:rPr>
        <w:t>113年</w:t>
      </w:r>
      <w:r w:rsidR="00D037C9" w:rsidRPr="000E2527">
        <w:rPr>
          <w:rFonts w:hAnsi="標楷體" w:hint="eastAsia"/>
          <w:sz w:val="24"/>
          <w:szCs w:val="24"/>
        </w:rPr>
        <w:t>截至7月底止數據。</w:t>
      </w:r>
    </w:p>
    <w:p w:rsidR="00D14F98" w:rsidRPr="000E2527" w:rsidRDefault="00D14F98" w:rsidP="00D14F98">
      <w:pPr>
        <w:tabs>
          <w:tab w:val="left" w:pos="709"/>
        </w:tabs>
        <w:spacing w:line="280" w:lineRule="exact"/>
        <w:ind w:leftChars="300" w:left="981" w:rightChars="-67" w:right="-190" w:hangingChars="54" w:hanging="131"/>
        <w:rPr>
          <w:rFonts w:hAnsi="標楷體" w:hint="eastAsia"/>
          <w:sz w:val="24"/>
          <w:szCs w:val="24"/>
        </w:rPr>
      </w:pPr>
      <w:r>
        <w:rPr>
          <w:rFonts w:hAnsi="標楷體" w:hint="eastAsia"/>
          <w:sz w:val="24"/>
          <w:szCs w:val="24"/>
        </w:rPr>
        <w:t>資料來源：警政署。</w:t>
      </w:r>
    </w:p>
    <w:p w:rsidR="00D037C9" w:rsidRPr="009A376C" w:rsidRDefault="00D037C9" w:rsidP="00D14F98">
      <w:pPr>
        <w:autoSpaceDE w:val="0"/>
        <w:autoSpaceDN w:val="0"/>
        <w:ind w:leftChars="300" w:left="1272" w:hangingChars="149" w:hanging="422"/>
        <w:jc w:val="left"/>
        <w:rPr>
          <w:b/>
        </w:rPr>
      </w:pPr>
      <w:r w:rsidRPr="009A376C">
        <w:rPr>
          <w:rFonts w:hint="eastAsia"/>
          <w:b/>
        </w:rPr>
        <w:t>表</w:t>
      </w:r>
      <w:r>
        <w:rPr>
          <w:rFonts w:hint="eastAsia"/>
          <w:b/>
        </w:rPr>
        <w:t>2</w:t>
      </w:r>
      <w:r w:rsidRPr="009A376C">
        <w:rPr>
          <w:rFonts w:hint="eastAsia"/>
          <w:b/>
        </w:rPr>
        <w:t xml:space="preserve">  警民基金執行勤務受傷人員醫療計畫申請核發情形表</w:t>
      </w:r>
    </w:p>
    <w:p w:rsidR="00D037C9" w:rsidRDefault="00D037C9" w:rsidP="00D037C9">
      <w:pPr>
        <w:autoSpaceDE w:val="0"/>
        <w:autoSpaceDN w:val="0"/>
        <w:spacing w:line="320" w:lineRule="exact"/>
        <w:ind w:leftChars="198" w:left="1273" w:hangingChars="251" w:hanging="712"/>
        <w:jc w:val="right"/>
        <w:rPr>
          <w:sz w:val="24"/>
          <w:szCs w:val="24"/>
        </w:rPr>
      </w:pPr>
      <w:r w:rsidRPr="009A376C">
        <w:rPr>
          <w:rFonts w:hint="eastAsia"/>
          <w:b/>
        </w:rPr>
        <w:t xml:space="preserve">              </w:t>
      </w:r>
      <w:r w:rsidRPr="009A376C">
        <w:rPr>
          <w:rFonts w:hint="eastAsia"/>
          <w:sz w:val="24"/>
          <w:szCs w:val="24"/>
        </w:rPr>
        <w:t>單位：件</w:t>
      </w:r>
      <w:r w:rsidRPr="009A376C">
        <w:rPr>
          <w:rFonts w:hAnsi="標楷體" w:hint="eastAsia"/>
          <w:sz w:val="24"/>
          <w:szCs w:val="24"/>
        </w:rPr>
        <w:t>；</w:t>
      </w:r>
      <w:r w:rsidRPr="009A376C">
        <w:rPr>
          <w:rFonts w:hint="eastAsia"/>
          <w:sz w:val="24"/>
          <w:szCs w:val="24"/>
        </w:rPr>
        <w:t>人</w:t>
      </w:r>
      <w:r w:rsidRPr="009A376C">
        <w:rPr>
          <w:rFonts w:hAnsi="標楷體" w:hint="eastAsia"/>
          <w:sz w:val="24"/>
          <w:szCs w:val="24"/>
        </w:rPr>
        <w:t>；</w:t>
      </w:r>
      <w:r w:rsidRPr="009A376C">
        <w:rPr>
          <w:rFonts w:hint="eastAsia"/>
          <w:sz w:val="24"/>
          <w:szCs w:val="24"/>
        </w:rPr>
        <w:t>次</w:t>
      </w:r>
      <w:r w:rsidRPr="009A376C">
        <w:rPr>
          <w:rFonts w:hAnsi="標楷體" w:hint="eastAsia"/>
          <w:sz w:val="24"/>
          <w:szCs w:val="24"/>
        </w:rPr>
        <w:t>；</w:t>
      </w:r>
      <w:r w:rsidRPr="009A376C">
        <w:rPr>
          <w:rFonts w:hint="eastAsia"/>
          <w:sz w:val="24"/>
          <w:szCs w:val="24"/>
        </w:rPr>
        <w:t>新臺幣千元</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98"/>
        <w:gridCol w:w="845"/>
        <w:gridCol w:w="725"/>
        <w:gridCol w:w="722"/>
        <w:gridCol w:w="1020"/>
        <w:gridCol w:w="836"/>
        <w:gridCol w:w="916"/>
        <w:gridCol w:w="916"/>
        <w:gridCol w:w="976"/>
      </w:tblGrid>
      <w:tr w:rsidR="00D037C9" w:rsidRPr="00D14F98" w:rsidTr="00D14F98">
        <w:trPr>
          <w:trHeight w:val="20"/>
        </w:trPr>
        <w:tc>
          <w:tcPr>
            <w:tcW w:w="698" w:type="dxa"/>
            <w:vMerge w:val="restart"/>
            <w:shd w:val="clear" w:color="auto" w:fill="auto"/>
            <w:vAlign w:val="center"/>
            <w:hideMark/>
          </w:tcPr>
          <w:p w:rsidR="00D037C9" w:rsidRPr="00D14F98" w:rsidRDefault="00D037C9" w:rsidP="00D14F98">
            <w:pPr>
              <w:pStyle w:val="142"/>
              <w:jc w:val="center"/>
            </w:pPr>
            <w:r w:rsidRPr="00D14F98">
              <w:rPr>
                <w:rFonts w:hint="eastAsia"/>
              </w:rPr>
              <w:t>年度</w:t>
            </w:r>
          </w:p>
        </w:tc>
        <w:tc>
          <w:tcPr>
            <w:tcW w:w="3312" w:type="dxa"/>
            <w:gridSpan w:val="4"/>
            <w:shd w:val="clear" w:color="auto" w:fill="auto"/>
            <w:vAlign w:val="center"/>
            <w:hideMark/>
          </w:tcPr>
          <w:p w:rsidR="00D037C9" w:rsidRPr="00D14F98" w:rsidRDefault="00D037C9" w:rsidP="00D14F98">
            <w:pPr>
              <w:pStyle w:val="142"/>
              <w:jc w:val="center"/>
            </w:pPr>
            <w:r w:rsidRPr="00D14F98">
              <w:rPr>
                <w:rFonts w:hint="eastAsia"/>
              </w:rPr>
              <w:t>執行救災(難)、救護受傷</w:t>
            </w:r>
          </w:p>
        </w:tc>
        <w:tc>
          <w:tcPr>
            <w:tcW w:w="3644" w:type="dxa"/>
            <w:gridSpan w:val="4"/>
            <w:shd w:val="clear" w:color="auto" w:fill="auto"/>
            <w:vAlign w:val="center"/>
            <w:hideMark/>
          </w:tcPr>
          <w:p w:rsidR="00D037C9" w:rsidRPr="00D14F98" w:rsidRDefault="00D037C9" w:rsidP="00D14F98">
            <w:pPr>
              <w:pStyle w:val="142"/>
              <w:jc w:val="center"/>
            </w:pPr>
            <w:r w:rsidRPr="00D14F98">
              <w:rPr>
                <w:rFonts w:hint="eastAsia"/>
              </w:rPr>
              <w:t>處理交通事故現場發生意外受傷</w:t>
            </w:r>
          </w:p>
        </w:tc>
      </w:tr>
      <w:tr w:rsidR="00D037C9" w:rsidRPr="00D14F98" w:rsidTr="00D14F98">
        <w:trPr>
          <w:trHeight w:val="20"/>
        </w:trPr>
        <w:tc>
          <w:tcPr>
            <w:tcW w:w="698" w:type="dxa"/>
            <w:vMerge/>
            <w:vAlign w:val="center"/>
            <w:hideMark/>
          </w:tcPr>
          <w:p w:rsidR="00D037C9" w:rsidRPr="00D14F98" w:rsidRDefault="00D037C9" w:rsidP="00D14F98">
            <w:pPr>
              <w:pStyle w:val="142"/>
              <w:jc w:val="center"/>
            </w:pPr>
          </w:p>
        </w:tc>
        <w:tc>
          <w:tcPr>
            <w:tcW w:w="845" w:type="dxa"/>
            <w:shd w:val="clear" w:color="auto" w:fill="auto"/>
            <w:vAlign w:val="center"/>
            <w:hideMark/>
          </w:tcPr>
          <w:p w:rsidR="00D037C9" w:rsidRPr="00D14F98" w:rsidRDefault="00D037C9" w:rsidP="00D14F98">
            <w:pPr>
              <w:pStyle w:val="142"/>
              <w:jc w:val="center"/>
            </w:pPr>
            <w:r w:rsidRPr="00D14F98">
              <w:rPr>
                <w:rFonts w:hint="eastAsia"/>
              </w:rPr>
              <w:t>案件數</w:t>
            </w:r>
          </w:p>
        </w:tc>
        <w:tc>
          <w:tcPr>
            <w:tcW w:w="725" w:type="dxa"/>
            <w:shd w:val="clear" w:color="auto" w:fill="auto"/>
            <w:vAlign w:val="center"/>
            <w:hideMark/>
          </w:tcPr>
          <w:p w:rsidR="00D037C9" w:rsidRPr="00D14F98" w:rsidRDefault="00D037C9" w:rsidP="00D14F98">
            <w:pPr>
              <w:pStyle w:val="142"/>
              <w:jc w:val="center"/>
            </w:pPr>
            <w:r w:rsidRPr="00D14F98">
              <w:rPr>
                <w:rFonts w:hint="eastAsia"/>
              </w:rPr>
              <w:t>人數</w:t>
            </w:r>
          </w:p>
        </w:tc>
        <w:tc>
          <w:tcPr>
            <w:tcW w:w="722" w:type="dxa"/>
            <w:shd w:val="clear" w:color="auto" w:fill="auto"/>
            <w:vAlign w:val="center"/>
            <w:hideMark/>
          </w:tcPr>
          <w:p w:rsidR="00D037C9" w:rsidRPr="00D14F98" w:rsidRDefault="00D037C9" w:rsidP="00D14F98">
            <w:pPr>
              <w:pStyle w:val="142"/>
              <w:jc w:val="center"/>
            </w:pPr>
            <w:r w:rsidRPr="00D14F98">
              <w:rPr>
                <w:rFonts w:hint="eastAsia"/>
              </w:rPr>
              <w:t>核發次數</w:t>
            </w:r>
          </w:p>
        </w:tc>
        <w:tc>
          <w:tcPr>
            <w:tcW w:w="1020" w:type="dxa"/>
            <w:shd w:val="clear" w:color="auto" w:fill="auto"/>
            <w:vAlign w:val="center"/>
            <w:hideMark/>
          </w:tcPr>
          <w:p w:rsidR="00D037C9" w:rsidRPr="00D14F98" w:rsidRDefault="00D037C9" w:rsidP="00D14F98">
            <w:pPr>
              <w:pStyle w:val="142"/>
              <w:jc w:val="center"/>
            </w:pPr>
            <w:r w:rsidRPr="00D14F98">
              <w:rPr>
                <w:rFonts w:hint="eastAsia"/>
              </w:rPr>
              <w:t>核發</w:t>
            </w:r>
          </w:p>
          <w:p w:rsidR="00D037C9" w:rsidRPr="00D14F98" w:rsidRDefault="00D037C9" w:rsidP="00D14F98">
            <w:pPr>
              <w:pStyle w:val="142"/>
              <w:jc w:val="center"/>
            </w:pPr>
            <w:r w:rsidRPr="00D14F98">
              <w:rPr>
                <w:rFonts w:hint="eastAsia"/>
              </w:rPr>
              <w:t>金額</w:t>
            </w:r>
          </w:p>
        </w:tc>
        <w:tc>
          <w:tcPr>
            <w:tcW w:w="836" w:type="dxa"/>
            <w:shd w:val="clear" w:color="auto" w:fill="auto"/>
            <w:vAlign w:val="center"/>
            <w:hideMark/>
          </w:tcPr>
          <w:p w:rsidR="00D037C9" w:rsidRPr="00D14F98" w:rsidRDefault="00D037C9" w:rsidP="00D14F98">
            <w:pPr>
              <w:pStyle w:val="142"/>
              <w:jc w:val="center"/>
            </w:pPr>
            <w:r w:rsidRPr="00D14F98">
              <w:rPr>
                <w:rFonts w:hint="eastAsia"/>
              </w:rPr>
              <w:t>案件數</w:t>
            </w:r>
          </w:p>
        </w:tc>
        <w:tc>
          <w:tcPr>
            <w:tcW w:w="916" w:type="dxa"/>
            <w:shd w:val="clear" w:color="auto" w:fill="auto"/>
            <w:vAlign w:val="center"/>
            <w:hideMark/>
          </w:tcPr>
          <w:p w:rsidR="00D037C9" w:rsidRPr="00D14F98" w:rsidRDefault="00D037C9" w:rsidP="00D14F98">
            <w:pPr>
              <w:pStyle w:val="142"/>
              <w:jc w:val="center"/>
            </w:pPr>
            <w:r w:rsidRPr="00D14F98">
              <w:rPr>
                <w:rFonts w:hint="eastAsia"/>
              </w:rPr>
              <w:t>人數</w:t>
            </w:r>
          </w:p>
        </w:tc>
        <w:tc>
          <w:tcPr>
            <w:tcW w:w="916" w:type="dxa"/>
            <w:shd w:val="clear" w:color="auto" w:fill="auto"/>
            <w:vAlign w:val="center"/>
            <w:hideMark/>
          </w:tcPr>
          <w:p w:rsidR="00D037C9" w:rsidRPr="00D14F98" w:rsidRDefault="00D037C9" w:rsidP="00D14F98">
            <w:pPr>
              <w:pStyle w:val="142"/>
              <w:jc w:val="center"/>
            </w:pPr>
            <w:r w:rsidRPr="00D14F98">
              <w:rPr>
                <w:rFonts w:hint="eastAsia"/>
              </w:rPr>
              <w:t>核發次數</w:t>
            </w:r>
          </w:p>
        </w:tc>
        <w:tc>
          <w:tcPr>
            <w:tcW w:w="976" w:type="dxa"/>
            <w:shd w:val="clear" w:color="auto" w:fill="auto"/>
            <w:vAlign w:val="center"/>
            <w:hideMark/>
          </w:tcPr>
          <w:p w:rsidR="00D037C9" w:rsidRPr="00D14F98" w:rsidRDefault="00D037C9" w:rsidP="00D14F98">
            <w:pPr>
              <w:pStyle w:val="142"/>
              <w:jc w:val="center"/>
            </w:pPr>
            <w:r w:rsidRPr="00D14F98">
              <w:rPr>
                <w:rFonts w:hint="eastAsia"/>
              </w:rPr>
              <w:t>核發金額</w:t>
            </w:r>
          </w:p>
        </w:tc>
      </w:tr>
      <w:tr w:rsidR="00D037C9" w:rsidRPr="00D14F98" w:rsidTr="00D14F98">
        <w:trPr>
          <w:trHeight w:val="20"/>
        </w:trPr>
        <w:tc>
          <w:tcPr>
            <w:tcW w:w="698" w:type="dxa"/>
            <w:shd w:val="clear" w:color="auto" w:fill="auto"/>
            <w:vAlign w:val="center"/>
            <w:hideMark/>
          </w:tcPr>
          <w:p w:rsidR="00D037C9" w:rsidRPr="00D14F98" w:rsidRDefault="00D037C9" w:rsidP="00D14F98">
            <w:pPr>
              <w:pStyle w:val="142"/>
              <w:jc w:val="center"/>
            </w:pPr>
            <w:r w:rsidRPr="00D14F98">
              <w:rPr>
                <w:rFonts w:hint="eastAsia"/>
              </w:rPr>
              <w:t>109</w:t>
            </w:r>
          </w:p>
        </w:tc>
        <w:tc>
          <w:tcPr>
            <w:tcW w:w="845" w:type="dxa"/>
            <w:shd w:val="clear" w:color="auto" w:fill="auto"/>
            <w:vAlign w:val="center"/>
            <w:hideMark/>
          </w:tcPr>
          <w:p w:rsidR="00D037C9" w:rsidRPr="00D14F98" w:rsidRDefault="00D037C9" w:rsidP="00D14F98">
            <w:pPr>
              <w:pStyle w:val="142"/>
              <w:jc w:val="right"/>
            </w:pPr>
            <w:r w:rsidRPr="00D14F98">
              <w:rPr>
                <w:rFonts w:hint="eastAsia"/>
              </w:rPr>
              <w:t>5</w:t>
            </w:r>
          </w:p>
        </w:tc>
        <w:tc>
          <w:tcPr>
            <w:tcW w:w="725" w:type="dxa"/>
            <w:shd w:val="clear" w:color="auto" w:fill="auto"/>
            <w:vAlign w:val="center"/>
            <w:hideMark/>
          </w:tcPr>
          <w:p w:rsidR="00D037C9" w:rsidRPr="00D14F98" w:rsidRDefault="00D037C9" w:rsidP="00D14F98">
            <w:pPr>
              <w:pStyle w:val="142"/>
              <w:jc w:val="right"/>
            </w:pPr>
            <w:r w:rsidRPr="00D14F98">
              <w:rPr>
                <w:rFonts w:hint="eastAsia"/>
              </w:rPr>
              <w:t>5</w:t>
            </w:r>
          </w:p>
        </w:tc>
        <w:tc>
          <w:tcPr>
            <w:tcW w:w="722" w:type="dxa"/>
            <w:shd w:val="clear" w:color="auto" w:fill="auto"/>
            <w:vAlign w:val="center"/>
            <w:hideMark/>
          </w:tcPr>
          <w:p w:rsidR="00D037C9" w:rsidRPr="00D14F98" w:rsidRDefault="00D037C9" w:rsidP="00D14F98">
            <w:pPr>
              <w:pStyle w:val="142"/>
              <w:jc w:val="right"/>
            </w:pPr>
            <w:r w:rsidRPr="00D14F98">
              <w:rPr>
                <w:rFonts w:hint="eastAsia"/>
              </w:rPr>
              <w:t>5</w:t>
            </w:r>
          </w:p>
        </w:tc>
        <w:tc>
          <w:tcPr>
            <w:tcW w:w="1020" w:type="dxa"/>
            <w:shd w:val="clear" w:color="auto" w:fill="auto"/>
            <w:vAlign w:val="center"/>
            <w:hideMark/>
          </w:tcPr>
          <w:p w:rsidR="00D037C9" w:rsidRPr="00D14F98" w:rsidRDefault="00D037C9" w:rsidP="00D14F98">
            <w:pPr>
              <w:pStyle w:val="142"/>
              <w:jc w:val="right"/>
            </w:pPr>
            <w:r w:rsidRPr="00D14F98">
              <w:rPr>
                <w:rFonts w:hint="eastAsia"/>
              </w:rPr>
              <w:t>321</w:t>
            </w:r>
          </w:p>
        </w:tc>
        <w:tc>
          <w:tcPr>
            <w:tcW w:w="83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76" w:type="dxa"/>
            <w:shd w:val="clear" w:color="auto" w:fill="auto"/>
            <w:vAlign w:val="center"/>
            <w:hideMark/>
          </w:tcPr>
          <w:p w:rsidR="00D037C9" w:rsidRPr="00D14F98" w:rsidRDefault="00D037C9" w:rsidP="00D14F98">
            <w:pPr>
              <w:pStyle w:val="142"/>
              <w:jc w:val="right"/>
            </w:pPr>
            <w:r w:rsidRPr="00D14F98">
              <w:rPr>
                <w:rFonts w:hint="eastAsia"/>
              </w:rPr>
              <w:t>25</w:t>
            </w:r>
          </w:p>
        </w:tc>
      </w:tr>
      <w:tr w:rsidR="00D037C9" w:rsidRPr="00D14F98" w:rsidTr="00D14F98">
        <w:trPr>
          <w:trHeight w:val="20"/>
        </w:trPr>
        <w:tc>
          <w:tcPr>
            <w:tcW w:w="698" w:type="dxa"/>
            <w:shd w:val="clear" w:color="auto" w:fill="auto"/>
            <w:vAlign w:val="center"/>
            <w:hideMark/>
          </w:tcPr>
          <w:p w:rsidR="00D037C9" w:rsidRPr="00D14F98" w:rsidRDefault="00D037C9" w:rsidP="00D14F98">
            <w:pPr>
              <w:pStyle w:val="142"/>
              <w:jc w:val="center"/>
            </w:pPr>
            <w:r w:rsidRPr="00D14F98">
              <w:rPr>
                <w:rFonts w:hint="eastAsia"/>
              </w:rPr>
              <w:t>110</w:t>
            </w:r>
          </w:p>
        </w:tc>
        <w:tc>
          <w:tcPr>
            <w:tcW w:w="84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2" w:type="dxa"/>
            <w:shd w:val="clear" w:color="auto" w:fill="auto"/>
            <w:vAlign w:val="center"/>
            <w:hideMark/>
          </w:tcPr>
          <w:p w:rsidR="00D037C9" w:rsidRPr="00D14F98" w:rsidRDefault="00D037C9" w:rsidP="00D14F98">
            <w:pPr>
              <w:pStyle w:val="142"/>
              <w:jc w:val="right"/>
            </w:pPr>
            <w:r w:rsidRPr="00D14F98">
              <w:rPr>
                <w:rFonts w:hint="eastAsia"/>
              </w:rPr>
              <w:t>4</w:t>
            </w:r>
          </w:p>
        </w:tc>
        <w:tc>
          <w:tcPr>
            <w:tcW w:w="1020" w:type="dxa"/>
            <w:shd w:val="clear" w:color="auto" w:fill="auto"/>
            <w:vAlign w:val="center"/>
            <w:hideMark/>
          </w:tcPr>
          <w:p w:rsidR="00D037C9" w:rsidRPr="00D14F98" w:rsidRDefault="00D037C9" w:rsidP="00D14F98">
            <w:pPr>
              <w:pStyle w:val="142"/>
              <w:jc w:val="right"/>
            </w:pPr>
            <w:r w:rsidRPr="00D14F98">
              <w:rPr>
                <w:rFonts w:hint="eastAsia"/>
              </w:rPr>
              <w:t>85</w:t>
            </w:r>
          </w:p>
        </w:tc>
        <w:tc>
          <w:tcPr>
            <w:tcW w:w="83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76" w:type="dxa"/>
            <w:shd w:val="clear" w:color="auto" w:fill="auto"/>
            <w:vAlign w:val="center"/>
            <w:hideMark/>
          </w:tcPr>
          <w:p w:rsidR="00D037C9" w:rsidRPr="00D14F98" w:rsidRDefault="00D037C9" w:rsidP="00D14F98">
            <w:pPr>
              <w:pStyle w:val="142"/>
              <w:jc w:val="right"/>
            </w:pPr>
            <w:r w:rsidRPr="00D14F98">
              <w:rPr>
                <w:rFonts w:hint="eastAsia"/>
              </w:rPr>
              <w:t>68.5</w:t>
            </w:r>
          </w:p>
        </w:tc>
      </w:tr>
      <w:tr w:rsidR="00D037C9" w:rsidRPr="00D14F98" w:rsidTr="00D14F98">
        <w:trPr>
          <w:trHeight w:val="20"/>
        </w:trPr>
        <w:tc>
          <w:tcPr>
            <w:tcW w:w="698" w:type="dxa"/>
            <w:shd w:val="clear" w:color="auto" w:fill="auto"/>
            <w:vAlign w:val="center"/>
            <w:hideMark/>
          </w:tcPr>
          <w:p w:rsidR="00D037C9" w:rsidRPr="00D14F98" w:rsidRDefault="00D037C9" w:rsidP="00D14F98">
            <w:pPr>
              <w:pStyle w:val="142"/>
              <w:jc w:val="center"/>
            </w:pPr>
            <w:r w:rsidRPr="00D14F98">
              <w:rPr>
                <w:rFonts w:hint="eastAsia"/>
              </w:rPr>
              <w:t>111</w:t>
            </w:r>
          </w:p>
        </w:tc>
        <w:tc>
          <w:tcPr>
            <w:tcW w:w="84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2" w:type="dxa"/>
            <w:shd w:val="clear" w:color="auto" w:fill="auto"/>
            <w:vAlign w:val="center"/>
            <w:hideMark/>
          </w:tcPr>
          <w:p w:rsidR="00D037C9" w:rsidRPr="00D14F98" w:rsidRDefault="00D037C9" w:rsidP="00D14F98">
            <w:pPr>
              <w:pStyle w:val="142"/>
              <w:jc w:val="right"/>
            </w:pPr>
            <w:r w:rsidRPr="00D14F98">
              <w:rPr>
                <w:rFonts w:hint="eastAsia"/>
              </w:rPr>
              <w:t>4</w:t>
            </w:r>
          </w:p>
        </w:tc>
        <w:tc>
          <w:tcPr>
            <w:tcW w:w="1020" w:type="dxa"/>
            <w:shd w:val="clear" w:color="auto" w:fill="auto"/>
            <w:vAlign w:val="center"/>
            <w:hideMark/>
          </w:tcPr>
          <w:p w:rsidR="00D037C9" w:rsidRPr="00D14F98" w:rsidRDefault="00D037C9" w:rsidP="00D14F98">
            <w:pPr>
              <w:pStyle w:val="142"/>
              <w:jc w:val="right"/>
            </w:pPr>
            <w:r w:rsidRPr="00D14F98">
              <w:rPr>
                <w:rFonts w:hint="eastAsia"/>
              </w:rPr>
              <w:t>119</w:t>
            </w:r>
          </w:p>
        </w:tc>
        <w:tc>
          <w:tcPr>
            <w:tcW w:w="836" w:type="dxa"/>
            <w:shd w:val="clear" w:color="auto" w:fill="auto"/>
            <w:vAlign w:val="center"/>
            <w:hideMark/>
          </w:tcPr>
          <w:p w:rsidR="00D037C9" w:rsidRPr="00D14F98" w:rsidRDefault="00D037C9" w:rsidP="00D14F98">
            <w:pPr>
              <w:pStyle w:val="142"/>
              <w:jc w:val="right"/>
            </w:pPr>
            <w:r w:rsidRPr="00D14F98">
              <w:rPr>
                <w:rFonts w:hint="eastAsia"/>
              </w:rPr>
              <w:t>2</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2</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2</w:t>
            </w:r>
          </w:p>
        </w:tc>
        <w:tc>
          <w:tcPr>
            <w:tcW w:w="976" w:type="dxa"/>
            <w:shd w:val="clear" w:color="auto" w:fill="auto"/>
            <w:vAlign w:val="center"/>
            <w:hideMark/>
          </w:tcPr>
          <w:p w:rsidR="00D037C9" w:rsidRPr="00D14F98" w:rsidRDefault="00D037C9" w:rsidP="00D14F98">
            <w:pPr>
              <w:pStyle w:val="142"/>
              <w:jc w:val="right"/>
            </w:pPr>
            <w:r w:rsidRPr="00D14F98">
              <w:rPr>
                <w:rFonts w:hint="eastAsia"/>
              </w:rPr>
              <w:t>56</w:t>
            </w:r>
          </w:p>
        </w:tc>
      </w:tr>
      <w:tr w:rsidR="00D037C9" w:rsidRPr="00D14F98" w:rsidTr="00D14F98">
        <w:trPr>
          <w:trHeight w:val="20"/>
        </w:trPr>
        <w:tc>
          <w:tcPr>
            <w:tcW w:w="698" w:type="dxa"/>
            <w:shd w:val="clear" w:color="auto" w:fill="auto"/>
            <w:vAlign w:val="center"/>
            <w:hideMark/>
          </w:tcPr>
          <w:p w:rsidR="00D037C9" w:rsidRPr="00D14F98" w:rsidRDefault="00D037C9" w:rsidP="00D14F98">
            <w:pPr>
              <w:pStyle w:val="142"/>
              <w:jc w:val="center"/>
            </w:pPr>
            <w:r w:rsidRPr="00D14F98">
              <w:rPr>
                <w:rFonts w:hint="eastAsia"/>
              </w:rPr>
              <w:t>112</w:t>
            </w:r>
          </w:p>
        </w:tc>
        <w:tc>
          <w:tcPr>
            <w:tcW w:w="84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2" w:type="dxa"/>
            <w:shd w:val="clear" w:color="auto" w:fill="auto"/>
            <w:vAlign w:val="center"/>
            <w:hideMark/>
          </w:tcPr>
          <w:p w:rsidR="00D037C9" w:rsidRPr="00D14F98" w:rsidRDefault="00D037C9" w:rsidP="00D14F98">
            <w:pPr>
              <w:pStyle w:val="142"/>
              <w:jc w:val="right"/>
            </w:pPr>
            <w:r w:rsidRPr="00D14F98">
              <w:rPr>
                <w:rFonts w:hint="eastAsia"/>
              </w:rPr>
              <w:t>4</w:t>
            </w:r>
          </w:p>
        </w:tc>
        <w:tc>
          <w:tcPr>
            <w:tcW w:w="1020" w:type="dxa"/>
            <w:shd w:val="clear" w:color="auto" w:fill="auto"/>
            <w:vAlign w:val="center"/>
            <w:hideMark/>
          </w:tcPr>
          <w:p w:rsidR="00D037C9" w:rsidRPr="00D14F98" w:rsidRDefault="00D037C9" w:rsidP="00D14F98">
            <w:pPr>
              <w:pStyle w:val="142"/>
              <w:jc w:val="right"/>
            </w:pPr>
            <w:r w:rsidRPr="00D14F98">
              <w:rPr>
                <w:rFonts w:hint="eastAsia"/>
              </w:rPr>
              <w:t>74.5</w:t>
            </w:r>
          </w:p>
        </w:tc>
        <w:tc>
          <w:tcPr>
            <w:tcW w:w="83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76" w:type="dxa"/>
            <w:shd w:val="clear" w:color="auto" w:fill="auto"/>
            <w:vAlign w:val="center"/>
            <w:hideMark/>
          </w:tcPr>
          <w:p w:rsidR="00D037C9" w:rsidRPr="00D14F98" w:rsidRDefault="00D037C9" w:rsidP="00D14F98">
            <w:pPr>
              <w:pStyle w:val="142"/>
              <w:jc w:val="right"/>
            </w:pPr>
            <w:r w:rsidRPr="00D14F98">
              <w:rPr>
                <w:rFonts w:hint="eastAsia"/>
              </w:rPr>
              <w:t>123</w:t>
            </w:r>
          </w:p>
        </w:tc>
      </w:tr>
      <w:tr w:rsidR="00D037C9" w:rsidRPr="00D14F98" w:rsidTr="00D14F98">
        <w:trPr>
          <w:trHeight w:val="20"/>
        </w:trPr>
        <w:tc>
          <w:tcPr>
            <w:tcW w:w="698" w:type="dxa"/>
            <w:shd w:val="clear" w:color="auto" w:fill="auto"/>
            <w:vAlign w:val="center"/>
            <w:hideMark/>
          </w:tcPr>
          <w:p w:rsidR="00D037C9" w:rsidRPr="00D14F98" w:rsidRDefault="00D037C9" w:rsidP="00D14F98">
            <w:pPr>
              <w:pStyle w:val="142"/>
              <w:jc w:val="center"/>
            </w:pPr>
            <w:r w:rsidRPr="00D14F98">
              <w:rPr>
                <w:rFonts w:hint="eastAsia"/>
              </w:rPr>
              <w:t>113</w:t>
            </w:r>
          </w:p>
        </w:tc>
        <w:tc>
          <w:tcPr>
            <w:tcW w:w="845" w:type="dxa"/>
            <w:shd w:val="clear" w:color="auto" w:fill="auto"/>
            <w:vAlign w:val="center"/>
            <w:hideMark/>
          </w:tcPr>
          <w:p w:rsidR="00D037C9" w:rsidRPr="00D14F98" w:rsidRDefault="00D037C9" w:rsidP="00D14F98">
            <w:pPr>
              <w:pStyle w:val="142"/>
              <w:jc w:val="right"/>
            </w:pPr>
            <w:r w:rsidRPr="00D14F98">
              <w:rPr>
                <w:rFonts w:hint="eastAsia"/>
              </w:rPr>
              <w:t>9</w:t>
            </w:r>
          </w:p>
        </w:tc>
        <w:tc>
          <w:tcPr>
            <w:tcW w:w="725" w:type="dxa"/>
            <w:shd w:val="clear" w:color="auto" w:fill="auto"/>
            <w:vAlign w:val="center"/>
            <w:hideMark/>
          </w:tcPr>
          <w:p w:rsidR="00D037C9" w:rsidRPr="00D14F98" w:rsidRDefault="00D037C9" w:rsidP="00D14F98">
            <w:pPr>
              <w:pStyle w:val="142"/>
              <w:jc w:val="right"/>
            </w:pPr>
            <w:r w:rsidRPr="00D14F98">
              <w:rPr>
                <w:rFonts w:hint="eastAsia"/>
              </w:rPr>
              <w:t>9</w:t>
            </w:r>
          </w:p>
        </w:tc>
        <w:tc>
          <w:tcPr>
            <w:tcW w:w="722" w:type="dxa"/>
            <w:shd w:val="clear" w:color="auto" w:fill="auto"/>
            <w:vAlign w:val="center"/>
            <w:hideMark/>
          </w:tcPr>
          <w:p w:rsidR="00D037C9" w:rsidRPr="00D14F98" w:rsidRDefault="00D037C9" w:rsidP="00D14F98">
            <w:pPr>
              <w:pStyle w:val="142"/>
              <w:jc w:val="right"/>
            </w:pPr>
            <w:r w:rsidRPr="00D14F98">
              <w:rPr>
                <w:rFonts w:hint="eastAsia"/>
              </w:rPr>
              <w:t>9</w:t>
            </w:r>
          </w:p>
        </w:tc>
        <w:tc>
          <w:tcPr>
            <w:tcW w:w="1020" w:type="dxa"/>
            <w:shd w:val="clear" w:color="auto" w:fill="auto"/>
            <w:vAlign w:val="center"/>
            <w:hideMark/>
          </w:tcPr>
          <w:p w:rsidR="00D037C9" w:rsidRPr="00D14F98" w:rsidRDefault="00D037C9" w:rsidP="00F277C7">
            <w:pPr>
              <w:pStyle w:val="142"/>
              <w:jc w:val="right"/>
            </w:pPr>
            <w:r w:rsidRPr="00D14F98">
              <w:rPr>
                <w:rFonts w:hint="eastAsia"/>
              </w:rPr>
              <w:t>1,416.5</w:t>
            </w:r>
          </w:p>
        </w:tc>
        <w:tc>
          <w:tcPr>
            <w:tcW w:w="83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76" w:type="dxa"/>
            <w:shd w:val="clear" w:color="auto" w:fill="auto"/>
            <w:vAlign w:val="center"/>
            <w:hideMark/>
          </w:tcPr>
          <w:p w:rsidR="00D037C9" w:rsidRPr="00D14F98" w:rsidRDefault="00D037C9" w:rsidP="00D14F98">
            <w:pPr>
              <w:pStyle w:val="142"/>
              <w:jc w:val="right"/>
            </w:pPr>
            <w:r w:rsidRPr="00D14F98">
              <w:rPr>
                <w:rFonts w:hint="eastAsia"/>
              </w:rPr>
              <w:t>100</w:t>
            </w:r>
          </w:p>
        </w:tc>
      </w:tr>
    </w:tbl>
    <w:p w:rsidR="00D14F98" w:rsidRDefault="00D14F98" w:rsidP="00D14F98">
      <w:pPr>
        <w:tabs>
          <w:tab w:val="left" w:pos="709"/>
        </w:tabs>
        <w:spacing w:line="280" w:lineRule="exact"/>
        <w:ind w:leftChars="300" w:left="981" w:rightChars="-67" w:right="-190" w:hangingChars="54" w:hanging="131"/>
        <w:rPr>
          <w:rFonts w:hAnsi="標楷體"/>
          <w:sz w:val="24"/>
          <w:szCs w:val="24"/>
        </w:rPr>
      </w:pPr>
      <w:r>
        <w:rPr>
          <w:rFonts w:hAnsi="標楷體" w:hint="eastAsia"/>
          <w:sz w:val="24"/>
          <w:szCs w:val="24"/>
        </w:rPr>
        <w:t>說    明</w:t>
      </w:r>
      <w:r w:rsidRPr="000E2527">
        <w:rPr>
          <w:rFonts w:hAnsi="標楷體" w:hint="eastAsia"/>
          <w:sz w:val="24"/>
          <w:szCs w:val="24"/>
        </w:rPr>
        <w:t>：113年度係</w:t>
      </w:r>
      <w:r>
        <w:rPr>
          <w:rFonts w:hAnsi="標楷體" w:hint="eastAsia"/>
          <w:sz w:val="24"/>
          <w:szCs w:val="24"/>
        </w:rPr>
        <w:t>113年</w:t>
      </w:r>
      <w:r w:rsidRPr="000E2527">
        <w:rPr>
          <w:rFonts w:hAnsi="標楷體" w:hint="eastAsia"/>
          <w:sz w:val="24"/>
          <w:szCs w:val="24"/>
        </w:rPr>
        <w:t>截至7月底止數據。</w:t>
      </w:r>
    </w:p>
    <w:p w:rsidR="00D14F98" w:rsidRPr="000E2527" w:rsidRDefault="00D14F98" w:rsidP="00D14F98">
      <w:pPr>
        <w:tabs>
          <w:tab w:val="left" w:pos="709"/>
        </w:tabs>
        <w:spacing w:line="280" w:lineRule="exact"/>
        <w:ind w:leftChars="300" w:left="981" w:rightChars="-67" w:right="-190" w:hangingChars="54" w:hanging="131"/>
        <w:rPr>
          <w:rFonts w:hAnsi="標楷體" w:hint="eastAsia"/>
          <w:sz w:val="24"/>
          <w:szCs w:val="24"/>
        </w:rPr>
      </w:pPr>
      <w:r>
        <w:rPr>
          <w:rFonts w:hAnsi="標楷體" w:hint="eastAsia"/>
          <w:sz w:val="24"/>
          <w:szCs w:val="24"/>
        </w:rPr>
        <w:t>資料來源：警政署。</w:t>
      </w:r>
    </w:p>
    <w:p w:rsidR="00485092" w:rsidRPr="00E4016E" w:rsidRDefault="00485092" w:rsidP="00D14F98">
      <w:pPr>
        <w:pStyle w:val="a7"/>
        <w:ind w:left="849" w:hanging="283"/>
        <w:rPr>
          <w:rFonts w:hAnsi="標楷體" w:cs="細明體"/>
          <w:b/>
        </w:rPr>
      </w:pPr>
      <w:r>
        <w:rPr>
          <w:rFonts w:hAnsi="標楷體" w:cs="細明體" w:hint="eastAsia"/>
          <w:b/>
        </w:rPr>
        <w:t>(三)</w:t>
      </w:r>
      <w:r w:rsidR="00D005B7">
        <w:rPr>
          <w:rFonts w:hAnsi="標楷體" w:cs="細明體" w:hint="eastAsia"/>
          <w:b/>
        </w:rPr>
        <w:t>為</w:t>
      </w:r>
      <w:r w:rsidR="00D005B7" w:rsidRPr="00E4016E">
        <w:rPr>
          <w:rFonts w:hAnsi="標楷體" w:cs="細明體" w:hint="eastAsia"/>
          <w:b/>
        </w:rPr>
        <w:t>保障警消職業安全與權益</w:t>
      </w:r>
      <w:r w:rsidR="00D005B7">
        <w:rPr>
          <w:rFonts w:hAnsi="標楷體" w:cs="細明體" w:hint="eastAsia"/>
          <w:b/>
        </w:rPr>
        <w:t>，</w:t>
      </w:r>
      <w:r w:rsidRPr="00E4016E">
        <w:rPr>
          <w:rFonts w:hAnsi="標楷體" w:cs="細明體" w:hint="eastAsia"/>
          <w:b/>
        </w:rPr>
        <w:t>允宜提升安全條件並強化事件</w:t>
      </w:r>
      <w:r w:rsidRPr="00E4016E">
        <w:rPr>
          <w:rFonts w:hAnsi="標楷體" w:cs="細明體" w:hint="eastAsia"/>
          <w:b/>
        </w:rPr>
        <w:lastRenderedPageBreak/>
        <w:t>調查</w:t>
      </w:r>
    </w:p>
    <w:p w:rsidR="00485092" w:rsidRDefault="00152633" w:rsidP="00485092">
      <w:pPr>
        <w:pStyle w:val="22"/>
        <w:ind w:left="850" w:firstLine="566"/>
        <w:rPr>
          <w:color w:val="FF0000"/>
        </w:rPr>
      </w:pPr>
      <w:r>
        <w:rPr>
          <w:rFonts w:hint="eastAsia"/>
        </w:rPr>
        <w:t>謹就</w:t>
      </w:r>
      <w:r w:rsidR="00485092">
        <w:rPr>
          <w:rFonts w:hint="eastAsia"/>
        </w:rPr>
        <w:t>上開死傷人數及核發金額增加之</w:t>
      </w:r>
      <w:r w:rsidR="00485092" w:rsidRPr="004D3BB5">
        <w:rPr>
          <w:rFonts w:hint="eastAsia"/>
        </w:rPr>
        <w:t>主</w:t>
      </w:r>
      <w:r w:rsidR="00485092">
        <w:rPr>
          <w:rFonts w:hint="eastAsia"/>
        </w:rPr>
        <w:t>要原因</w:t>
      </w:r>
      <w:r>
        <w:rPr>
          <w:rFonts w:hint="eastAsia"/>
        </w:rPr>
        <w:t>整理</w:t>
      </w:r>
      <w:r w:rsidR="00485092">
        <w:rPr>
          <w:rFonts w:hint="eastAsia"/>
        </w:rPr>
        <w:t>如下：</w:t>
      </w:r>
    </w:p>
    <w:p w:rsidR="00A70E07" w:rsidRPr="00D14FC0" w:rsidRDefault="00485092" w:rsidP="00A70E07">
      <w:pPr>
        <w:pStyle w:val="1231"/>
        <w:ind w:left="1133" w:hanging="283"/>
        <w:rPr>
          <w:b/>
        </w:rPr>
      </w:pPr>
      <w:r w:rsidRPr="00D14FC0">
        <w:rPr>
          <w:rFonts w:hint="eastAsia"/>
          <w:b/>
        </w:rPr>
        <w:lastRenderedPageBreak/>
        <w:t>1.死亡：</w:t>
      </w:r>
    </w:p>
    <w:p w:rsidR="00485092" w:rsidRDefault="00485092" w:rsidP="00A70E07">
      <w:pPr>
        <w:pStyle w:val="1233"/>
        <w:ind w:left="1416" w:hanging="283"/>
      </w:pPr>
      <w:r>
        <w:rPr>
          <w:rFonts w:hint="eastAsia"/>
        </w:rPr>
        <w:t>(1)113年度遭受歹徒暴力攻擊死亡者核發人數1人、</w:t>
      </w:r>
      <w:r w:rsidR="00D14FC0">
        <w:rPr>
          <w:rFonts w:hint="eastAsia"/>
        </w:rPr>
        <w:t>核發</w:t>
      </w:r>
      <w:r>
        <w:rPr>
          <w:rFonts w:hint="eastAsia"/>
        </w:rPr>
        <w:t>金額新臺幣300萬元，主要係因113年度發生犯嫌駕駛小貨車衝撞基隆市警察局八堵分駐所，造成1名警員殉職。</w:t>
      </w:r>
    </w:p>
    <w:p w:rsidR="00485092" w:rsidRDefault="00485092" w:rsidP="00A70E07">
      <w:pPr>
        <w:pStyle w:val="1233"/>
        <w:ind w:left="1416" w:hanging="283"/>
      </w:pPr>
      <w:r>
        <w:rPr>
          <w:rFonts w:hint="eastAsia"/>
        </w:rPr>
        <w:t>(2)113年度執行救災(難)救護死亡者核發人數5人、</w:t>
      </w:r>
      <w:r w:rsidR="00D14FC0">
        <w:rPr>
          <w:rFonts w:hint="eastAsia"/>
        </w:rPr>
        <w:t>核發</w:t>
      </w:r>
      <w:r>
        <w:rPr>
          <w:rFonts w:hint="eastAsia"/>
        </w:rPr>
        <w:t>金額新臺幣1,500萬元，主要係屏東公墓、屏東明揚</w:t>
      </w:r>
      <w:r w:rsidR="00D14FC0">
        <w:rPr>
          <w:rFonts w:hint="eastAsia"/>
        </w:rPr>
        <w:t>及</w:t>
      </w:r>
      <w:r>
        <w:rPr>
          <w:rFonts w:hint="eastAsia"/>
        </w:rPr>
        <w:t>新竹移工宿舍</w:t>
      </w:r>
      <w:r w:rsidR="00AE7C86">
        <w:rPr>
          <w:rFonts w:hint="eastAsia"/>
        </w:rPr>
        <w:t>等地發生</w:t>
      </w:r>
      <w:r>
        <w:rPr>
          <w:rFonts w:hint="eastAsia"/>
        </w:rPr>
        <w:t>火</w:t>
      </w:r>
      <w:r w:rsidR="00D14FC0">
        <w:rPr>
          <w:rFonts w:hint="eastAsia"/>
        </w:rPr>
        <w:t>災，</w:t>
      </w:r>
      <w:r w:rsidR="00AE7C86">
        <w:rPr>
          <w:rFonts w:hint="eastAsia"/>
        </w:rPr>
        <w:t>致</w:t>
      </w:r>
      <w:r>
        <w:rPr>
          <w:rFonts w:hint="eastAsia"/>
        </w:rPr>
        <w:t>消防員殉職。</w:t>
      </w:r>
    </w:p>
    <w:p w:rsidR="00485092" w:rsidRPr="00072DCB" w:rsidRDefault="00485092" w:rsidP="00A70E07">
      <w:pPr>
        <w:pStyle w:val="1231"/>
        <w:ind w:left="1133" w:hanging="283"/>
        <w:rPr>
          <w:b/>
        </w:rPr>
      </w:pPr>
      <w:r w:rsidRPr="00072DCB">
        <w:rPr>
          <w:rFonts w:hint="eastAsia"/>
          <w:b/>
        </w:rPr>
        <w:t>2.受傷：</w:t>
      </w:r>
      <w:r w:rsidRPr="00072DCB">
        <w:rPr>
          <w:b/>
        </w:rPr>
        <w:t xml:space="preserve"> </w:t>
      </w:r>
    </w:p>
    <w:p w:rsidR="00485092" w:rsidRPr="000D7E5C" w:rsidRDefault="00485092" w:rsidP="00A70E07">
      <w:pPr>
        <w:pStyle w:val="1233"/>
        <w:ind w:left="1416" w:hanging="283"/>
      </w:pPr>
      <w:r>
        <w:rPr>
          <w:rFonts w:hint="eastAsia"/>
        </w:rPr>
        <w:t>(1)</w:t>
      </w:r>
      <w:r w:rsidRPr="000D7E5C">
        <w:rPr>
          <w:rFonts w:hint="eastAsia"/>
        </w:rPr>
        <w:t>113年度執行救災(難)、救護</w:t>
      </w:r>
      <w:r>
        <w:rPr>
          <w:rFonts w:hint="eastAsia"/>
        </w:rPr>
        <w:t>受傷</w:t>
      </w:r>
      <w:r w:rsidRPr="000D7E5C">
        <w:rPr>
          <w:rFonts w:hint="eastAsia"/>
        </w:rPr>
        <w:t>者核發人數較112年度多5人、金額多新臺幣1</w:t>
      </w:r>
      <w:r>
        <w:rPr>
          <w:rFonts w:hint="eastAsia"/>
        </w:rPr>
        <w:t>34</w:t>
      </w:r>
      <w:r w:rsidR="00F277C7">
        <w:rPr>
          <w:rFonts w:hint="eastAsia"/>
        </w:rPr>
        <w:t>.2</w:t>
      </w:r>
      <w:r w:rsidRPr="000D7E5C">
        <w:rPr>
          <w:rFonts w:hint="eastAsia"/>
        </w:rPr>
        <w:t>萬元，主要係屏東明揚大火致1名消防員全失能</w:t>
      </w:r>
      <w:r w:rsidR="002A0B24">
        <w:rPr>
          <w:rFonts w:hint="eastAsia"/>
        </w:rPr>
        <w:t>故核發</w:t>
      </w:r>
      <w:r w:rsidRPr="000D7E5C">
        <w:rPr>
          <w:rFonts w:hint="eastAsia"/>
        </w:rPr>
        <w:t>新臺幣100萬元</w:t>
      </w:r>
      <w:r w:rsidR="002A0B24">
        <w:rPr>
          <w:rFonts w:hint="eastAsia"/>
        </w:rPr>
        <w:t>，以</w:t>
      </w:r>
      <w:r w:rsidRPr="000D7E5C">
        <w:rPr>
          <w:rFonts w:hint="eastAsia"/>
        </w:rPr>
        <w:t>及</w:t>
      </w:r>
      <w:r w:rsidR="00592AF0">
        <w:rPr>
          <w:rFonts w:hint="eastAsia"/>
        </w:rPr>
        <w:t>該次</w:t>
      </w:r>
      <w:r w:rsidR="00C21094">
        <w:rPr>
          <w:rFonts w:hint="eastAsia"/>
        </w:rPr>
        <w:t>火災</w:t>
      </w:r>
      <w:r w:rsidRPr="000D7E5C">
        <w:rPr>
          <w:rFonts w:hint="eastAsia"/>
        </w:rPr>
        <w:t>受傷人員較多所致。</w:t>
      </w:r>
    </w:p>
    <w:p w:rsidR="00485092" w:rsidRDefault="00485092" w:rsidP="00A70E07">
      <w:pPr>
        <w:pStyle w:val="1233"/>
        <w:ind w:left="1416" w:hanging="283"/>
      </w:pPr>
      <w:r>
        <w:rPr>
          <w:rFonts w:hint="eastAsia"/>
        </w:rPr>
        <w:t>(2)</w:t>
      </w:r>
      <w:r w:rsidRPr="000D7E5C">
        <w:rPr>
          <w:rFonts w:hint="eastAsia"/>
        </w:rPr>
        <w:t>112年度處理交通事故現場發生意外致受傷者核發人數較111年多1人、金額多</w:t>
      </w:r>
      <w:r>
        <w:rPr>
          <w:rFonts w:hint="eastAsia"/>
        </w:rPr>
        <w:t>6</w:t>
      </w:r>
      <w:r w:rsidR="00592AF0">
        <w:rPr>
          <w:rFonts w:hint="eastAsia"/>
        </w:rPr>
        <w:t>.7</w:t>
      </w:r>
      <w:r w:rsidRPr="000D7E5C">
        <w:rPr>
          <w:rFonts w:hint="eastAsia"/>
        </w:rPr>
        <w:t>萬元，主要係112年度核發案件</w:t>
      </w:r>
      <w:r w:rsidR="00297ED3">
        <w:rPr>
          <w:rFonts w:hint="eastAsia"/>
        </w:rPr>
        <w:t>中</w:t>
      </w:r>
      <w:r w:rsidRPr="000D7E5C">
        <w:rPr>
          <w:rFonts w:hint="eastAsia"/>
        </w:rPr>
        <w:t>，有2案受傷</w:t>
      </w:r>
      <w:r w:rsidR="00297ED3">
        <w:rPr>
          <w:rFonts w:hint="eastAsia"/>
        </w:rPr>
        <w:t>人員</w:t>
      </w:r>
      <w:r w:rsidRPr="000D7E5C">
        <w:rPr>
          <w:rFonts w:hint="eastAsia"/>
        </w:rPr>
        <w:t>住院天數較長</w:t>
      </w:r>
      <w:r w:rsidR="00297ED3">
        <w:rPr>
          <w:rFonts w:hint="eastAsia"/>
        </w:rPr>
        <w:t>所致</w:t>
      </w:r>
      <w:r w:rsidRPr="000D7E5C">
        <w:rPr>
          <w:rFonts w:hint="eastAsia"/>
        </w:rPr>
        <w:t>。</w:t>
      </w:r>
    </w:p>
    <w:p w:rsidR="00485092" w:rsidRDefault="00485092" w:rsidP="00485092">
      <w:pPr>
        <w:pStyle w:val="22"/>
        <w:ind w:left="850" w:firstLine="566"/>
      </w:pPr>
      <w:r w:rsidRPr="002F4CEF">
        <w:rPr>
          <w:rFonts w:hint="eastAsia"/>
        </w:rPr>
        <w:t>由上開死傷原因</w:t>
      </w:r>
      <w:r w:rsidR="00D66A08">
        <w:rPr>
          <w:rFonts w:hint="eastAsia"/>
        </w:rPr>
        <w:t>分析</w:t>
      </w:r>
      <w:r w:rsidRPr="002F4CEF">
        <w:rPr>
          <w:rFonts w:hint="eastAsia"/>
        </w:rPr>
        <w:t>，</w:t>
      </w:r>
      <w:r w:rsidR="008C1C0E">
        <w:rPr>
          <w:rFonts w:hint="eastAsia"/>
        </w:rPr>
        <w:t>歹徒暴力攻擊</w:t>
      </w:r>
      <w:r w:rsidR="00D66A08">
        <w:rPr>
          <w:rFonts w:hint="eastAsia"/>
        </w:rPr>
        <w:t>及衝撞案件</w:t>
      </w:r>
      <w:r w:rsidR="008C1C0E">
        <w:rPr>
          <w:rFonts w:hint="eastAsia"/>
        </w:rPr>
        <w:t>、</w:t>
      </w:r>
      <w:r w:rsidR="00E0167F">
        <w:rPr>
          <w:rFonts w:hint="eastAsia"/>
        </w:rPr>
        <w:t>化學工廠</w:t>
      </w:r>
      <w:r w:rsidR="001717FA">
        <w:rPr>
          <w:rFonts w:hint="eastAsia"/>
        </w:rPr>
        <w:t>等地</w:t>
      </w:r>
      <w:r w:rsidR="00E0167F">
        <w:rPr>
          <w:rFonts w:hint="eastAsia"/>
        </w:rPr>
        <w:t>火災及交通事故現場之治安</w:t>
      </w:r>
      <w:r w:rsidR="00D66A08">
        <w:rPr>
          <w:rFonts w:hint="eastAsia"/>
        </w:rPr>
        <w:t>維護</w:t>
      </w:r>
      <w:r w:rsidR="00E0167F">
        <w:rPr>
          <w:rFonts w:hint="eastAsia"/>
        </w:rPr>
        <w:t>及救災</w:t>
      </w:r>
      <w:r w:rsidR="00D66A08">
        <w:rPr>
          <w:rFonts w:hint="eastAsia"/>
        </w:rPr>
        <w:t>執勤人</w:t>
      </w:r>
      <w:r w:rsidR="00A7767D">
        <w:rPr>
          <w:rFonts w:hint="eastAsia"/>
        </w:rPr>
        <w:t>力均</w:t>
      </w:r>
      <w:r w:rsidR="00D66A08">
        <w:rPr>
          <w:rFonts w:hint="eastAsia"/>
        </w:rPr>
        <w:t>承受極高風險，足徵</w:t>
      </w:r>
      <w:r w:rsidRPr="002F4CEF">
        <w:rPr>
          <w:rFonts w:hint="eastAsia"/>
        </w:rPr>
        <w:t>強化警消人員</w:t>
      </w:r>
      <w:r w:rsidR="00D66A08">
        <w:rPr>
          <w:rFonts w:hint="eastAsia"/>
        </w:rPr>
        <w:t>值勤時</w:t>
      </w:r>
      <w:r w:rsidRPr="002F4CEF">
        <w:rPr>
          <w:rFonts w:hint="eastAsia"/>
        </w:rPr>
        <w:t>維持救災安全</w:t>
      </w:r>
      <w:r w:rsidR="00D66A08">
        <w:rPr>
          <w:rFonts w:hint="eastAsia"/>
        </w:rPr>
        <w:t>及自保</w:t>
      </w:r>
      <w:r w:rsidRPr="002F4CEF">
        <w:rPr>
          <w:rFonts w:hint="eastAsia"/>
        </w:rPr>
        <w:t>之重要性</w:t>
      </w:r>
      <w:r w:rsidR="00D66A08">
        <w:rPr>
          <w:rFonts w:hint="eastAsia"/>
        </w:rPr>
        <w:t>。</w:t>
      </w:r>
      <w:r>
        <w:rPr>
          <w:rFonts w:hint="eastAsia"/>
        </w:rPr>
        <w:t>為減少警消傷亡事件，</w:t>
      </w:r>
      <w:r w:rsidRPr="002F4CEF">
        <w:rPr>
          <w:rFonts w:hint="eastAsia"/>
        </w:rPr>
        <w:t>允宜</w:t>
      </w:r>
      <w:r>
        <w:rPr>
          <w:rFonts w:hint="eastAsia"/>
        </w:rPr>
        <w:t>提升安全條件並強化事件調查，釐清警消傷亡事故原因，並研謀符合基層需求之方案，以保障警消職業安全與權益。</w:t>
      </w:r>
    </w:p>
    <w:p w:rsidR="00CB5AA4" w:rsidRDefault="00CB5AA4" w:rsidP="00CB5AA4">
      <w:pPr>
        <w:ind w:left="566" w:firstLine="566"/>
      </w:pPr>
      <w:r w:rsidRPr="006E1715">
        <w:rPr>
          <w:rFonts w:hint="eastAsia"/>
        </w:rPr>
        <w:t>綜上，警民基金辦理執行勤務死亡遺族生活照護計畫及執行勤務受傷人員醫療計畫，</w:t>
      </w:r>
      <w:r w:rsidRPr="009868F3">
        <w:rPr>
          <w:rFonts w:hint="eastAsia"/>
        </w:rPr>
        <w:t>惟113年度遭受歹徒暴力攻擊死亡者</w:t>
      </w:r>
      <w:r>
        <w:rPr>
          <w:rFonts w:hint="eastAsia"/>
        </w:rPr>
        <w:t>、</w:t>
      </w:r>
      <w:r w:rsidRPr="009868F3">
        <w:rPr>
          <w:rFonts w:hint="eastAsia"/>
        </w:rPr>
        <w:t>執行救災(難)救護死傷者核發人數</w:t>
      </w:r>
      <w:r w:rsidR="007723E3">
        <w:rPr>
          <w:rFonts w:hint="eastAsia"/>
        </w:rPr>
        <w:t>均</w:t>
      </w:r>
      <w:r>
        <w:rPr>
          <w:rFonts w:hint="eastAsia"/>
        </w:rPr>
        <w:t>較</w:t>
      </w:r>
      <w:r w:rsidRPr="009868F3">
        <w:rPr>
          <w:rFonts w:hint="eastAsia"/>
        </w:rPr>
        <w:t>112年度</w:t>
      </w:r>
      <w:r>
        <w:rPr>
          <w:rFonts w:hint="eastAsia"/>
        </w:rPr>
        <w:t>增加，且因死傷</w:t>
      </w:r>
      <w:r>
        <w:rPr>
          <w:rFonts w:hint="eastAsia"/>
        </w:rPr>
        <w:lastRenderedPageBreak/>
        <w:t>情形較為嚴重，核發金額亦隨之上升；基此，允宜調查並釐清事故發生及死傷原因，強化值勤人員維護治安及救災時之安全，俾</w:t>
      </w:r>
      <w:r>
        <w:rPr>
          <w:rFonts w:hint="eastAsia"/>
        </w:rPr>
        <w:lastRenderedPageBreak/>
        <w:t>保障警消等人員之權益。</w:t>
      </w:r>
    </w:p>
    <w:bookmarkEnd w:id="5"/>
    <w:bookmarkEnd w:id="6"/>
    <w:bookmarkEnd w:id="7"/>
    <w:bookmarkEnd w:id="0"/>
    <w:sectPr w:rsidR="00CB5AA4"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056" w:rsidRDefault="00FC3056" w:rsidP="002C78D6">
      <w:pPr>
        <w:spacing w:line="240" w:lineRule="auto"/>
        <w:ind w:left="560" w:firstLine="560"/>
      </w:pPr>
      <w:r>
        <w:separator/>
      </w:r>
    </w:p>
  </w:endnote>
  <w:endnote w:type="continuationSeparator" w:id="0">
    <w:p w:rsidR="00FC3056" w:rsidRDefault="00FC3056"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5"/>
      <w:ind w:leftChars="0" w:left="0" w:firstLineChars="0" w:firstLine="0"/>
      <w:jc w:val="center"/>
    </w:pPr>
    <w:r>
      <w:fldChar w:fldCharType="begin"/>
    </w:r>
    <w:r>
      <w:instrText>PAGE   \* MERGEFORMAT</w:instrText>
    </w:r>
    <w:r>
      <w:fldChar w:fldCharType="separate"/>
    </w:r>
    <w:r w:rsidR="00E410EA" w:rsidRPr="00E410E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056" w:rsidRDefault="00FC3056" w:rsidP="002C78D6">
      <w:pPr>
        <w:spacing w:line="240" w:lineRule="auto"/>
        <w:ind w:left="560" w:firstLine="560"/>
      </w:pPr>
      <w:r>
        <w:separator/>
      </w:r>
    </w:p>
  </w:footnote>
  <w:footnote w:type="continuationSeparator" w:id="0">
    <w:p w:rsidR="00FC3056" w:rsidRDefault="00FC3056"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1"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15A17"/>
    <w:rsid w:val="000304AA"/>
    <w:rsid w:val="00031A9F"/>
    <w:rsid w:val="00034D58"/>
    <w:rsid w:val="00056065"/>
    <w:rsid w:val="00061042"/>
    <w:rsid w:val="00062F98"/>
    <w:rsid w:val="00064B21"/>
    <w:rsid w:val="00072DCB"/>
    <w:rsid w:val="00093271"/>
    <w:rsid w:val="000A5D73"/>
    <w:rsid w:val="000A6805"/>
    <w:rsid w:val="000A797E"/>
    <w:rsid w:val="000B44A2"/>
    <w:rsid w:val="000B70F5"/>
    <w:rsid w:val="000C0A26"/>
    <w:rsid w:val="000D1F39"/>
    <w:rsid w:val="000D3740"/>
    <w:rsid w:val="000D61A3"/>
    <w:rsid w:val="000E469B"/>
    <w:rsid w:val="00102888"/>
    <w:rsid w:val="001054B0"/>
    <w:rsid w:val="00111B71"/>
    <w:rsid w:val="001144A0"/>
    <w:rsid w:val="0012159B"/>
    <w:rsid w:val="001308A9"/>
    <w:rsid w:val="00133280"/>
    <w:rsid w:val="00136907"/>
    <w:rsid w:val="00141F24"/>
    <w:rsid w:val="00142047"/>
    <w:rsid w:val="00152633"/>
    <w:rsid w:val="00154C04"/>
    <w:rsid w:val="00163E54"/>
    <w:rsid w:val="001675C8"/>
    <w:rsid w:val="001717FA"/>
    <w:rsid w:val="0017257F"/>
    <w:rsid w:val="00184D82"/>
    <w:rsid w:val="00187AE2"/>
    <w:rsid w:val="00190EE6"/>
    <w:rsid w:val="001A0665"/>
    <w:rsid w:val="001A4DF9"/>
    <w:rsid w:val="001B13A4"/>
    <w:rsid w:val="001B25CC"/>
    <w:rsid w:val="001C11FA"/>
    <w:rsid w:val="001C6EEE"/>
    <w:rsid w:val="001D1E94"/>
    <w:rsid w:val="001D3865"/>
    <w:rsid w:val="002007EE"/>
    <w:rsid w:val="002023C4"/>
    <w:rsid w:val="00212469"/>
    <w:rsid w:val="0021727A"/>
    <w:rsid w:val="00217C7C"/>
    <w:rsid w:val="00220F09"/>
    <w:rsid w:val="00222F57"/>
    <w:rsid w:val="0023588B"/>
    <w:rsid w:val="002368B1"/>
    <w:rsid w:val="00240AF7"/>
    <w:rsid w:val="00240E19"/>
    <w:rsid w:val="0024795F"/>
    <w:rsid w:val="002558E3"/>
    <w:rsid w:val="002659E1"/>
    <w:rsid w:val="00267533"/>
    <w:rsid w:val="002873E8"/>
    <w:rsid w:val="002877CB"/>
    <w:rsid w:val="00292F5D"/>
    <w:rsid w:val="002942EA"/>
    <w:rsid w:val="00295639"/>
    <w:rsid w:val="002973E3"/>
    <w:rsid w:val="00297ED3"/>
    <w:rsid w:val="002A0B24"/>
    <w:rsid w:val="002A1168"/>
    <w:rsid w:val="002A159D"/>
    <w:rsid w:val="002A4C5C"/>
    <w:rsid w:val="002A59B6"/>
    <w:rsid w:val="002B4BAC"/>
    <w:rsid w:val="002C78D6"/>
    <w:rsid w:val="002E3182"/>
    <w:rsid w:val="002E358A"/>
    <w:rsid w:val="00301D86"/>
    <w:rsid w:val="00304E50"/>
    <w:rsid w:val="003372E2"/>
    <w:rsid w:val="00350F1E"/>
    <w:rsid w:val="00355030"/>
    <w:rsid w:val="00356C99"/>
    <w:rsid w:val="00362624"/>
    <w:rsid w:val="00362FC8"/>
    <w:rsid w:val="00373F68"/>
    <w:rsid w:val="00375680"/>
    <w:rsid w:val="0038296E"/>
    <w:rsid w:val="00396DC1"/>
    <w:rsid w:val="003B1ECD"/>
    <w:rsid w:val="003B39EF"/>
    <w:rsid w:val="003C62F0"/>
    <w:rsid w:val="003D0C86"/>
    <w:rsid w:val="003D63B9"/>
    <w:rsid w:val="003E0579"/>
    <w:rsid w:val="003E29EF"/>
    <w:rsid w:val="003E31CC"/>
    <w:rsid w:val="003F7268"/>
    <w:rsid w:val="00413102"/>
    <w:rsid w:val="00427CBF"/>
    <w:rsid w:val="00445B24"/>
    <w:rsid w:val="00461473"/>
    <w:rsid w:val="00466B2A"/>
    <w:rsid w:val="00473C95"/>
    <w:rsid w:val="00485092"/>
    <w:rsid w:val="00493929"/>
    <w:rsid w:val="004A540A"/>
    <w:rsid w:val="004B061B"/>
    <w:rsid w:val="004D388A"/>
    <w:rsid w:val="004F5E5B"/>
    <w:rsid w:val="004F7482"/>
    <w:rsid w:val="00502415"/>
    <w:rsid w:val="00505F5B"/>
    <w:rsid w:val="00511C7B"/>
    <w:rsid w:val="0051440A"/>
    <w:rsid w:val="0052285F"/>
    <w:rsid w:val="00524C09"/>
    <w:rsid w:val="00551B71"/>
    <w:rsid w:val="0055316A"/>
    <w:rsid w:val="00555C46"/>
    <w:rsid w:val="00561005"/>
    <w:rsid w:val="00573864"/>
    <w:rsid w:val="00576EB3"/>
    <w:rsid w:val="00580780"/>
    <w:rsid w:val="00583DF9"/>
    <w:rsid w:val="00584C0F"/>
    <w:rsid w:val="0058709A"/>
    <w:rsid w:val="005871A2"/>
    <w:rsid w:val="00592AF0"/>
    <w:rsid w:val="005D0FDD"/>
    <w:rsid w:val="005D362F"/>
    <w:rsid w:val="005D7D32"/>
    <w:rsid w:val="005E59C6"/>
    <w:rsid w:val="005F48B2"/>
    <w:rsid w:val="005F5345"/>
    <w:rsid w:val="005F5EB5"/>
    <w:rsid w:val="005F66EC"/>
    <w:rsid w:val="00610072"/>
    <w:rsid w:val="00617CB6"/>
    <w:rsid w:val="0062006E"/>
    <w:rsid w:val="006541C5"/>
    <w:rsid w:val="006553AC"/>
    <w:rsid w:val="006672BA"/>
    <w:rsid w:val="00673750"/>
    <w:rsid w:val="00686519"/>
    <w:rsid w:val="00695128"/>
    <w:rsid w:val="006A0FE2"/>
    <w:rsid w:val="006A6669"/>
    <w:rsid w:val="006D1E9C"/>
    <w:rsid w:val="006E1715"/>
    <w:rsid w:val="006E4944"/>
    <w:rsid w:val="006F087B"/>
    <w:rsid w:val="006F2588"/>
    <w:rsid w:val="007015A1"/>
    <w:rsid w:val="00730912"/>
    <w:rsid w:val="00744408"/>
    <w:rsid w:val="00750D70"/>
    <w:rsid w:val="00765862"/>
    <w:rsid w:val="00765CB1"/>
    <w:rsid w:val="00766004"/>
    <w:rsid w:val="00766E0A"/>
    <w:rsid w:val="007723E3"/>
    <w:rsid w:val="00772D54"/>
    <w:rsid w:val="00776CA4"/>
    <w:rsid w:val="0078295D"/>
    <w:rsid w:val="00783625"/>
    <w:rsid w:val="00790660"/>
    <w:rsid w:val="007B20ED"/>
    <w:rsid w:val="007C3808"/>
    <w:rsid w:val="007D1B87"/>
    <w:rsid w:val="007D3A9E"/>
    <w:rsid w:val="007D3AD8"/>
    <w:rsid w:val="007D6A1B"/>
    <w:rsid w:val="007E46A4"/>
    <w:rsid w:val="00806D90"/>
    <w:rsid w:val="008233ED"/>
    <w:rsid w:val="00837644"/>
    <w:rsid w:val="008454E6"/>
    <w:rsid w:val="00875D54"/>
    <w:rsid w:val="00877967"/>
    <w:rsid w:val="00880B9C"/>
    <w:rsid w:val="00881E7C"/>
    <w:rsid w:val="008932BE"/>
    <w:rsid w:val="008A541D"/>
    <w:rsid w:val="008B2EB5"/>
    <w:rsid w:val="008C06EB"/>
    <w:rsid w:val="008C1C0E"/>
    <w:rsid w:val="008D0797"/>
    <w:rsid w:val="008D76E3"/>
    <w:rsid w:val="008D799A"/>
    <w:rsid w:val="008F70EA"/>
    <w:rsid w:val="009210F8"/>
    <w:rsid w:val="0092466E"/>
    <w:rsid w:val="00932060"/>
    <w:rsid w:val="009429A3"/>
    <w:rsid w:val="00942CCA"/>
    <w:rsid w:val="00944547"/>
    <w:rsid w:val="00957D8E"/>
    <w:rsid w:val="0096280A"/>
    <w:rsid w:val="00963423"/>
    <w:rsid w:val="00971139"/>
    <w:rsid w:val="009753F5"/>
    <w:rsid w:val="009868F3"/>
    <w:rsid w:val="0099093C"/>
    <w:rsid w:val="009A1729"/>
    <w:rsid w:val="009B10D1"/>
    <w:rsid w:val="009B5DA2"/>
    <w:rsid w:val="009E1D10"/>
    <w:rsid w:val="009E2263"/>
    <w:rsid w:val="00A123A3"/>
    <w:rsid w:val="00A25AEC"/>
    <w:rsid w:val="00A26A4E"/>
    <w:rsid w:val="00A27A8D"/>
    <w:rsid w:val="00A54A41"/>
    <w:rsid w:val="00A70E07"/>
    <w:rsid w:val="00A71438"/>
    <w:rsid w:val="00A74AA2"/>
    <w:rsid w:val="00A7767D"/>
    <w:rsid w:val="00A8396E"/>
    <w:rsid w:val="00A86A11"/>
    <w:rsid w:val="00A9750C"/>
    <w:rsid w:val="00AA3AF5"/>
    <w:rsid w:val="00AA583A"/>
    <w:rsid w:val="00AB3B5A"/>
    <w:rsid w:val="00AB46F2"/>
    <w:rsid w:val="00AC702F"/>
    <w:rsid w:val="00AD0C71"/>
    <w:rsid w:val="00AD132F"/>
    <w:rsid w:val="00AD7076"/>
    <w:rsid w:val="00AE53F5"/>
    <w:rsid w:val="00AE7C86"/>
    <w:rsid w:val="00B0309A"/>
    <w:rsid w:val="00B1313B"/>
    <w:rsid w:val="00B147DB"/>
    <w:rsid w:val="00B17E63"/>
    <w:rsid w:val="00B317EB"/>
    <w:rsid w:val="00B34E03"/>
    <w:rsid w:val="00B35CBF"/>
    <w:rsid w:val="00B534FE"/>
    <w:rsid w:val="00B550EB"/>
    <w:rsid w:val="00B70C83"/>
    <w:rsid w:val="00B749B3"/>
    <w:rsid w:val="00B76FA1"/>
    <w:rsid w:val="00B83DE1"/>
    <w:rsid w:val="00B84EDF"/>
    <w:rsid w:val="00B85995"/>
    <w:rsid w:val="00B91B63"/>
    <w:rsid w:val="00BA0576"/>
    <w:rsid w:val="00BA2164"/>
    <w:rsid w:val="00BA70C1"/>
    <w:rsid w:val="00BB0638"/>
    <w:rsid w:val="00BB28F8"/>
    <w:rsid w:val="00BB3F50"/>
    <w:rsid w:val="00BC61A7"/>
    <w:rsid w:val="00BD0D5F"/>
    <w:rsid w:val="00BD5300"/>
    <w:rsid w:val="00BE2181"/>
    <w:rsid w:val="00BE3084"/>
    <w:rsid w:val="00BF2DEC"/>
    <w:rsid w:val="00C03A9E"/>
    <w:rsid w:val="00C06F8F"/>
    <w:rsid w:val="00C21094"/>
    <w:rsid w:val="00C36A3E"/>
    <w:rsid w:val="00C436C5"/>
    <w:rsid w:val="00C469D9"/>
    <w:rsid w:val="00C501D1"/>
    <w:rsid w:val="00C52594"/>
    <w:rsid w:val="00C60C11"/>
    <w:rsid w:val="00C60CB7"/>
    <w:rsid w:val="00C66AAC"/>
    <w:rsid w:val="00C87359"/>
    <w:rsid w:val="00CB1033"/>
    <w:rsid w:val="00CB1D97"/>
    <w:rsid w:val="00CB5AA4"/>
    <w:rsid w:val="00CB78CF"/>
    <w:rsid w:val="00CC0A2F"/>
    <w:rsid w:val="00CC1EAC"/>
    <w:rsid w:val="00CE137F"/>
    <w:rsid w:val="00CE471A"/>
    <w:rsid w:val="00CF290F"/>
    <w:rsid w:val="00CF3E83"/>
    <w:rsid w:val="00D005B7"/>
    <w:rsid w:val="00D00E54"/>
    <w:rsid w:val="00D0217D"/>
    <w:rsid w:val="00D037C9"/>
    <w:rsid w:val="00D14F98"/>
    <w:rsid w:val="00D14FC0"/>
    <w:rsid w:val="00D352CA"/>
    <w:rsid w:val="00D43E22"/>
    <w:rsid w:val="00D43F14"/>
    <w:rsid w:val="00D52A24"/>
    <w:rsid w:val="00D61D2E"/>
    <w:rsid w:val="00D62A77"/>
    <w:rsid w:val="00D66A08"/>
    <w:rsid w:val="00D67FE0"/>
    <w:rsid w:val="00D82DF2"/>
    <w:rsid w:val="00DA0C58"/>
    <w:rsid w:val="00DA3678"/>
    <w:rsid w:val="00DA39CA"/>
    <w:rsid w:val="00DA7232"/>
    <w:rsid w:val="00DE1C93"/>
    <w:rsid w:val="00DE238F"/>
    <w:rsid w:val="00E0167F"/>
    <w:rsid w:val="00E14831"/>
    <w:rsid w:val="00E229DE"/>
    <w:rsid w:val="00E410EA"/>
    <w:rsid w:val="00E4264D"/>
    <w:rsid w:val="00E52659"/>
    <w:rsid w:val="00E5757D"/>
    <w:rsid w:val="00E609D9"/>
    <w:rsid w:val="00E667B2"/>
    <w:rsid w:val="00E7075D"/>
    <w:rsid w:val="00E72061"/>
    <w:rsid w:val="00E743CA"/>
    <w:rsid w:val="00E848CF"/>
    <w:rsid w:val="00E8797F"/>
    <w:rsid w:val="00E87B3B"/>
    <w:rsid w:val="00E90940"/>
    <w:rsid w:val="00EA01AE"/>
    <w:rsid w:val="00EA2D75"/>
    <w:rsid w:val="00EB20CA"/>
    <w:rsid w:val="00EC4D1E"/>
    <w:rsid w:val="00ED04DC"/>
    <w:rsid w:val="00ED2F39"/>
    <w:rsid w:val="00ED4C8E"/>
    <w:rsid w:val="00EF65A7"/>
    <w:rsid w:val="00F009D6"/>
    <w:rsid w:val="00F03BEC"/>
    <w:rsid w:val="00F05F22"/>
    <w:rsid w:val="00F22ED6"/>
    <w:rsid w:val="00F277C7"/>
    <w:rsid w:val="00F309C9"/>
    <w:rsid w:val="00F3255B"/>
    <w:rsid w:val="00F329D2"/>
    <w:rsid w:val="00F46584"/>
    <w:rsid w:val="00F54579"/>
    <w:rsid w:val="00F56927"/>
    <w:rsid w:val="00F569A5"/>
    <w:rsid w:val="00F75063"/>
    <w:rsid w:val="00F756D0"/>
    <w:rsid w:val="00FA2A13"/>
    <w:rsid w:val="00FA4E0F"/>
    <w:rsid w:val="00FB3AC2"/>
    <w:rsid w:val="00FC3056"/>
    <w:rsid w:val="00FE1B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49D90B8-2C25-4CCD-BC56-E411B07FF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AA583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3">
    <w:name w:val="header"/>
    <w:basedOn w:val="a1"/>
    <w:link w:val="af4"/>
    <w:unhideWhenUsed/>
    <w:rsid w:val="00485092"/>
    <w:pPr>
      <w:tabs>
        <w:tab w:val="center" w:pos="4153"/>
        <w:tab w:val="right" w:pos="8306"/>
      </w:tabs>
      <w:snapToGrid w:val="0"/>
    </w:pPr>
    <w:rPr>
      <w:sz w:val="20"/>
      <w:szCs w:val="20"/>
    </w:rPr>
  </w:style>
  <w:style w:type="character" w:customStyle="1" w:styleId="af4">
    <w:name w:val="頁首 字元"/>
    <w:link w:val="af3"/>
    <w:rsid w:val="00485092"/>
    <w:rPr>
      <w:rFonts w:ascii="標楷體" w:eastAsia="標楷體"/>
      <w:snapToGrid w:val="0"/>
      <w:kern w:val="2"/>
    </w:rPr>
  </w:style>
  <w:style w:type="paragraph" w:styleId="af5">
    <w:name w:val="footer"/>
    <w:basedOn w:val="a1"/>
    <w:link w:val="af6"/>
    <w:uiPriority w:val="99"/>
    <w:unhideWhenUsed/>
    <w:rsid w:val="00485092"/>
    <w:pPr>
      <w:tabs>
        <w:tab w:val="center" w:pos="4153"/>
        <w:tab w:val="right" w:pos="8306"/>
      </w:tabs>
      <w:snapToGrid w:val="0"/>
    </w:pPr>
    <w:rPr>
      <w:sz w:val="20"/>
      <w:szCs w:val="20"/>
    </w:rPr>
  </w:style>
  <w:style w:type="character" w:customStyle="1" w:styleId="af6">
    <w:name w:val="頁尾 字元"/>
    <w:link w:val="af5"/>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7">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9"/>
    <w:uiPriority w:val="99"/>
    <w:unhideWhenUsed/>
    <w:rsid w:val="00485092"/>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uiPriority w:val="99"/>
    <w:qFormat/>
    <w:rsid w:val="00485092"/>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b">
    <w:name w:val="Balloon Text"/>
    <w:basedOn w:val="a1"/>
    <w:link w:val="afc"/>
    <w:semiHidden/>
    <w:unhideWhenUsed/>
    <w:rsid w:val="00485092"/>
    <w:pPr>
      <w:spacing w:line="240" w:lineRule="auto"/>
    </w:pPr>
    <w:rPr>
      <w:rFonts w:ascii="Cambria" w:eastAsia="新細明體" w:hAnsi="Cambria"/>
      <w:sz w:val="18"/>
      <w:szCs w:val="18"/>
    </w:rPr>
  </w:style>
  <w:style w:type="character" w:customStyle="1" w:styleId="afc">
    <w:name w:val="註解方塊文字 字元"/>
    <w:link w:val="afb"/>
    <w:semiHidden/>
    <w:rsid w:val="00485092"/>
    <w:rPr>
      <w:rFonts w:ascii="Cambria" w:hAnsi="Cambria"/>
      <w:snapToGrid w:val="0"/>
      <w:kern w:val="2"/>
      <w:sz w:val="18"/>
      <w:szCs w:val="18"/>
    </w:rPr>
  </w:style>
  <w:style w:type="table" w:styleId="afd">
    <w:name w:val="Table Grid"/>
    <w:basedOn w:val="a3"/>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d"/>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d"/>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0">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1">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2">
    <w:name w:val="Body Text"/>
    <w:basedOn w:val="a1"/>
    <w:link w:val="aff3"/>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3">
    <w:name w:val="本文 字元"/>
    <w:link w:val="aff2"/>
    <w:rsid w:val="00485092"/>
    <w:rPr>
      <w:rFonts w:ascii="Arial" w:hAnsi="Arial"/>
      <w:spacing w:val="-5"/>
      <w:sz w:val="18"/>
    </w:rPr>
  </w:style>
  <w:style w:type="character" w:customStyle="1" w:styleId="aff4">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5">
    <w:name w:val="Emphasis"/>
    <w:qFormat/>
    <w:rsid w:val="00485092"/>
    <w:rPr>
      <w:b w:val="0"/>
      <w:bCs w:val="0"/>
      <w:i w:val="0"/>
      <w:iCs w:val="0"/>
      <w:color w:val="CC0033"/>
    </w:rPr>
  </w:style>
  <w:style w:type="paragraph" w:styleId="HTML">
    <w:name w:val="HTML Preformatted"/>
    <w:basedOn w:val="a1"/>
    <w:link w:val="HTML0"/>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6">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uiPriority w:val="99"/>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一)"/>
    <w:basedOn w:val="a1"/>
    <w:link w:val="aff8"/>
    <w:rsid w:val="00485092"/>
    <w:pPr>
      <w:wordWrap w:val="0"/>
      <w:spacing w:line="340" w:lineRule="exact"/>
      <w:ind w:leftChars="0" w:left="100" w:hangingChars="100" w:hanging="100"/>
    </w:pPr>
    <w:rPr>
      <w:rFonts w:hAnsi="標楷體"/>
      <w:snapToGrid/>
      <w:sz w:val="22"/>
      <w:szCs w:val="22"/>
    </w:rPr>
  </w:style>
  <w:style w:type="character" w:customStyle="1" w:styleId="aff8">
    <w:name w:val="(一) 字元"/>
    <w:link w:val="aff7"/>
    <w:rsid w:val="00485092"/>
    <w:rPr>
      <w:rFonts w:ascii="標楷體" w:eastAsia="標楷體" w:hAnsi="標楷體"/>
      <w:kern w:val="2"/>
      <w:sz w:val="22"/>
      <w:szCs w:val="22"/>
    </w:rPr>
  </w:style>
  <w:style w:type="paragraph" w:customStyle="1" w:styleId="aff9">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b">
    <w:name w:val="Salutation"/>
    <w:basedOn w:val="a1"/>
    <w:next w:val="a1"/>
    <w:link w:val="affc"/>
    <w:uiPriority w:val="99"/>
    <w:unhideWhenUsed/>
    <w:rsid w:val="00485092"/>
    <w:rPr>
      <w:rFonts w:hAnsi="標楷體"/>
      <w:color w:val="0070C0"/>
    </w:rPr>
  </w:style>
  <w:style w:type="character" w:customStyle="1" w:styleId="affc">
    <w:name w:val="問候 字元"/>
    <w:link w:val="affb"/>
    <w:uiPriority w:val="99"/>
    <w:rsid w:val="00485092"/>
    <w:rPr>
      <w:rFonts w:ascii="標楷體" w:eastAsia="標楷體" w:hAnsi="標楷體"/>
      <w:snapToGrid w:val="0"/>
      <w:color w:val="0070C0"/>
      <w:kern w:val="2"/>
      <w:sz w:val="28"/>
      <w:szCs w:val="28"/>
    </w:rPr>
  </w:style>
  <w:style w:type="paragraph" w:styleId="affd">
    <w:name w:val="Closing"/>
    <w:basedOn w:val="a1"/>
    <w:link w:val="affe"/>
    <w:uiPriority w:val="99"/>
    <w:unhideWhenUsed/>
    <w:rsid w:val="00485092"/>
    <w:pPr>
      <w:ind w:leftChars="1800" w:left="100"/>
    </w:pPr>
    <w:rPr>
      <w:rFonts w:hAnsi="標楷體"/>
      <w:color w:val="0070C0"/>
    </w:rPr>
  </w:style>
  <w:style w:type="character" w:customStyle="1" w:styleId="affe">
    <w:name w:val="結語 字元"/>
    <w:link w:val="affd"/>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
    <w:name w:val="FollowedHyperlink"/>
    <w:uiPriority w:val="99"/>
    <w:semiHidden/>
    <w:unhideWhenUsed/>
    <w:rsid w:val="00485092"/>
    <w:rPr>
      <w:color w:val="954F72"/>
      <w:u w:val="single"/>
    </w:rPr>
  </w:style>
  <w:style w:type="table" w:customStyle="1" w:styleId="32">
    <w:name w:val="表格格線3"/>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1">
    <w:name w:val="註腳文字(標準)"/>
    <w:basedOn w:val="a1"/>
    <w:link w:val="afff2"/>
    <w:qFormat/>
    <w:rsid w:val="00485092"/>
    <w:pPr>
      <w:snapToGrid w:val="0"/>
      <w:spacing w:line="280" w:lineRule="exact"/>
      <w:ind w:leftChars="0" w:left="181" w:firstLineChars="0" w:hanging="181"/>
    </w:pPr>
    <w:rPr>
      <w:sz w:val="24"/>
      <w:szCs w:val="24"/>
    </w:rPr>
  </w:style>
  <w:style w:type="character" w:customStyle="1" w:styleId="afff2">
    <w:name w:val="註腳文字(標準) 字元"/>
    <w:link w:val="afff1"/>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3">
    <w:name w:val="List Paragraph"/>
    <w:basedOn w:val="a1"/>
    <w:link w:val="afff4"/>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5">
    <w:name w:val="Title"/>
    <w:basedOn w:val="a1"/>
    <w:next w:val="a1"/>
    <w:link w:val="afff6"/>
    <w:uiPriority w:val="10"/>
    <w:qFormat/>
    <w:rsid w:val="00485092"/>
    <w:pPr>
      <w:spacing w:before="240" w:after="60"/>
      <w:jc w:val="center"/>
      <w:outlineLvl w:val="0"/>
    </w:pPr>
    <w:rPr>
      <w:rFonts w:ascii="Cambria" w:eastAsia="新細明體" w:hAnsi="Cambria"/>
      <w:b/>
      <w:bCs/>
      <w:sz w:val="32"/>
      <w:szCs w:val="32"/>
    </w:rPr>
  </w:style>
  <w:style w:type="character" w:customStyle="1" w:styleId="afff6">
    <w:name w:val="標題 字元"/>
    <w:link w:val="afff5"/>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7">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8">
    <w:name w:val="annotation text"/>
    <w:basedOn w:val="a1"/>
    <w:link w:val="afff9"/>
    <w:rsid w:val="00485092"/>
    <w:pPr>
      <w:jc w:val="left"/>
    </w:pPr>
  </w:style>
  <w:style w:type="character" w:customStyle="1" w:styleId="afff9">
    <w:name w:val="註解文字 字元"/>
    <w:link w:val="afff8"/>
    <w:rsid w:val="00485092"/>
    <w:rPr>
      <w:rFonts w:ascii="標楷體" w:eastAsia="標楷體"/>
      <w:snapToGrid w:val="0"/>
      <w:kern w:val="2"/>
      <w:sz w:val="28"/>
      <w:szCs w:val="28"/>
    </w:rPr>
  </w:style>
  <w:style w:type="paragraph" w:styleId="afffa">
    <w:name w:val="annotation subject"/>
    <w:basedOn w:val="afff8"/>
    <w:next w:val="afff8"/>
    <w:link w:val="afffb"/>
    <w:rsid w:val="00485092"/>
    <w:rPr>
      <w:b/>
      <w:bCs/>
    </w:rPr>
  </w:style>
  <w:style w:type="character" w:customStyle="1" w:styleId="afffb">
    <w:name w:val="註解主旨 字元"/>
    <w:link w:val="afffa"/>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4">
    <w:name w:val="清單段落 字元"/>
    <w:link w:val="afff3"/>
    <w:uiPriority w:val="34"/>
    <w:locked/>
    <w:rsid w:val="00485092"/>
    <w:rPr>
      <w:rFonts w:ascii="Calibri" w:hAnsi="Calibri"/>
      <w:kern w:val="2"/>
      <w:sz w:val="24"/>
      <w:szCs w:val="22"/>
    </w:rPr>
  </w:style>
  <w:style w:type="paragraph" w:styleId="afffc">
    <w:name w:val="caption"/>
    <w:basedOn w:val="a1"/>
    <w:next w:val="a1"/>
    <w:semiHidden/>
    <w:unhideWhenUsed/>
    <w:qFormat/>
    <w:rsid w:val="00485092"/>
    <w:rPr>
      <w:sz w:val="20"/>
      <w:szCs w:val="20"/>
    </w:rPr>
  </w:style>
  <w:style w:type="table" w:customStyle="1" w:styleId="110">
    <w:name w:val="表格格線11"/>
    <w:basedOn w:val="a3"/>
    <w:next w:val="afd"/>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d"/>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annotation reference"/>
    <w:uiPriority w:val="99"/>
    <w:semiHidden/>
    <w:unhideWhenUsed/>
    <w:rsid w:val="00485092"/>
    <w:rPr>
      <w:sz w:val="18"/>
      <w:szCs w:val="18"/>
    </w:rPr>
  </w:style>
  <w:style w:type="paragraph" w:styleId="affff">
    <w:name w:val="Body Text Indent"/>
    <w:basedOn w:val="a1"/>
    <w:link w:val="affff0"/>
    <w:rsid w:val="00485092"/>
    <w:pPr>
      <w:ind w:left="566" w:firstLine="566"/>
    </w:pPr>
  </w:style>
  <w:style w:type="character" w:customStyle="1" w:styleId="affff0">
    <w:name w:val="本文縮排 字元"/>
    <w:link w:val="affff"/>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d"/>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1">
    <w:name w:val="Signature"/>
    <w:basedOn w:val="a1"/>
    <w:link w:val="affff2"/>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2">
    <w:name w:val="簽名 字元"/>
    <w:link w:val="affff1"/>
    <w:rsid w:val="00485092"/>
    <w:rPr>
      <w:spacing w:val="-5"/>
      <w:sz w:val="18"/>
      <w:szCs w:val="18"/>
    </w:rPr>
  </w:style>
  <w:style w:type="paragraph" w:styleId="affff3">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4"/>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4">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5">
    <w:name w:val="Date"/>
    <w:basedOn w:val="a1"/>
    <w:next w:val="a1"/>
    <w:link w:val="affff6"/>
    <w:uiPriority w:val="99"/>
    <w:semiHidden/>
    <w:unhideWhenUsed/>
    <w:rsid w:val="00485092"/>
    <w:pPr>
      <w:jc w:val="right"/>
    </w:pPr>
  </w:style>
  <w:style w:type="character" w:customStyle="1" w:styleId="affff6">
    <w:name w:val="日期 字元"/>
    <w:link w:val="affff5"/>
    <w:uiPriority w:val="99"/>
    <w:semiHidden/>
    <w:rsid w:val="00485092"/>
    <w:rPr>
      <w:rFonts w:ascii="標楷體" w:eastAsia="標楷體"/>
      <w:snapToGrid w:val="0"/>
      <w:kern w:val="2"/>
      <w:sz w:val="28"/>
      <w:szCs w:val="28"/>
    </w:rPr>
  </w:style>
  <w:style w:type="table" w:customStyle="1" w:styleId="120">
    <w:name w:val="表格格線12"/>
    <w:basedOn w:val="a3"/>
    <w:next w:val="afd"/>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FEE74-6B01-427F-940F-07F6104B9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13</Pages>
  <Words>325</Words>
  <Characters>1858</Characters>
  <Application>Microsoft Office Word</Application>
  <DocSecurity>0</DocSecurity>
  <Lines>15</Lines>
  <Paragraphs>4</Paragraphs>
  <ScaleCrop>false</ScaleCrop>
  <Company>HOME</Company>
  <LinksUpToDate>false</LinksUpToDate>
  <CharactersWithSpaces>2179</CharactersWithSpaces>
  <SharedDoc>false</SharedDoc>
  <HLinks>
    <vt:vector size="48" baseType="variant">
      <vt:variant>
        <vt:i4>1966129</vt:i4>
      </vt:variant>
      <vt:variant>
        <vt:i4>44</vt:i4>
      </vt:variant>
      <vt:variant>
        <vt:i4>0</vt:i4>
      </vt:variant>
      <vt:variant>
        <vt:i4>5</vt:i4>
      </vt:variant>
      <vt:variant>
        <vt:lpwstr/>
      </vt:variant>
      <vt:variant>
        <vt:lpwstr>_Toc181174644</vt:lpwstr>
      </vt:variant>
      <vt:variant>
        <vt:i4>1966129</vt:i4>
      </vt:variant>
      <vt:variant>
        <vt:i4>38</vt:i4>
      </vt:variant>
      <vt:variant>
        <vt:i4>0</vt:i4>
      </vt:variant>
      <vt:variant>
        <vt:i4>5</vt:i4>
      </vt:variant>
      <vt:variant>
        <vt:lpwstr/>
      </vt:variant>
      <vt:variant>
        <vt:lpwstr>_Toc181174643</vt:lpwstr>
      </vt:variant>
      <vt:variant>
        <vt:i4>1966129</vt:i4>
      </vt:variant>
      <vt:variant>
        <vt:i4>32</vt:i4>
      </vt:variant>
      <vt:variant>
        <vt:i4>0</vt:i4>
      </vt:variant>
      <vt:variant>
        <vt:i4>5</vt:i4>
      </vt:variant>
      <vt:variant>
        <vt:lpwstr/>
      </vt:variant>
      <vt:variant>
        <vt:lpwstr>_Toc181174642</vt:lpwstr>
      </vt:variant>
      <vt:variant>
        <vt:i4>1966129</vt:i4>
      </vt:variant>
      <vt:variant>
        <vt:i4>26</vt:i4>
      </vt:variant>
      <vt:variant>
        <vt:i4>0</vt:i4>
      </vt:variant>
      <vt:variant>
        <vt:i4>5</vt:i4>
      </vt:variant>
      <vt:variant>
        <vt:lpwstr/>
      </vt:variant>
      <vt:variant>
        <vt:lpwstr>_Toc181174641</vt:lpwstr>
      </vt:variant>
      <vt:variant>
        <vt:i4>1966129</vt:i4>
      </vt:variant>
      <vt:variant>
        <vt:i4>20</vt:i4>
      </vt:variant>
      <vt:variant>
        <vt:i4>0</vt:i4>
      </vt:variant>
      <vt:variant>
        <vt:i4>5</vt:i4>
      </vt:variant>
      <vt:variant>
        <vt:lpwstr/>
      </vt:variant>
      <vt:variant>
        <vt:lpwstr>_Toc181174640</vt:lpwstr>
      </vt:variant>
      <vt:variant>
        <vt:i4>1638449</vt:i4>
      </vt:variant>
      <vt:variant>
        <vt:i4>14</vt:i4>
      </vt:variant>
      <vt:variant>
        <vt:i4>0</vt:i4>
      </vt:variant>
      <vt:variant>
        <vt:i4>5</vt:i4>
      </vt:variant>
      <vt:variant>
        <vt:lpwstr/>
      </vt:variant>
      <vt:variant>
        <vt:lpwstr>_Toc181174639</vt:lpwstr>
      </vt:variant>
      <vt:variant>
        <vt:i4>1638449</vt:i4>
      </vt:variant>
      <vt:variant>
        <vt:i4>8</vt:i4>
      </vt:variant>
      <vt:variant>
        <vt:i4>0</vt:i4>
      </vt:variant>
      <vt:variant>
        <vt:i4>5</vt:i4>
      </vt:variant>
      <vt:variant>
        <vt:lpwstr/>
      </vt:variant>
      <vt:variant>
        <vt:lpwstr>_Toc181174638</vt:lpwstr>
      </vt:variant>
      <vt:variant>
        <vt:i4>1638449</vt:i4>
      </vt:variant>
      <vt:variant>
        <vt:i4>2</vt:i4>
      </vt:variant>
      <vt:variant>
        <vt:i4>0</vt:i4>
      </vt:variant>
      <vt:variant>
        <vt:i4>5</vt:i4>
      </vt:variant>
      <vt:variant>
        <vt:lpwstr/>
      </vt:variant>
      <vt:variant>
        <vt:lpwstr>_Toc181174637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2024-10-28T01:58:00Z</cp:lastPrinted>
  <dcterms:created xsi:type="dcterms:W3CDTF">2024-11-04T03:15:00Z</dcterms:created>
  <dcterms:modified xsi:type="dcterms:W3CDTF">2024-11-04T03:15:00Z</dcterms:modified>
</cp:coreProperties>
</file>