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091D84" w:rsidRPr="009D78D1" w:rsidRDefault="00091D84" w:rsidP="00091D84">
      <w:pPr>
        <w:pStyle w:val="14"/>
        <w:ind w:left="567" w:hanging="567"/>
      </w:pPr>
      <w:bookmarkStart w:id="10" w:name="_Toc340132917"/>
      <w:bookmarkStart w:id="11" w:name="_Toc340667008"/>
      <w:bookmarkStart w:id="12" w:name="_Toc437876593"/>
      <w:bookmarkStart w:id="13" w:name="_Toc180412276"/>
      <w:bookmarkStart w:id="14" w:name="_Toc181085536"/>
      <w:bookmarkStart w:id="15" w:name="_Toc18108617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9D78D1">
        <w:rPr>
          <w:rFonts w:hint="eastAsia"/>
          <w:lang w:eastAsia="zh-HK"/>
        </w:rPr>
        <w:t>一</w:t>
      </w:r>
      <w:r w:rsidR="00F3657A">
        <w:rPr>
          <w:rFonts w:hint="eastAsia"/>
        </w:rPr>
        <w:t>二</w:t>
      </w:r>
      <w:r w:rsidRPr="009D78D1">
        <w:rPr>
          <w:rFonts w:hint="eastAsia"/>
        </w:rPr>
        <w:t>、114年度預計自籌收入比率較113年度下滑且未達50%，允宜妥謀開源節流計畫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並強化財務自籌能力，以穩健基金財務</w:t>
      </w:r>
      <w:bookmarkEnd w:id="13"/>
      <w:bookmarkEnd w:id="14"/>
      <w:bookmarkEnd w:id="15"/>
    </w:p>
    <w:p w:rsidR="00091D84" w:rsidRPr="009D78D1" w:rsidRDefault="00091D84" w:rsidP="00091D84">
      <w:pPr>
        <w:ind w:left="567" w:firstLine="567"/>
      </w:pPr>
      <w:r w:rsidRPr="009D78D1">
        <w:rPr>
          <w:rFonts w:hint="eastAsia"/>
        </w:rPr>
        <w:t>國防醫學院軍事教育基金114年度預算案編列業務收入7億5,151萬9千元、業務成本與費用8億4,024萬9千元</w:t>
      </w:r>
      <w:r w:rsidRPr="009D78D1">
        <w:rPr>
          <w:rFonts w:hAnsi="標楷體" w:hint="eastAsia"/>
        </w:rPr>
        <w:t>；業務外收入3,142萬5千元</w:t>
      </w:r>
      <w:r w:rsidRPr="009D78D1">
        <w:rPr>
          <w:rFonts w:hint="eastAsia"/>
        </w:rPr>
        <w:t>及業務外費用2,294萬元，收支相抵後，預計短絀8,024萬5千元。按該校自籌收入</w:t>
      </w:r>
      <w:r w:rsidRPr="009D78D1">
        <w:rPr>
          <w:rStyle w:val="af5"/>
        </w:rPr>
        <w:footnoteReference w:id="1"/>
      </w:r>
      <w:r w:rsidRPr="009D78D1">
        <w:rPr>
          <w:rFonts w:hint="eastAsia"/>
        </w:rPr>
        <w:t>114年度編列</w:t>
      </w:r>
      <w:r w:rsidRPr="009D78D1">
        <w:t>3</w:t>
      </w:r>
      <w:r w:rsidRPr="009D78D1">
        <w:rPr>
          <w:rFonts w:hint="eastAsia"/>
        </w:rPr>
        <w:t>億</w:t>
      </w:r>
      <w:r w:rsidRPr="009D78D1">
        <w:t>6</w:t>
      </w:r>
      <w:r w:rsidRPr="009D78D1">
        <w:rPr>
          <w:rFonts w:hint="eastAsia"/>
        </w:rPr>
        <w:t>,</w:t>
      </w:r>
      <w:r w:rsidRPr="009D78D1">
        <w:t>897</w:t>
      </w:r>
      <w:r w:rsidRPr="009D78D1">
        <w:rPr>
          <w:rFonts w:hint="eastAsia"/>
        </w:rPr>
        <w:t>萬</w:t>
      </w:r>
      <w:r w:rsidRPr="009D78D1">
        <w:t>7千元</w:t>
      </w:r>
      <w:r w:rsidRPr="009D78D1">
        <w:rPr>
          <w:rFonts w:hint="eastAsia"/>
        </w:rPr>
        <w:t>，占全年度總收入之比率為</w:t>
      </w:r>
      <w:r w:rsidRPr="009D78D1">
        <w:t>47.13%</w:t>
      </w:r>
      <w:r w:rsidRPr="009D78D1">
        <w:rPr>
          <w:rFonts w:hint="eastAsia"/>
        </w:rPr>
        <w:t xml:space="preserve"> 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未達5成，允宜積極提升自籌收入及撙節支出，以穩健基金財務，謹說明如下</w:t>
      </w:r>
      <w:r w:rsidRPr="009D78D1">
        <w:rPr>
          <w:rFonts w:hAnsi="標楷體" w:hint="eastAsia"/>
        </w:rPr>
        <w:t>:</w:t>
      </w:r>
    </w:p>
    <w:p w:rsidR="00091D84" w:rsidRPr="009D78D1" w:rsidRDefault="00091D84" w:rsidP="00091D84">
      <w:pPr>
        <w:pStyle w:val="a4"/>
        <w:ind w:left="851" w:hanging="284"/>
        <w:rPr>
          <w:b/>
        </w:rPr>
      </w:pPr>
      <w:r w:rsidRPr="009D78D1">
        <w:rPr>
          <w:rFonts w:hint="eastAsia"/>
          <w:b/>
        </w:rPr>
        <w:t>(一)校務基金應本自給自足原則，力求有賸餘無短絀</w:t>
      </w:r>
    </w:p>
    <w:p w:rsidR="00091D84" w:rsidRPr="009D78D1" w:rsidRDefault="00091D84" w:rsidP="00091D84">
      <w:pPr>
        <w:pStyle w:val="22"/>
        <w:ind w:left="850" w:firstLine="567"/>
        <w:rPr>
          <w:rFonts w:hint="eastAsia"/>
        </w:rPr>
      </w:pPr>
      <w:r w:rsidRPr="009D78D1">
        <w:rPr>
          <w:rFonts w:hint="eastAsia"/>
        </w:rPr>
        <w:t>按軍事教育條例第21條之1第2項規定</w:t>
      </w:r>
      <w:r w:rsidRPr="009D78D1">
        <w:rPr>
          <w:rFonts w:hAnsi="標楷體" w:hint="eastAsia"/>
        </w:rPr>
        <w:t>：「前項基金之收入來源、用途、投資項目範圍、預算編製、決算編造、會計制度等事項，準用國立大學校院校務基金設置條例之規定。</w:t>
      </w:r>
      <w:r w:rsidRPr="009D78D1">
        <w:rPr>
          <w:rFonts w:hAnsi="標楷體"/>
        </w:rPr>
        <w:t>…</w:t>
      </w:r>
      <w:r w:rsidRPr="009D78D1">
        <w:rPr>
          <w:rFonts w:hAnsi="標楷體" w:hint="eastAsia"/>
        </w:rPr>
        <w:t>」準此</w:t>
      </w:r>
      <w:r w:rsidRPr="009D78D1">
        <w:rPr>
          <w:rFonts w:hint="eastAsia"/>
        </w:rPr>
        <w:t>，國防醫學院軍事教育基金爰按國立大學校院校務基金設置條例第11條第1項規定</w:t>
      </w:r>
      <w:r w:rsidRPr="009D78D1">
        <w:rPr>
          <w:rStyle w:val="af5"/>
        </w:rPr>
        <w:footnoteReference w:id="2"/>
      </w:r>
      <w:r w:rsidRPr="009D78D1">
        <w:rPr>
          <w:rFonts w:hint="eastAsia"/>
        </w:rPr>
        <w:t>：「校務基金預算之編製，</w:t>
      </w:r>
      <w:r w:rsidRPr="009D78D1">
        <w:rPr>
          <w:rFonts w:hAnsi="標楷體"/>
        </w:rPr>
        <w:t>…</w:t>
      </w:r>
      <w:r w:rsidRPr="009D78D1">
        <w:rPr>
          <w:rFonts w:hint="eastAsia"/>
          <w:shd w:val="pct15" w:color="auto" w:fill="FFFFFF"/>
        </w:rPr>
        <w:t>在維持基金收支平衡或有賸餘之原則下</w:t>
      </w:r>
      <w:r w:rsidRPr="009D78D1">
        <w:rPr>
          <w:rFonts w:hint="eastAsia"/>
        </w:rPr>
        <w:t>，定明預估之教育績效目標，</w:t>
      </w:r>
      <w:r w:rsidRPr="009D78D1">
        <w:rPr>
          <w:rFonts w:hAnsi="標楷體"/>
        </w:rPr>
        <w:t>…</w:t>
      </w:r>
      <w:r w:rsidRPr="009D78D1">
        <w:rPr>
          <w:rFonts w:hint="eastAsia"/>
        </w:rPr>
        <w:t>。」、國立大學校院校務基金管理及監督辦法第23條第1項規定</w:t>
      </w:r>
      <w:r w:rsidRPr="009D78D1">
        <w:rPr>
          <w:rStyle w:val="af5"/>
        </w:rPr>
        <w:footnoteReference w:id="3"/>
      </w:r>
      <w:r w:rsidRPr="009D78D1">
        <w:rPr>
          <w:rFonts w:hint="eastAsia"/>
        </w:rPr>
        <w:t>：「學校校務基金及各項自籌收入之執行，應以有賸餘或維持收支平衡為原則；如實際執行有短絀情形，學校應擬訂</w:t>
      </w:r>
      <w:r w:rsidRPr="009D78D1">
        <w:rPr>
          <w:rFonts w:hint="eastAsia"/>
          <w:shd w:val="pct15" w:color="auto" w:fill="FFFFFF"/>
        </w:rPr>
        <w:t>開</w:t>
      </w:r>
      <w:r w:rsidRPr="009D78D1">
        <w:rPr>
          <w:rFonts w:hint="eastAsia"/>
          <w:shd w:val="pct15" w:color="auto" w:fill="FFFFFF"/>
        </w:rPr>
        <w:lastRenderedPageBreak/>
        <w:t>源節流計畫</w:t>
      </w:r>
      <w:r w:rsidRPr="009D78D1">
        <w:rPr>
          <w:rFonts w:hint="eastAsia"/>
        </w:rPr>
        <w:t>…。」</w:t>
      </w:r>
      <w:r w:rsidRPr="009D78D1">
        <w:rPr>
          <w:rFonts w:hAnsi="標楷體" w:hint="eastAsia"/>
        </w:rPr>
        <w:t>；以及</w:t>
      </w:r>
      <w:r w:rsidRPr="009D78D1">
        <w:rPr>
          <w:rFonts w:hint="eastAsia"/>
        </w:rPr>
        <w:t>114年度中央政府總預算附屬單位預算共同項目編列作業規範，作業基金應依設置目的，考量其財務能力，本自給自足原則，力求有賸餘無短絀，並以年度賸餘逐年成長(短絀積極改善)為目標。</w:t>
      </w:r>
    </w:p>
    <w:p w:rsidR="00091D84" w:rsidRPr="009D78D1" w:rsidRDefault="00091D84" w:rsidP="00091D84">
      <w:pPr>
        <w:pStyle w:val="a4"/>
        <w:ind w:left="851" w:hanging="284"/>
        <w:rPr>
          <w:b/>
        </w:rPr>
      </w:pPr>
      <w:r w:rsidRPr="009D78D1">
        <w:rPr>
          <w:rFonts w:hint="eastAsia"/>
          <w:b/>
        </w:rPr>
        <w:t>(二)114年度自籌收入比率較113年度下滑且未達50%，宜強化財務自籌能力</w:t>
      </w:r>
    </w:p>
    <w:p w:rsidR="00091D84" w:rsidRPr="009D78D1" w:rsidRDefault="00091D84" w:rsidP="00091D84">
      <w:pPr>
        <w:pStyle w:val="22"/>
        <w:ind w:left="850" w:firstLine="567"/>
        <w:rPr>
          <w:rFonts w:hint="eastAsia"/>
        </w:rPr>
      </w:pPr>
      <w:r w:rsidRPr="009D78D1">
        <w:rPr>
          <w:rFonts w:hint="eastAsia"/>
          <w:snapToGrid/>
        </w:rPr>
        <w:t>按</w:t>
      </w:r>
      <w:r w:rsidRPr="009D78D1">
        <w:rPr>
          <w:snapToGrid/>
        </w:rPr>
        <w:t>11</w:t>
      </w:r>
      <w:r w:rsidRPr="009D78D1">
        <w:rPr>
          <w:rFonts w:hint="eastAsia"/>
          <w:snapToGrid/>
        </w:rPr>
        <w:t>4年度中央政府總預算附屬單位預算編製辦法第3條第2項規定：「作業基金預算之編製，</w:t>
      </w:r>
      <w:r w:rsidRPr="009D78D1">
        <w:rPr>
          <w:rFonts w:hint="eastAsia"/>
          <w:snapToGrid/>
          <w:shd w:val="pct15" w:color="auto" w:fill="FFFFFF"/>
        </w:rPr>
        <w:t>應本財務自給自足原則</w:t>
      </w:r>
      <w:r w:rsidRPr="009D78D1">
        <w:rPr>
          <w:rFonts w:hint="eastAsia"/>
          <w:snapToGrid/>
        </w:rPr>
        <w:t>，設法提升業務績效，降低生產或服務之單位成本，以達成最佳效益為目標。」準此，校務基金應提升自籌收入比率，強化財務自籌能力，以期落實大學自主並減輕國庫負擔。</w:t>
      </w:r>
    </w:p>
    <w:p w:rsidR="00091D84" w:rsidRPr="009D78D1" w:rsidRDefault="00091D84" w:rsidP="00091D84">
      <w:pPr>
        <w:pStyle w:val="22"/>
        <w:ind w:leftChars="339" w:left="961" w:firstLine="567"/>
      </w:pPr>
      <w:r w:rsidRPr="009D78D1">
        <w:rPr>
          <w:rFonts w:hint="eastAsia"/>
        </w:rPr>
        <w:t>由於軍事教育基金113年度始正式設置，有關以前年度決算收入，據該基金提供國防醫學院110至112年度公務決算中屬本基金範圍之收入決算情形</w:t>
      </w:r>
      <w:r w:rsidRPr="009D78D1">
        <w:rPr>
          <w:rStyle w:val="af5"/>
        </w:rPr>
        <w:footnoteReference w:id="4"/>
      </w:r>
      <w:r w:rsidRPr="009D78D1">
        <w:rPr>
          <w:rFonts w:hint="eastAsia"/>
        </w:rPr>
        <w:t>(詳表2)，110至112年度自籌收入占總收入比率分別為</w:t>
      </w:r>
      <w:r w:rsidRPr="009D78D1">
        <w:t>39.57%</w:t>
      </w:r>
      <w:r w:rsidRPr="009D78D1">
        <w:rPr>
          <w:rFonts w:ascii="新細明體" w:eastAsia="新細明體" w:hAnsi="新細明體" w:hint="eastAsia"/>
        </w:rPr>
        <w:t>、</w:t>
      </w:r>
      <w:r w:rsidRPr="009D78D1">
        <w:t>36.56</w:t>
      </w:r>
      <w:r w:rsidRPr="009D78D1">
        <w:rPr>
          <w:rFonts w:hint="eastAsia"/>
        </w:rPr>
        <w:t>%及</w:t>
      </w:r>
      <w:r w:rsidRPr="009D78D1">
        <w:t>36.83 %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均低於4成；又114年度編列收入總額</w:t>
      </w:r>
      <w:r w:rsidRPr="009D78D1">
        <w:t>7</w:t>
      </w:r>
      <w:r w:rsidRPr="009D78D1">
        <w:rPr>
          <w:rFonts w:hint="eastAsia"/>
        </w:rPr>
        <w:t>億</w:t>
      </w:r>
      <w:r w:rsidRPr="009D78D1">
        <w:t>8</w:t>
      </w:r>
      <w:r w:rsidRPr="009D78D1">
        <w:rPr>
          <w:rFonts w:hint="eastAsia"/>
        </w:rPr>
        <w:t>,</w:t>
      </w:r>
      <w:r w:rsidRPr="009D78D1">
        <w:t>294</w:t>
      </w:r>
      <w:r w:rsidRPr="009D78D1">
        <w:rPr>
          <w:rFonts w:hint="eastAsia"/>
        </w:rPr>
        <w:t>萬</w:t>
      </w:r>
      <w:r w:rsidRPr="009D78D1">
        <w:t>4千元</w:t>
      </w:r>
      <w:r w:rsidRPr="009D78D1">
        <w:rPr>
          <w:rFonts w:hint="eastAsia"/>
        </w:rPr>
        <w:t>，其中自籌收入3億6,897萬7千元占全年度總收入之比率為</w:t>
      </w:r>
      <w:r w:rsidRPr="009D78D1">
        <w:t>47.13%</w:t>
      </w:r>
      <w:r w:rsidRPr="009D78D1">
        <w:rPr>
          <w:rFonts w:hint="eastAsia"/>
        </w:rPr>
        <w:t>，較113年度自籌比率49.64%</w:t>
      </w:r>
      <w:r w:rsidRPr="009D78D1">
        <w:rPr>
          <w:rFonts w:hAnsi="標楷體" w:hint="eastAsia"/>
        </w:rPr>
        <w:t>，下滑約2.5個百分點，皆未達5成</w:t>
      </w:r>
      <w:r w:rsidRPr="009D78D1">
        <w:rPr>
          <w:rFonts w:hint="eastAsia"/>
        </w:rPr>
        <w:t>，且本期預計短絀</w:t>
      </w:r>
      <w:r w:rsidRPr="009D78D1">
        <w:t>8</w:t>
      </w:r>
      <w:r w:rsidRPr="009D78D1">
        <w:rPr>
          <w:rFonts w:hint="eastAsia"/>
        </w:rPr>
        <w:t>,</w:t>
      </w:r>
      <w:r w:rsidRPr="009D78D1">
        <w:t>024</w:t>
      </w:r>
      <w:r w:rsidRPr="009D78D1">
        <w:rPr>
          <w:rFonts w:hint="eastAsia"/>
        </w:rPr>
        <w:t>萬</w:t>
      </w:r>
      <w:r w:rsidRPr="009D78D1">
        <w:t>5</w:t>
      </w:r>
      <w:r w:rsidRPr="009D78D1">
        <w:rPr>
          <w:rFonts w:hint="eastAsia"/>
        </w:rPr>
        <w:t>千元</w:t>
      </w:r>
      <w:r w:rsidRPr="009D78D1">
        <w:rPr>
          <w:rFonts w:hAnsi="標楷體" w:hint="eastAsia"/>
        </w:rPr>
        <w:t>，亦</w:t>
      </w:r>
      <w:r w:rsidRPr="009D78D1">
        <w:rPr>
          <w:rFonts w:hint="eastAsia"/>
        </w:rPr>
        <w:t>較113年度短絀數增加</w:t>
      </w:r>
      <w:r w:rsidRPr="009D78D1">
        <w:t>4</w:t>
      </w:r>
      <w:r w:rsidRPr="009D78D1">
        <w:rPr>
          <w:rFonts w:hint="eastAsia"/>
        </w:rPr>
        <w:t>,</w:t>
      </w:r>
      <w:r w:rsidRPr="009D78D1">
        <w:t>697</w:t>
      </w:r>
      <w:r w:rsidRPr="009D78D1">
        <w:rPr>
          <w:rFonts w:hint="eastAsia"/>
        </w:rPr>
        <w:t>萬元，為達財務自給自足原則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允宜增裕自籌收入，以穩健基金財務。</w:t>
      </w:r>
    </w:p>
    <w:p w:rsidR="00091D84" w:rsidRPr="009D78D1" w:rsidRDefault="00091D84" w:rsidP="00091D84">
      <w:pPr>
        <w:ind w:leftChars="0" w:left="562" w:hangingChars="198" w:hanging="562"/>
        <w:rPr>
          <w:b/>
        </w:rPr>
      </w:pPr>
      <w:r w:rsidRPr="009D78D1">
        <w:rPr>
          <w:rFonts w:hint="eastAsia"/>
          <w:b/>
        </w:rPr>
        <w:t xml:space="preserve">表2 110至114年度國防醫學院收入決算表-屬軍事教育基金部分 </w:t>
      </w:r>
    </w:p>
    <w:p w:rsidR="00091D84" w:rsidRPr="009D78D1" w:rsidRDefault="00091D84" w:rsidP="00091D84">
      <w:pPr>
        <w:spacing w:line="440" w:lineRule="exact"/>
        <w:ind w:leftChars="-50" w:left="464" w:hangingChars="249" w:hanging="606"/>
        <w:jc w:val="right"/>
      </w:pPr>
      <w:r w:rsidRPr="009D78D1">
        <w:rPr>
          <w:rFonts w:hint="eastAsia"/>
          <w:sz w:val="24"/>
        </w:rPr>
        <w:t>單位：新臺幣千元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37"/>
        <w:gridCol w:w="1843"/>
        <w:gridCol w:w="1984"/>
        <w:gridCol w:w="2062"/>
        <w:gridCol w:w="1785"/>
      </w:tblGrid>
      <w:tr w:rsidR="00091D84" w:rsidRPr="009D78D1" w:rsidTr="00836B5C">
        <w:trPr>
          <w:tblHeader/>
        </w:trPr>
        <w:tc>
          <w:tcPr>
            <w:tcW w:w="837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年度</w:t>
            </w:r>
          </w:p>
        </w:tc>
        <w:tc>
          <w:tcPr>
            <w:tcW w:w="1843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收入總額</w:t>
            </w:r>
          </w:p>
        </w:tc>
        <w:tc>
          <w:tcPr>
            <w:tcW w:w="1984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政府補助收入</w:t>
            </w:r>
          </w:p>
        </w:tc>
        <w:tc>
          <w:tcPr>
            <w:tcW w:w="2062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自籌收入</w:t>
            </w:r>
          </w:p>
        </w:tc>
        <w:tc>
          <w:tcPr>
            <w:tcW w:w="1785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自籌收入比率</w:t>
            </w:r>
            <w:r w:rsidRPr="009D78D1">
              <w:t>%</w:t>
            </w:r>
          </w:p>
        </w:tc>
      </w:tr>
      <w:tr w:rsidR="00091D84" w:rsidRPr="009D78D1" w:rsidTr="00836B5C">
        <w:tc>
          <w:tcPr>
            <w:tcW w:w="837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110</w:t>
            </w:r>
          </w:p>
        </w:tc>
        <w:tc>
          <w:tcPr>
            <w:tcW w:w="1843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rPr>
                <w:rFonts w:hint="eastAsia"/>
              </w:rPr>
              <w:t>694</w:t>
            </w:r>
            <w:r w:rsidRPr="009D78D1">
              <w:t>,</w:t>
            </w:r>
            <w:r w:rsidRPr="009D78D1">
              <w:rPr>
                <w:rFonts w:hint="eastAsia"/>
              </w:rPr>
              <w:t>726</w:t>
            </w:r>
          </w:p>
        </w:tc>
        <w:tc>
          <w:tcPr>
            <w:tcW w:w="1984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rPr>
                <w:rFonts w:hint="eastAsia"/>
              </w:rPr>
              <w:t>419,852</w:t>
            </w:r>
          </w:p>
        </w:tc>
        <w:tc>
          <w:tcPr>
            <w:tcW w:w="2062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rPr>
                <w:rFonts w:hint="eastAsia"/>
              </w:rPr>
              <w:t>274,874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39.57</w:t>
            </w:r>
          </w:p>
        </w:tc>
      </w:tr>
      <w:tr w:rsidR="00091D84" w:rsidRPr="009D78D1" w:rsidTr="00836B5C">
        <w:tc>
          <w:tcPr>
            <w:tcW w:w="837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111</w:t>
            </w:r>
          </w:p>
        </w:tc>
        <w:tc>
          <w:tcPr>
            <w:tcW w:w="1843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rPr>
                <w:rFonts w:hint="eastAsia"/>
              </w:rPr>
              <w:t>739,983</w:t>
            </w:r>
          </w:p>
        </w:tc>
        <w:tc>
          <w:tcPr>
            <w:tcW w:w="1984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rPr>
                <w:rFonts w:hint="eastAsia"/>
              </w:rPr>
              <w:t>469,447</w:t>
            </w:r>
          </w:p>
        </w:tc>
        <w:tc>
          <w:tcPr>
            <w:tcW w:w="2062" w:type="dxa"/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rPr>
                <w:rFonts w:hint="eastAsia"/>
              </w:rPr>
              <w:t>270,536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36.56</w:t>
            </w:r>
          </w:p>
        </w:tc>
      </w:tr>
      <w:tr w:rsidR="00091D84" w:rsidRPr="009D78D1" w:rsidTr="00836B5C">
        <w:tc>
          <w:tcPr>
            <w:tcW w:w="837" w:type="dxa"/>
            <w:tcBorders>
              <w:bottom w:val="double" w:sz="4" w:space="0" w:color="auto"/>
            </w:tcBorders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lastRenderedPageBreak/>
              <w:t>112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t>976,372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616,759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359,613</w:t>
            </w:r>
          </w:p>
        </w:tc>
        <w:tc>
          <w:tcPr>
            <w:tcW w:w="17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36.83</w:t>
            </w:r>
          </w:p>
        </w:tc>
      </w:tr>
      <w:tr w:rsidR="00091D84" w:rsidRPr="009D78D1" w:rsidTr="00836B5C">
        <w:tc>
          <w:tcPr>
            <w:tcW w:w="83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113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t>705,892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355,468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350,424</w:t>
            </w:r>
          </w:p>
        </w:tc>
        <w:tc>
          <w:tcPr>
            <w:tcW w:w="178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shd w:val="pct15" w:color="auto" w:fill="FFFFFF"/>
              </w:rPr>
            </w:pPr>
            <w:r w:rsidRPr="009D78D1">
              <w:rPr>
                <w:rFonts w:hint="eastAsia"/>
                <w:shd w:val="pct15" w:color="auto" w:fill="FFFFFF"/>
              </w:rPr>
              <w:t>49.64</w:t>
            </w:r>
          </w:p>
        </w:tc>
      </w:tr>
      <w:tr w:rsidR="00091D84" w:rsidRPr="009D78D1" w:rsidTr="00836B5C">
        <w:tc>
          <w:tcPr>
            <w:tcW w:w="837" w:type="dxa"/>
            <w:tcBorders>
              <w:top w:val="single" w:sz="6" w:space="0" w:color="auto"/>
            </w:tcBorders>
            <w:shd w:val="clear" w:color="auto" w:fill="auto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114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shd w:val="clear" w:color="auto" w:fill="auto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t>782,944</w:t>
            </w:r>
          </w:p>
        </w:tc>
        <w:tc>
          <w:tcPr>
            <w:tcW w:w="19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413,967</w:t>
            </w:r>
          </w:p>
        </w:tc>
        <w:tc>
          <w:tcPr>
            <w:tcW w:w="206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368,977</w:t>
            </w:r>
          </w:p>
        </w:tc>
        <w:tc>
          <w:tcPr>
            <w:tcW w:w="178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shd w:val="pct15" w:color="auto" w:fill="FFFFFF"/>
              </w:rPr>
            </w:pPr>
            <w:r w:rsidRPr="009D78D1">
              <w:rPr>
                <w:rFonts w:hint="eastAsia"/>
                <w:shd w:val="pct15" w:color="auto" w:fill="FFFFFF"/>
              </w:rPr>
              <w:t>47.13</w:t>
            </w:r>
          </w:p>
        </w:tc>
      </w:tr>
    </w:tbl>
    <w:p w:rsidR="00091D84" w:rsidRPr="009D78D1" w:rsidRDefault="00091D84" w:rsidP="00091D84">
      <w:pPr>
        <w:pStyle w:val="143"/>
        <w:ind w:left="1458" w:hangingChars="599" w:hanging="1458"/>
        <w:jc w:val="both"/>
      </w:pPr>
      <w:r w:rsidRPr="009D78D1">
        <w:rPr>
          <w:rFonts w:hint="eastAsia"/>
        </w:rPr>
        <w:t>說    明：1.據國防醫學院說明，本表係模擬作業基金採用企業會計準則，評估國防醫學院110 至 112 年度公務預、決算財務資訊中，屬於113年度納入該基金範圍內且可列為基金收入之會計項目予以合計，非基金110年度至112年之預、決算數。</w:t>
      </w:r>
    </w:p>
    <w:p w:rsidR="00091D84" w:rsidRPr="009D78D1" w:rsidRDefault="00091D84" w:rsidP="00091D84">
      <w:pPr>
        <w:pStyle w:val="143"/>
        <w:ind w:leftChars="425" w:left="1470" w:hangingChars="109" w:hanging="265"/>
        <w:jc w:val="both"/>
      </w:pPr>
      <w:r w:rsidRPr="009D78D1">
        <w:rPr>
          <w:rFonts w:hint="eastAsia"/>
        </w:rPr>
        <w:t>2.政府補助收入為經常門及資本門合計數公務預、決算與作業基金預、決算所採用之編制會計基礎不同，該基金暫無法將110至112年度之公務預、決算全面改採用作業基金企業會計準則，重新編製財務報表及財務資訊</w:t>
      </w:r>
      <w:r w:rsidRPr="009D78D1">
        <w:rPr>
          <w:rFonts w:hAnsi="標楷體" w:hint="eastAsia"/>
        </w:rPr>
        <w:t>；</w:t>
      </w:r>
      <w:r w:rsidRPr="009D78D1">
        <w:rPr>
          <w:rFonts w:hint="eastAsia"/>
        </w:rPr>
        <w:t>如各年度之間需比較，113年度數額需另加計「政府投資」數額3億6,859萬9千元。</w:t>
      </w:r>
    </w:p>
    <w:p w:rsidR="00091D84" w:rsidRPr="009D78D1" w:rsidRDefault="00091D84" w:rsidP="00091D84">
      <w:pPr>
        <w:pStyle w:val="143"/>
      </w:pPr>
      <w:r w:rsidRPr="009D78D1">
        <w:rPr>
          <w:rFonts w:hint="eastAsia"/>
        </w:rPr>
        <w:t>資料來源：國防醫學院，本中心整理。</w:t>
      </w:r>
    </w:p>
    <w:p w:rsidR="00091D84" w:rsidRPr="009D78D1" w:rsidRDefault="00091D84" w:rsidP="00091D84">
      <w:pPr>
        <w:ind w:left="567" w:firstLine="567"/>
      </w:pPr>
      <w:r w:rsidRPr="009D78D1">
        <w:rPr>
          <w:rFonts w:hint="eastAsia"/>
        </w:rPr>
        <w:t>綜上，國防醫學院軍事教育基金114年度自籌收入比率較113年度下滑且未達50%，為穩健基金財務，該基金允宜妥謀開源節流計畫，並強化財務自籌能力，以達所訂</w:t>
      </w:r>
      <w:r w:rsidRPr="009D78D1">
        <w:rPr>
          <w:rFonts w:hAnsi="標楷體" w:hint="eastAsia"/>
        </w:rPr>
        <w:t>「</w:t>
      </w:r>
      <w:r w:rsidRPr="009D78D1">
        <w:rPr>
          <w:rFonts w:hint="eastAsia"/>
        </w:rPr>
        <w:t>前瞻校務經營，厚植財務管理」之目標。</w:t>
      </w:r>
    </w:p>
    <w:bookmarkEnd w:id="10"/>
    <w:bookmarkEnd w:id="11"/>
    <w:bookmarkEnd w:id="12"/>
    <w:sectPr w:rsidR="00091D84" w:rsidRPr="009D78D1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C20F76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  <w:footnote w:id="1">
    <w:p w:rsidR="00091D84" w:rsidRPr="009D78D1" w:rsidRDefault="00091D84" w:rsidP="00091D84">
      <w:pPr>
        <w:pStyle w:val="143"/>
        <w:ind w:left="83" w:hangingChars="34" w:hanging="83"/>
        <w:jc w:val="both"/>
        <w:rPr>
          <w:rFonts w:hint="eastAsia"/>
        </w:rPr>
      </w:pPr>
      <w:r w:rsidRPr="009D78D1">
        <w:rPr>
          <w:rStyle w:val="af5"/>
        </w:rPr>
        <w:footnoteRef/>
      </w:r>
      <w:r w:rsidRPr="009D78D1">
        <w:rPr>
          <w:rFonts w:hint="eastAsia"/>
        </w:rPr>
        <w:t>國防醫學院軍事教育基金114年度預算案自籌收入包含教學收入</w:t>
      </w:r>
      <w:r w:rsidRPr="009D78D1">
        <w:t>3</w:t>
      </w:r>
      <w:r w:rsidRPr="009D78D1">
        <w:rPr>
          <w:rFonts w:hint="eastAsia"/>
        </w:rPr>
        <w:t>億</w:t>
      </w:r>
      <w:r w:rsidRPr="009D78D1">
        <w:t>3</w:t>
      </w:r>
      <w:r w:rsidRPr="009D78D1">
        <w:rPr>
          <w:rFonts w:hint="eastAsia"/>
        </w:rPr>
        <w:t>,</w:t>
      </w:r>
      <w:r w:rsidRPr="009D78D1">
        <w:t>571</w:t>
      </w:r>
      <w:r w:rsidRPr="009D78D1">
        <w:rPr>
          <w:rFonts w:hint="eastAsia"/>
        </w:rPr>
        <w:t>萬</w:t>
      </w:r>
      <w:r w:rsidRPr="009D78D1">
        <w:t>9</w:t>
      </w:r>
      <w:r w:rsidRPr="009D78D1">
        <w:rPr>
          <w:rFonts w:hint="eastAsia"/>
        </w:rPr>
        <w:t>千元、租金及權利金收入</w:t>
      </w:r>
      <w:r w:rsidRPr="009D78D1">
        <w:t>150</w:t>
      </w:r>
      <w:r w:rsidRPr="009D78D1">
        <w:rPr>
          <w:rFonts w:hint="eastAsia"/>
        </w:rPr>
        <w:t>萬元</w:t>
      </w:r>
      <w:r w:rsidRPr="009D78D1">
        <w:rPr>
          <w:rFonts w:ascii="新細明體" w:eastAsia="新細明體" w:hAnsi="新細明體" w:hint="eastAsia"/>
        </w:rPr>
        <w:t>、</w:t>
      </w:r>
      <w:r w:rsidRPr="009D78D1">
        <w:rPr>
          <w:rFonts w:hint="eastAsia"/>
        </w:rPr>
        <w:t>其他業務收入33萬3千元及業務外收入3</w:t>
      </w:r>
      <w:r w:rsidRPr="009D78D1">
        <w:t>,</w:t>
      </w:r>
      <w:r w:rsidRPr="009D78D1">
        <w:rPr>
          <w:rFonts w:hint="eastAsia"/>
        </w:rPr>
        <w:t>142萬5千元。</w:t>
      </w:r>
    </w:p>
  </w:footnote>
  <w:footnote w:id="2">
    <w:p w:rsidR="00091D84" w:rsidRPr="009D78D1" w:rsidRDefault="00091D84" w:rsidP="00091D84">
      <w:pPr>
        <w:pStyle w:val="143"/>
        <w:ind w:left="68" w:hangingChars="28" w:hanging="68"/>
        <w:jc w:val="both"/>
      </w:pPr>
      <w:r w:rsidRPr="009D78D1">
        <w:rPr>
          <w:rStyle w:val="af5"/>
        </w:rPr>
        <w:footnoteRef/>
      </w:r>
      <w:r w:rsidRPr="009D78D1">
        <w:rPr>
          <w:rFonts w:hint="eastAsia"/>
        </w:rPr>
        <w:t>國立大學校院務基金設置條例第 11 條第 1項規定：「校務基金預算之編製，應以國立大學校院中長程發展計畫為基礎，審酌基金之財務及預估收支情形，在維持基金收支平衡或有賸餘之原則下，定明預估之教育績效目標，並納入年度財務規劃報告書，由國立大學校院公告之。」</w:t>
      </w:r>
    </w:p>
  </w:footnote>
  <w:footnote w:id="3">
    <w:p w:rsidR="00091D84" w:rsidRPr="009D78D1" w:rsidRDefault="00091D84" w:rsidP="00091D84">
      <w:pPr>
        <w:pStyle w:val="143"/>
        <w:ind w:left="97" w:hangingChars="40" w:hanging="97"/>
        <w:jc w:val="both"/>
      </w:pPr>
      <w:r w:rsidRPr="009D78D1">
        <w:rPr>
          <w:vertAlign w:val="superscript"/>
        </w:rPr>
        <w:footnoteRef/>
      </w:r>
      <w:r w:rsidRPr="009D78D1">
        <w:rPr>
          <w:rFonts w:hint="eastAsia"/>
        </w:rPr>
        <w:t>國立大學校院校務基金管理及監督辦法第23條第1項規定：「學校校務基金及各項自籌收入之執行，應以有賸餘或維持收支平衡為原則；如實際執行有短絀情形，學校應擬訂開源節流計畫，經管理委員會審議通過後執行。」</w:t>
      </w:r>
    </w:p>
  </w:footnote>
  <w:footnote w:id="4">
    <w:p w:rsidR="00091D84" w:rsidRPr="009D78D1" w:rsidRDefault="00091D84" w:rsidP="00091D84">
      <w:pPr>
        <w:pStyle w:val="143"/>
        <w:ind w:left="83" w:hangingChars="34" w:hanging="83"/>
        <w:jc w:val="both"/>
        <w:rPr>
          <w:rFonts w:hint="eastAsia"/>
        </w:rPr>
      </w:pPr>
      <w:r w:rsidRPr="009D78D1">
        <w:rPr>
          <w:rStyle w:val="af5"/>
        </w:rPr>
        <w:footnoteRef/>
      </w:r>
      <w:r w:rsidRPr="009D78D1">
        <w:rPr>
          <w:rFonts w:hint="eastAsia"/>
        </w:rPr>
        <w:t>按軍事教育基金正式設置以前之收支係併入國防醫學院，故請其提供相關收入決算數。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76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05C9EC2-2BBD-45D0-9E0F-89483576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6D080-93D4-4035-B639-CA4CA6A16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