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CC" w:rsidRPr="00FC26CB" w:rsidRDefault="002B69CC" w:rsidP="002B69CC">
      <w:pPr>
        <w:adjustRightInd w:val="0"/>
        <w:ind w:leftChars="0" w:left="567" w:firstLineChars="0" w:hanging="567"/>
        <w:rPr>
          <w:rFonts w:hAnsi="標楷體"/>
          <w:b/>
          <w:sz w:val="36"/>
        </w:rPr>
      </w:pPr>
      <w:bookmarkStart w:id="0" w:name="_GoBack"/>
      <w:bookmarkEnd w:id="0"/>
      <w:r w:rsidRPr="00FC26CB">
        <w:rPr>
          <w:rFonts w:hAnsi="標楷體" w:hint="eastAsia"/>
          <w:b/>
          <w:sz w:val="36"/>
        </w:rPr>
        <w:t>中央研究院科學研究基金11</w:t>
      </w:r>
      <w:r w:rsidR="00C56310" w:rsidRPr="00FC26CB">
        <w:rPr>
          <w:rFonts w:hAnsi="標楷體" w:hint="eastAsia"/>
          <w:b/>
          <w:sz w:val="36"/>
        </w:rPr>
        <w:t>4</w:t>
      </w:r>
      <w:r w:rsidRPr="00FC26CB">
        <w:rPr>
          <w:rFonts w:hAnsi="標楷體" w:hint="eastAsia"/>
          <w:b/>
          <w:sz w:val="36"/>
        </w:rPr>
        <w:t>年度預算評估報告</w:t>
      </w:r>
    </w:p>
    <w:p w:rsidR="002B69CC" w:rsidRPr="00FC26CB" w:rsidRDefault="002E086F" w:rsidP="002B69CC">
      <w:pPr>
        <w:adjustRightInd w:val="0"/>
        <w:ind w:leftChars="0" w:left="0" w:firstLine="566"/>
      </w:pPr>
      <w:bookmarkStart w:id="1" w:name="_Toc211249846"/>
      <w:bookmarkStart w:id="2" w:name="_Toc261341542"/>
      <w:bookmarkStart w:id="3" w:name="_Toc276375500"/>
      <w:r w:rsidRPr="00FC26CB">
        <w:rPr>
          <w:rFonts w:hint="eastAsia"/>
        </w:rPr>
        <w:t>中央研究院科學研究基金(以下稱科研基金)</w:t>
      </w:r>
      <w:r w:rsidR="002B69CC" w:rsidRPr="00FC26CB">
        <w:rPr>
          <w:rFonts w:hint="eastAsia"/>
        </w:rPr>
        <w:t>11</w:t>
      </w:r>
      <w:r w:rsidR="00C56310" w:rsidRPr="00FC26CB">
        <w:rPr>
          <w:rFonts w:hint="eastAsia"/>
        </w:rPr>
        <w:t>4</w:t>
      </w:r>
      <w:r w:rsidR="002B69CC" w:rsidRPr="00FC26CB">
        <w:rPr>
          <w:rFonts w:hint="eastAsia"/>
        </w:rPr>
        <w:t>年度預算案編列基金來源</w:t>
      </w:r>
      <w:r w:rsidR="001D1716" w:rsidRPr="00FC26CB">
        <w:rPr>
          <w:rFonts w:hint="eastAsia"/>
        </w:rPr>
        <w:t>4</w:t>
      </w:r>
      <w:r w:rsidR="00C56310" w:rsidRPr="00FC26CB">
        <w:rPr>
          <w:rFonts w:hint="eastAsia"/>
        </w:rPr>
        <w:t>3</w:t>
      </w:r>
      <w:r w:rsidR="001D1716" w:rsidRPr="00FC26CB">
        <w:rPr>
          <w:rFonts w:hint="eastAsia"/>
        </w:rPr>
        <w:t>億</w:t>
      </w:r>
      <w:r w:rsidR="00C56310" w:rsidRPr="00FC26CB">
        <w:rPr>
          <w:rFonts w:hint="eastAsia"/>
        </w:rPr>
        <w:t>2</w:t>
      </w:r>
      <w:r w:rsidR="001D1716" w:rsidRPr="00FC26CB">
        <w:rPr>
          <w:rFonts w:hint="eastAsia"/>
        </w:rPr>
        <w:t>,</w:t>
      </w:r>
      <w:r w:rsidR="00C56310" w:rsidRPr="00FC26CB">
        <w:rPr>
          <w:rFonts w:hint="eastAsia"/>
        </w:rPr>
        <w:t>575</w:t>
      </w:r>
      <w:r w:rsidR="001D1716" w:rsidRPr="00FC26CB">
        <w:rPr>
          <w:rFonts w:hint="eastAsia"/>
        </w:rPr>
        <w:t>萬</w:t>
      </w:r>
      <w:r w:rsidR="00C56310" w:rsidRPr="00FC26CB">
        <w:rPr>
          <w:rFonts w:hint="eastAsia"/>
        </w:rPr>
        <w:t>3</w:t>
      </w:r>
      <w:r w:rsidR="001D1716" w:rsidRPr="00FC26CB">
        <w:rPr>
          <w:rFonts w:hint="eastAsia"/>
        </w:rPr>
        <w:t>千元</w:t>
      </w:r>
      <w:r w:rsidR="002B69CC" w:rsidRPr="00FC26CB">
        <w:rPr>
          <w:rFonts w:hAnsi="標楷體" w:hint="eastAsia"/>
        </w:rPr>
        <w:t>、</w:t>
      </w:r>
      <w:r w:rsidR="002B69CC" w:rsidRPr="00FC26CB">
        <w:rPr>
          <w:rFonts w:hint="eastAsia"/>
        </w:rPr>
        <w:t>基金用途</w:t>
      </w:r>
      <w:r w:rsidR="001D1716" w:rsidRPr="00FC26CB">
        <w:rPr>
          <w:rFonts w:hint="eastAsia"/>
        </w:rPr>
        <w:t>4</w:t>
      </w:r>
      <w:r w:rsidR="00C56310" w:rsidRPr="00FC26CB">
        <w:rPr>
          <w:rFonts w:hint="eastAsia"/>
        </w:rPr>
        <w:t>3</w:t>
      </w:r>
      <w:r w:rsidR="001D1716" w:rsidRPr="00FC26CB">
        <w:rPr>
          <w:rFonts w:hint="eastAsia"/>
        </w:rPr>
        <w:t>億</w:t>
      </w:r>
      <w:r w:rsidR="00C56310" w:rsidRPr="00FC26CB">
        <w:rPr>
          <w:rFonts w:hint="eastAsia"/>
        </w:rPr>
        <w:t>2</w:t>
      </w:r>
      <w:r w:rsidR="001D1716" w:rsidRPr="00FC26CB">
        <w:rPr>
          <w:rFonts w:hint="eastAsia"/>
        </w:rPr>
        <w:t>,</w:t>
      </w:r>
      <w:r w:rsidR="00C56310" w:rsidRPr="00FC26CB">
        <w:rPr>
          <w:rFonts w:hint="eastAsia"/>
        </w:rPr>
        <w:t>491</w:t>
      </w:r>
      <w:r w:rsidR="001D1716" w:rsidRPr="00FC26CB">
        <w:rPr>
          <w:rFonts w:hint="eastAsia"/>
        </w:rPr>
        <w:t>萬</w:t>
      </w:r>
      <w:r w:rsidR="00C56310" w:rsidRPr="00FC26CB">
        <w:rPr>
          <w:rFonts w:hint="eastAsia"/>
        </w:rPr>
        <w:t>3</w:t>
      </w:r>
      <w:r w:rsidR="001D1716" w:rsidRPr="00FC26CB">
        <w:rPr>
          <w:rFonts w:hint="eastAsia"/>
        </w:rPr>
        <w:t>千元</w:t>
      </w:r>
      <w:r>
        <w:rPr>
          <w:rFonts w:hAnsi="標楷體" w:hint="eastAsia"/>
        </w:rPr>
        <w:t>，</w:t>
      </w:r>
      <w:r w:rsidR="002B69CC" w:rsidRPr="00FC26CB">
        <w:rPr>
          <w:rFonts w:hAnsi="標楷體" w:hint="eastAsia"/>
        </w:rPr>
        <w:t>收支相抵後</w:t>
      </w:r>
      <w:r w:rsidR="002B69CC" w:rsidRPr="00FC26CB">
        <w:rPr>
          <w:rFonts w:hint="eastAsia"/>
        </w:rPr>
        <w:t>預算</w:t>
      </w:r>
      <w:r w:rsidR="007B0F9D" w:rsidRPr="00FC26CB">
        <w:rPr>
          <w:rFonts w:hint="eastAsia"/>
        </w:rPr>
        <w:t>賸餘</w:t>
      </w:r>
      <w:r w:rsidR="00C56310" w:rsidRPr="00FC26CB">
        <w:rPr>
          <w:rFonts w:hint="eastAsia"/>
        </w:rPr>
        <w:t>84</w:t>
      </w:r>
      <w:r w:rsidR="001D1716" w:rsidRPr="00FC26CB">
        <w:rPr>
          <w:rFonts w:hint="eastAsia"/>
        </w:rPr>
        <w:t>萬元</w:t>
      </w:r>
      <w:r w:rsidR="002B69CC" w:rsidRPr="00FC26CB">
        <w:rPr>
          <w:rFonts w:hint="eastAsia"/>
        </w:rPr>
        <w:t>，較11</w:t>
      </w:r>
      <w:r w:rsidR="00C56310" w:rsidRPr="00FC26CB">
        <w:rPr>
          <w:rFonts w:hint="eastAsia"/>
        </w:rPr>
        <w:t>3</w:t>
      </w:r>
      <w:r w:rsidR="002B69CC" w:rsidRPr="00FC26CB">
        <w:rPr>
          <w:rFonts w:hint="eastAsia"/>
        </w:rPr>
        <w:t>年度預算</w:t>
      </w:r>
      <w:r>
        <w:rPr>
          <w:rFonts w:hint="eastAsia"/>
        </w:rPr>
        <w:t>案</w:t>
      </w:r>
      <w:r w:rsidR="001D1716" w:rsidRPr="00FC26CB">
        <w:rPr>
          <w:rFonts w:hint="eastAsia"/>
        </w:rPr>
        <w:t>賸餘</w:t>
      </w:r>
      <w:r w:rsidR="00C56310" w:rsidRPr="00FC26CB">
        <w:rPr>
          <w:rFonts w:hint="eastAsia"/>
        </w:rPr>
        <w:t>2</w:t>
      </w:r>
      <w:r w:rsidR="001D1716" w:rsidRPr="00FC26CB">
        <w:rPr>
          <w:rFonts w:hint="eastAsia"/>
        </w:rPr>
        <w:t>,</w:t>
      </w:r>
      <w:r w:rsidR="00C56310" w:rsidRPr="00FC26CB">
        <w:rPr>
          <w:rFonts w:hint="eastAsia"/>
        </w:rPr>
        <w:t>816</w:t>
      </w:r>
      <w:r w:rsidR="001D1716" w:rsidRPr="00FC26CB">
        <w:rPr>
          <w:rFonts w:hint="eastAsia"/>
        </w:rPr>
        <w:t>萬元減少</w:t>
      </w:r>
      <w:r w:rsidR="00C56310" w:rsidRPr="00FC26CB">
        <w:rPr>
          <w:rFonts w:hint="eastAsia"/>
        </w:rPr>
        <w:t>2</w:t>
      </w:r>
      <w:r w:rsidR="00C56310" w:rsidRPr="00FC26CB">
        <w:t>,</w:t>
      </w:r>
      <w:r w:rsidR="00C56310" w:rsidRPr="00FC26CB">
        <w:rPr>
          <w:rFonts w:hint="eastAsia"/>
        </w:rPr>
        <w:t>732</w:t>
      </w:r>
      <w:r w:rsidR="001D1716" w:rsidRPr="00FC26CB">
        <w:rPr>
          <w:rFonts w:hint="eastAsia"/>
        </w:rPr>
        <w:t>萬元</w:t>
      </w:r>
      <w:r w:rsidR="002B69CC" w:rsidRPr="00FC26CB">
        <w:rPr>
          <w:rFonts w:hint="eastAsia"/>
        </w:rPr>
        <w:t>。謹就科研基金11</w:t>
      </w:r>
      <w:r w:rsidR="00C56310" w:rsidRPr="00FC26CB">
        <w:t>4</w:t>
      </w:r>
      <w:r w:rsidR="002B69CC" w:rsidRPr="00FC26CB">
        <w:rPr>
          <w:rFonts w:hint="eastAsia"/>
        </w:rPr>
        <w:t>年度預算案評估如下：</w:t>
      </w:r>
    </w:p>
    <w:p w:rsidR="003E33C1" w:rsidRPr="00FC26CB" w:rsidRDefault="003E33C1" w:rsidP="003E33C1">
      <w:pPr>
        <w:pStyle w:val="14"/>
        <w:ind w:left="567" w:hanging="567"/>
      </w:pPr>
      <w:bookmarkStart w:id="4" w:name="_Toc52184314"/>
      <w:bookmarkStart w:id="5" w:name="_Toc53175374"/>
      <w:bookmarkStart w:id="6" w:name="_Toc84348353"/>
      <w:bookmarkStart w:id="7" w:name="_Toc143852579"/>
      <w:bookmarkStart w:id="8" w:name="_Toc109735295"/>
      <w:bookmarkStart w:id="9" w:name="_Toc110585606"/>
      <w:bookmarkStart w:id="10" w:name="_Toc20383121"/>
      <w:bookmarkStart w:id="11" w:name="_Toc367201294"/>
      <w:bookmarkStart w:id="12" w:name="_Toc367785541"/>
      <w:bookmarkStart w:id="13" w:name="_Toc367201296"/>
      <w:bookmarkStart w:id="14" w:name="_Toc367785544"/>
      <w:bookmarkStart w:id="15" w:name="_Toc242879879"/>
      <w:bookmarkStart w:id="16" w:name="_Toc367785555"/>
      <w:bookmarkStart w:id="17" w:name="_Toc52184320"/>
      <w:bookmarkStart w:id="18" w:name="_Toc53175378"/>
      <w:bookmarkStart w:id="19" w:name="_Toc84348359"/>
      <w:bookmarkStart w:id="20" w:name="_Toc401133225"/>
      <w:bookmarkStart w:id="21" w:name="_Toc117062278"/>
      <w:bookmarkStart w:id="22" w:name="_Toc52184319"/>
      <w:bookmarkStart w:id="23" w:name="_Toc53175377"/>
      <w:bookmarkStart w:id="24" w:name="_Toc84348355"/>
      <w:bookmarkStart w:id="25" w:name="_Toc52184316"/>
      <w:bookmarkStart w:id="26" w:name="_Toc181689815"/>
      <w:r w:rsidRPr="00FC26CB">
        <w:rPr>
          <w:rFonts w:hint="eastAsia"/>
        </w:rPr>
        <w:t>八、</w:t>
      </w:r>
      <w:bookmarkStart w:id="27" w:name="_Hlk181104400"/>
      <w:bookmarkEnd w:id="17"/>
      <w:bookmarkEnd w:id="18"/>
      <w:bookmarkEnd w:id="19"/>
      <w:r w:rsidRPr="00FC26CB">
        <w:rPr>
          <w:rFonts w:hint="eastAsia"/>
        </w:rPr>
        <w:t>臺灣人體生物資料庫建置</w:t>
      </w:r>
      <w:r w:rsidR="001C47B1">
        <w:rPr>
          <w:rFonts w:hint="eastAsia"/>
        </w:rPr>
        <w:t>多</w:t>
      </w:r>
      <w:r w:rsidRPr="00FC26CB">
        <w:rPr>
          <w:rFonts w:hint="eastAsia"/>
        </w:rPr>
        <w:t>年</w:t>
      </w:r>
      <w:bookmarkEnd w:id="27"/>
      <w:r w:rsidRPr="00FC26CB">
        <w:rPr>
          <w:rFonts w:hint="eastAsia"/>
        </w:rPr>
        <w:t>，惟</w:t>
      </w:r>
      <w:r w:rsidR="001C47B1">
        <w:rPr>
          <w:rFonts w:hint="eastAsia"/>
        </w:rPr>
        <w:t>其運用效益占支出之比率</w:t>
      </w:r>
      <w:r w:rsidRPr="00FC26CB">
        <w:rPr>
          <w:rFonts w:hint="eastAsia"/>
        </w:rPr>
        <w:t>偏低，允宜積極推廣民間產業利用，俾增計畫推動成效</w:t>
      </w:r>
      <w:bookmarkEnd w:id="26"/>
    </w:p>
    <w:p w:rsidR="003E33C1" w:rsidRPr="00FC26CB" w:rsidRDefault="003E33C1" w:rsidP="003E33C1">
      <w:pPr>
        <w:ind w:left="566" w:firstLine="566"/>
      </w:pPr>
      <w:r w:rsidRPr="00FC26CB">
        <w:rPr>
          <w:rFonts w:hint="eastAsia"/>
        </w:rPr>
        <w:t>科研基金11</w:t>
      </w:r>
      <w:r w:rsidR="00F0304E" w:rsidRPr="00FC26CB">
        <w:rPr>
          <w:rFonts w:hint="eastAsia"/>
        </w:rPr>
        <w:t>4</w:t>
      </w:r>
      <w:r w:rsidRPr="00FC26CB">
        <w:rPr>
          <w:rFonts w:hint="eastAsia"/>
        </w:rPr>
        <w:t>年度預算案「科研環境領航計畫</w:t>
      </w:r>
      <w:bookmarkStart w:id="28" w:name="_Hlk181107599"/>
      <w:r w:rsidR="001C47B1">
        <w:rPr>
          <w:rFonts w:hint="eastAsia"/>
        </w:rPr>
        <w:t>-</w:t>
      </w:r>
      <w:r w:rsidR="001C47B1" w:rsidRPr="00FC26CB">
        <w:rPr>
          <w:rFonts w:hint="eastAsia"/>
        </w:rPr>
        <w:t>臺灣人體生物資料庫計畫</w:t>
      </w:r>
      <w:bookmarkEnd w:id="28"/>
      <w:r w:rsidRPr="00FC26CB">
        <w:rPr>
          <w:rFonts w:hint="eastAsia"/>
        </w:rPr>
        <w:t>」</w:t>
      </w:r>
      <w:r w:rsidR="007F7453" w:rsidRPr="00FC26CB">
        <w:rPr>
          <w:rFonts w:hint="eastAsia"/>
        </w:rPr>
        <w:t>(以下稱生物資料庫)</w:t>
      </w:r>
      <w:r w:rsidRPr="00FC26CB">
        <w:rPr>
          <w:rFonts w:hint="eastAsia"/>
        </w:rPr>
        <w:t>編列2億5,</w:t>
      </w:r>
      <w:r w:rsidR="00F0304E" w:rsidRPr="00FC26CB">
        <w:rPr>
          <w:rFonts w:hint="eastAsia"/>
        </w:rPr>
        <w:t>477</w:t>
      </w:r>
      <w:r w:rsidRPr="00FC26CB">
        <w:rPr>
          <w:rFonts w:hint="eastAsia"/>
        </w:rPr>
        <w:t>萬</w:t>
      </w:r>
      <w:r w:rsidR="00F0304E" w:rsidRPr="00FC26CB">
        <w:rPr>
          <w:rFonts w:hint="eastAsia"/>
        </w:rPr>
        <w:t>5千</w:t>
      </w:r>
      <w:r w:rsidRPr="00FC26CB">
        <w:rPr>
          <w:rFonts w:hint="eastAsia"/>
        </w:rPr>
        <w:t>元，較11</w:t>
      </w:r>
      <w:r w:rsidR="00F0304E" w:rsidRPr="00FC26CB">
        <w:rPr>
          <w:rFonts w:hint="eastAsia"/>
        </w:rPr>
        <w:t>3</w:t>
      </w:r>
      <w:r w:rsidRPr="00FC26CB">
        <w:rPr>
          <w:rFonts w:hint="eastAsia"/>
        </w:rPr>
        <w:t>年度2億5,</w:t>
      </w:r>
      <w:r w:rsidR="00F0304E" w:rsidRPr="00FC26CB">
        <w:rPr>
          <w:rFonts w:hint="eastAsia"/>
        </w:rPr>
        <w:t>000</w:t>
      </w:r>
      <w:r w:rsidRPr="00FC26CB">
        <w:rPr>
          <w:rFonts w:hint="eastAsia"/>
        </w:rPr>
        <w:t>萬元</w:t>
      </w:r>
      <w:r w:rsidR="00F0304E" w:rsidRPr="00FC26CB">
        <w:rPr>
          <w:rFonts w:hint="eastAsia"/>
        </w:rPr>
        <w:t>增加477</w:t>
      </w:r>
      <w:r w:rsidRPr="00FC26CB">
        <w:rPr>
          <w:rFonts w:hint="eastAsia"/>
        </w:rPr>
        <w:t>萬</w:t>
      </w:r>
      <w:r w:rsidR="00F0304E" w:rsidRPr="00FC26CB">
        <w:rPr>
          <w:rFonts w:hint="eastAsia"/>
        </w:rPr>
        <w:t>5</w:t>
      </w:r>
      <w:r w:rsidRPr="00FC26CB">
        <w:rPr>
          <w:rFonts w:hint="eastAsia"/>
        </w:rPr>
        <w:t>千元(</w:t>
      </w:r>
      <w:r w:rsidR="00F0304E" w:rsidRPr="00FC26CB">
        <w:rPr>
          <w:rFonts w:hint="eastAsia"/>
        </w:rPr>
        <w:t>增</w:t>
      </w:r>
      <w:r w:rsidRPr="00FC26CB">
        <w:rPr>
          <w:rFonts w:hint="eastAsia"/>
        </w:rPr>
        <w:t>幅</w:t>
      </w:r>
      <w:r w:rsidR="00F0304E" w:rsidRPr="00FC26CB">
        <w:rPr>
          <w:rFonts w:hint="eastAsia"/>
        </w:rPr>
        <w:t>1.91</w:t>
      </w:r>
      <w:r w:rsidRPr="00FC26CB">
        <w:rPr>
          <w:rFonts w:hint="eastAsia"/>
        </w:rPr>
        <w:t>%)。經查：</w:t>
      </w:r>
    </w:p>
    <w:p w:rsidR="003E33C1" w:rsidRPr="00FC26CB" w:rsidRDefault="003E33C1" w:rsidP="003E33C1">
      <w:pPr>
        <w:pStyle w:val="a4"/>
        <w:ind w:left="849" w:hanging="283"/>
      </w:pPr>
      <w:r w:rsidRPr="00FC26CB">
        <w:rPr>
          <w:rFonts w:hint="eastAsia"/>
        </w:rPr>
        <w:t>(一)</w:t>
      </w:r>
      <w:r w:rsidR="007F7453" w:rsidRPr="00FC26CB">
        <w:rPr>
          <w:rFonts w:hint="eastAsia"/>
        </w:rPr>
        <w:t>生物</w:t>
      </w:r>
      <w:r w:rsidR="007377E7" w:rsidRPr="00FC26CB">
        <w:rPr>
          <w:rFonts w:hint="eastAsia"/>
        </w:rPr>
        <w:t>資料庫建置逾10年</w:t>
      </w:r>
      <w:r w:rsidR="007377E7" w:rsidRPr="00FC26CB">
        <w:rPr>
          <w:rFonts w:hAnsi="標楷體" w:hint="eastAsia"/>
        </w:rPr>
        <w:t>，已蒐集</w:t>
      </w:r>
      <w:r w:rsidR="007F1414" w:rsidRPr="00FC26CB">
        <w:rPr>
          <w:rFonts w:hAnsi="標楷體" w:hint="eastAsia"/>
        </w:rPr>
        <w:t>鉅</w:t>
      </w:r>
      <w:r w:rsidR="007377E7" w:rsidRPr="00FC26CB">
        <w:rPr>
          <w:rFonts w:hAnsi="標楷體" w:hint="eastAsia"/>
        </w:rPr>
        <w:t>量國人生物資料，供產官學研各單位申請使用</w:t>
      </w:r>
    </w:p>
    <w:p w:rsidR="00705B0D" w:rsidRPr="00FC26CB" w:rsidRDefault="003A63C2" w:rsidP="003A63C2">
      <w:pPr>
        <w:pStyle w:val="21"/>
        <w:ind w:left="850" w:firstLine="566"/>
        <w:rPr>
          <w:rFonts w:hAnsi="標楷體"/>
        </w:rPr>
      </w:pPr>
      <w:r w:rsidRPr="00FC26CB">
        <w:rPr>
          <w:rFonts w:hint="eastAsia"/>
        </w:rPr>
        <w:t>中研院於</w:t>
      </w:r>
      <w:r w:rsidRPr="00FC26CB">
        <w:t>101</w:t>
      </w:r>
      <w:r w:rsidRPr="00FC26CB">
        <w:rPr>
          <w:rFonts w:hint="eastAsia"/>
        </w:rPr>
        <w:t>年設置生物資料庫</w:t>
      </w:r>
      <w:r w:rsidR="00705B0D" w:rsidRPr="00FC26CB">
        <w:rPr>
          <w:rFonts w:hAnsi="標楷體" w:hint="eastAsia"/>
        </w:rPr>
        <w:t>，</w:t>
      </w:r>
      <w:r w:rsidRPr="00FC26CB">
        <w:rPr>
          <w:rFonts w:hint="eastAsia"/>
        </w:rPr>
        <w:t>經由</w:t>
      </w:r>
      <w:r w:rsidRPr="00FC26CB">
        <w:t>收集民眾健康資訊及生物檢體，聚焦國人代謝與老化相關疾病之體學資料、環境因素及生活型態等，</w:t>
      </w:r>
      <w:r w:rsidRPr="00FC26CB">
        <w:rPr>
          <w:rFonts w:hint="eastAsia"/>
        </w:rPr>
        <w:t>建置完善專屬國人之生物資料庫</w:t>
      </w:r>
      <w:r w:rsidR="004B4F67" w:rsidRPr="00FC26CB">
        <w:rPr>
          <w:rFonts w:hAnsi="標楷體" w:hint="eastAsia"/>
        </w:rPr>
        <w:t>，</w:t>
      </w:r>
      <w:r w:rsidR="00705B0D" w:rsidRPr="00FC26CB">
        <w:rPr>
          <w:rFonts w:hAnsi="標楷體" w:hint="eastAsia"/>
        </w:rPr>
        <w:t>期</w:t>
      </w:r>
      <w:r w:rsidRPr="00FC26CB">
        <w:t>加速精準化預防及醫療、新藥開發，邁向精準健康照護，造福臺灣世代民眾。</w:t>
      </w:r>
      <w:r w:rsidRPr="00FC26CB">
        <w:rPr>
          <w:rFonts w:hint="eastAsia"/>
        </w:rPr>
        <w:t>該資料庫已蒐集</w:t>
      </w:r>
      <w:r w:rsidR="004B4F67" w:rsidRPr="00FC26CB">
        <w:rPr>
          <w:rFonts w:hint="eastAsia"/>
        </w:rPr>
        <w:t>國人</w:t>
      </w:r>
      <w:r w:rsidRPr="00FC26CB">
        <w:rPr>
          <w:rFonts w:hint="eastAsia"/>
        </w:rPr>
        <w:t>26萬餘人次完整</w:t>
      </w:r>
      <w:r w:rsidR="00705B0D" w:rsidRPr="00FC26CB">
        <w:rPr>
          <w:rFonts w:hint="eastAsia"/>
        </w:rPr>
        <w:t>個案</w:t>
      </w:r>
      <w:r w:rsidRPr="00FC26CB">
        <w:rPr>
          <w:rFonts w:hint="eastAsia"/>
        </w:rPr>
        <w:t>資料</w:t>
      </w:r>
      <w:r w:rsidRPr="00FC26CB">
        <w:rPr>
          <w:rFonts w:hAnsi="標楷體" w:hint="eastAsia"/>
        </w:rPr>
        <w:t>、</w:t>
      </w:r>
      <w:r w:rsidRPr="00FC26CB">
        <w:rPr>
          <w:rFonts w:hint="eastAsia"/>
        </w:rPr>
        <w:t>可供釋出全基因體定型14萬餘筆</w:t>
      </w:r>
      <w:r w:rsidRPr="00FC26CB">
        <w:rPr>
          <w:rFonts w:hAnsi="標楷體" w:hint="eastAsia"/>
        </w:rPr>
        <w:t>、可供釋出數位資料1</w:t>
      </w:r>
      <w:r w:rsidRPr="00FC26CB">
        <w:rPr>
          <w:rFonts w:hAnsi="標楷體"/>
        </w:rPr>
        <w:t>,</w:t>
      </w:r>
      <w:r w:rsidRPr="00FC26CB">
        <w:rPr>
          <w:rFonts w:hAnsi="標楷體" w:hint="eastAsia"/>
        </w:rPr>
        <w:t>500兆位元組、生物檢體DNA、血液、尿液等逾290萬管</w:t>
      </w:r>
      <w:r w:rsidR="00705B0D" w:rsidRPr="00FC26CB">
        <w:rPr>
          <w:rFonts w:hAnsi="標楷體" w:hint="eastAsia"/>
        </w:rPr>
        <w:t>等，</w:t>
      </w:r>
      <w:r w:rsidR="007377E7" w:rsidRPr="00FC26CB">
        <w:rPr>
          <w:rFonts w:hAnsi="標楷體" w:hint="eastAsia"/>
        </w:rPr>
        <w:t>並與國家實驗研究院國家高速網路及計算中心合作建立資料釋出系統和資料異地備援，</w:t>
      </w:r>
      <w:bookmarkStart w:id="29" w:name="_Hlk181104804"/>
      <w:r w:rsidR="00705B0D" w:rsidRPr="00FC26CB">
        <w:rPr>
          <w:rFonts w:hAnsi="標楷體" w:hint="eastAsia"/>
        </w:rPr>
        <w:t>供產官學研各單位申請使用</w:t>
      </w:r>
      <w:bookmarkEnd w:id="29"/>
      <w:r w:rsidR="00705B0D" w:rsidRPr="00FC26CB">
        <w:rPr>
          <w:rFonts w:hAnsi="標楷體" w:hint="eastAsia"/>
        </w:rPr>
        <w:t>；並已釋出4億人次及生物檢體逾29萬管</w:t>
      </w:r>
      <w:r w:rsidR="001C47B1">
        <w:rPr>
          <w:rFonts w:hAnsi="標楷體" w:hint="eastAsia"/>
        </w:rPr>
        <w:t>及</w:t>
      </w:r>
      <w:r w:rsidR="004B4F67" w:rsidRPr="00FC26CB">
        <w:rPr>
          <w:rFonts w:hAnsi="標楷體" w:hint="eastAsia"/>
        </w:rPr>
        <w:t>超過500件</w:t>
      </w:r>
      <w:r w:rsidR="00705B0D" w:rsidRPr="00FC26CB">
        <w:rPr>
          <w:rFonts w:hAnsi="標楷體" w:hint="eastAsia"/>
        </w:rPr>
        <w:t>申請</w:t>
      </w:r>
      <w:r w:rsidR="004B4F67" w:rsidRPr="00FC26CB">
        <w:rPr>
          <w:rFonts w:hAnsi="標楷體" w:hint="eastAsia"/>
        </w:rPr>
        <w:t>案</w:t>
      </w:r>
      <w:r w:rsidR="001C47B1">
        <w:rPr>
          <w:rFonts w:hAnsi="標楷體" w:hint="eastAsia"/>
        </w:rPr>
        <w:t>，</w:t>
      </w:r>
      <w:r w:rsidR="004B4F67" w:rsidRPr="00FC26CB">
        <w:rPr>
          <w:rFonts w:hAnsi="標楷體" w:hint="eastAsia"/>
        </w:rPr>
        <w:t>申請</w:t>
      </w:r>
      <w:r w:rsidR="00705B0D" w:rsidRPr="00FC26CB">
        <w:rPr>
          <w:rFonts w:hAnsi="標楷體" w:hint="eastAsia"/>
        </w:rPr>
        <w:t>者發表於國際期刊</w:t>
      </w:r>
      <w:r w:rsidR="00921DDD">
        <w:rPr>
          <w:rFonts w:hAnsi="標楷體" w:hint="eastAsia"/>
        </w:rPr>
        <w:t>則</w:t>
      </w:r>
      <w:r w:rsidR="00705B0D" w:rsidRPr="00FC26CB">
        <w:rPr>
          <w:rFonts w:hAnsi="標楷體" w:hint="eastAsia"/>
        </w:rPr>
        <w:t>逾600篇。</w:t>
      </w:r>
    </w:p>
    <w:p w:rsidR="007377E7" w:rsidRPr="00FC26CB" w:rsidRDefault="007377E7" w:rsidP="007377E7">
      <w:pPr>
        <w:pStyle w:val="a4"/>
        <w:ind w:left="849" w:hanging="283"/>
        <w:rPr>
          <w:rStyle w:val="af8"/>
          <w:rFonts w:ascii="標楷體" w:hAnsi="標楷體"/>
        </w:rPr>
      </w:pPr>
      <w:r w:rsidRPr="00FC26CB">
        <w:rPr>
          <w:rStyle w:val="af8"/>
          <w:rFonts w:ascii="標楷體" w:hAnsi="標楷體" w:hint="eastAsia"/>
          <w:lang w:eastAsia="zh-TW"/>
        </w:rPr>
        <w:t>(</w:t>
      </w:r>
      <w:r w:rsidRPr="00FC26CB">
        <w:rPr>
          <w:rStyle w:val="af8"/>
          <w:rFonts w:ascii="標楷體" w:hAnsi="標楷體" w:hint="eastAsia"/>
        </w:rPr>
        <w:t>二</w:t>
      </w:r>
      <w:r w:rsidRPr="00FC26CB">
        <w:rPr>
          <w:rStyle w:val="af8"/>
          <w:rFonts w:ascii="標楷體" w:hAnsi="標楷體" w:hint="eastAsia"/>
          <w:lang w:eastAsia="zh-TW"/>
        </w:rPr>
        <w:t>)</w:t>
      </w:r>
      <w:bookmarkStart w:id="30" w:name="_Hlk181109998"/>
      <w:r w:rsidR="000A4147" w:rsidRPr="00FC26CB">
        <w:rPr>
          <w:rFonts w:hAnsi="標楷體" w:hint="eastAsia"/>
        </w:rPr>
        <w:t>預算執行尚能</w:t>
      </w:r>
      <w:r w:rsidR="00056956" w:rsidRPr="00FC26CB">
        <w:rPr>
          <w:rFonts w:hAnsi="標楷體" w:hint="eastAsia"/>
        </w:rPr>
        <w:t>依</w:t>
      </w:r>
      <w:r w:rsidR="00A35AE1" w:rsidRPr="00FC26CB">
        <w:rPr>
          <w:rFonts w:hAnsi="標楷體" w:hint="eastAsia"/>
        </w:rPr>
        <w:t>編列需求</w:t>
      </w:r>
      <w:r w:rsidR="000A4147" w:rsidRPr="00FC26CB">
        <w:rPr>
          <w:rFonts w:hAnsi="標楷體" w:hint="eastAsia"/>
        </w:rPr>
        <w:t>辦理，惟收入數概呈下滑趨勢，</w:t>
      </w:r>
      <w:r w:rsidR="00A35AE1" w:rsidRPr="00FC26CB">
        <w:rPr>
          <w:rFonts w:hAnsi="標楷體" w:hint="eastAsia"/>
        </w:rPr>
        <w:t>且</w:t>
      </w:r>
      <w:r w:rsidR="000A4147" w:rsidRPr="00FC26CB">
        <w:rPr>
          <w:rFonts w:hAnsi="標楷體" w:hint="eastAsia"/>
        </w:rPr>
        <w:t>收入</w:t>
      </w:r>
      <w:r w:rsidR="00A35AE1" w:rsidRPr="00FC26CB">
        <w:rPr>
          <w:rFonts w:hAnsi="標楷體" w:hint="eastAsia"/>
        </w:rPr>
        <w:t>數占</w:t>
      </w:r>
      <w:r w:rsidR="000A4147" w:rsidRPr="00FC26CB">
        <w:rPr>
          <w:rFonts w:hAnsi="標楷體" w:hint="eastAsia"/>
        </w:rPr>
        <w:t>支出</w:t>
      </w:r>
      <w:r w:rsidR="00A35AE1" w:rsidRPr="00FC26CB">
        <w:rPr>
          <w:rFonts w:hAnsi="標楷體" w:hint="eastAsia"/>
        </w:rPr>
        <w:t>比率偏低，</w:t>
      </w:r>
      <w:r w:rsidR="00A35AE1" w:rsidRPr="00FC26CB">
        <w:rPr>
          <w:rFonts w:hint="eastAsia"/>
        </w:rPr>
        <w:t>運用效益待提升</w:t>
      </w:r>
      <w:bookmarkEnd w:id="30"/>
    </w:p>
    <w:p w:rsidR="004B4F67" w:rsidRPr="00FC26CB" w:rsidRDefault="004E275F" w:rsidP="004E275F">
      <w:pPr>
        <w:pStyle w:val="123"/>
      </w:pPr>
      <w:r w:rsidRPr="00FC26CB">
        <w:rPr>
          <w:rFonts w:hint="eastAsia"/>
        </w:rPr>
        <w:t>1.</w:t>
      </w:r>
      <w:r w:rsidR="009B7880" w:rsidRPr="00FC26CB">
        <w:rPr>
          <w:rFonts w:hint="eastAsia"/>
        </w:rPr>
        <w:t>申請使用生物資料庫之生物檢體及數位資料者應繳交「使用</w:t>
      </w:r>
      <w:r w:rsidR="009B7880" w:rsidRPr="00FC26CB">
        <w:rPr>
          <w:rFonts w:hint="eastAsia"/>
        </w:rPr>
        <w:lastRenderedPageBreak/>
        <w:t>費」</w:t>
      </w:r>
      <w:r w:rsidR="009B7880" w:rsidRPr="00FC26CB">
        <w:rPr>
          <w:rStyle w:val="af6"/>
        </w:rPr>
        <w:footnoteReference w:id="1"/>
      </w:r>
      <w:r w:rsidR="009B7880" w:rsidRPr="00FC26CB">
        <w:rPr>
          <w:rFonts w:hint="eastAsia"/>
        </w:rPr>
        <w:t>，使用者運用生物檢體、資料與資訊等，衍生商業運用產生之利益，應繳交部分商業利益回饋金，並回饋於特定群體或人口群</w:t>
      </w:r>
      <w:r w:rsidR="009B7880" w:rsidRPr="00FC26CB">
        <w:rPr>
          <w:rStyle w:val="af6"/>
        </w:rPr>
        <w:footnoteReference w:id="2"/>
      </w:r>
      <w:r w:rsidR="00DE7AD5" w:rsidRPr="00FC26CB">
        <w:rPr>
          <w:rFonts w:hint="eastAsia"/>
        </w:rPr>
        <w:t>，</w:t>
      </w:r>
      <w:r w:rsidR="004B4F67" w:rsidRPr="00FC26CB">
        <w:rPr>
          <w:rFonts w:hint="eastAsia"/>
        </w:rPr>
        <w:t>爰科研基金1</w:t>
      </w:r>
      <w:r w:rsidR="004B4F67" w:rsidRPr="00FC26CB">
        <w:t>1</w:t>
      </w:r>
      <w:r w:rsidR="00DE7AD5" w:rsidRPr="00FC26CB">
        <w:t>4</w:t>
      </w:r>
      <w:r w:rsidR="004B4F67" w:rsidRPr="00FC26CB">
        <w:rPr>
          <w:rFonts w:hint="eastAsia"/>
        </w:rPr>
        <w:t>年度預算案編列資料及檢體使用</w:t>
      </w:r>
      <w:r w:rsidRPr="00FC26CB">
        <w:rPr>
          <w:rFonts w:hint="eastAsia"/>
        </w:rPr>
        <w:t>費之</w:t>
      </w:r>
      <w:r w:rsidR="00DE7AD5" w:rsidRPr="00FC26CB">
        <w:rPr>
          <w:rFonts w:hint="eastAsia"/>
        </w:rPr>
        <w:t>規</w:t>
      </w:r>
      <w:r w:rsidR="004B4F67" w:rsidRPr="00FC26CB">
        <w:rPr>
          <w:rFonts w:hint="eastAsia"/>
        </w:rPr>
        <w:t>費收入8</w:t>
      </w:r>
      <w:r w:rsidR="004B4F67" w:rsidRPr="00FC26CB">
        <w:t>99</w:t>
      </w:r>
      <w:r w:rsidR="004B4F67" w:rsidRPr="00FC26CB">
        <w:rPr>
          <w:rFonts w:hint="eastAsia"/>
        </w:rPr>
        <w:t>萬元及商業運用利益回饋</w:t>
      </w:r>
      <w:r w:rsidRPr="00FC26CB">
        <w:rPr>
          <w:rFonts w:hint="eastAsia"/>
        </w:rPr>
        <w:t>金之雜項</w:t>
      </w:r>
      <w:r w:rsidR="004B4F67" w:rsidRPr="00FC26CB">
        <w:rPr>
          <w:rFonts w:hint="eastAsia"/>
        </w:rPr>
        <w:t>收入1萬元，</w:t>
      </w:r>
      <w:r w:rsidRPr="00FC26CB">
        <w:rPr>
          <w:rFonts w:hint="eastAsia"/>
        </w:rPr>
        <w:t>共計</w:t>
      </w:r>
      <w:r w:rsidR="004B4F67" w:rsidRPr="00FC26CB">
        <w:rPr>
          <w:rFonts w:hint="eastAsia"/>
        </w:rPr>
        <w:t>9</w:t>
      </w:r>
      <w:r w:rsidR="004B4F67" w:rsidRPr="00FC26CB">
        <w:t>00</w:t>
      </w:r>
      <w:r w:rsidR="004B4F67" w:rsidRPr="00FC26CB">
        <w:rPr>
          <w:rFonts w:hint="eastAsia"/>
        </w:rPr>
        <w:t>萬元</w:t>
      </w:r>
      <w:r w:rsidRPr="00FC26CB">
        <w:rPr>
          <w:rFonts w:hint="eastAsia"/>
        </w:rPr>
        <w:t>，與113年度編列數相同</w:t>
      </w:r>
      <w:r w:rsidR="004B4F67" w:rsidRPr="00FC26CB">
        <w:rPr>
          <w:rFonts w:hint="eastAsia"/>
        </w:rPr>
        <w:t>。</w:t>
      </w:r>
    </w:p>
    <w:p w:rsidR="004B4F67" w:rsidRPr="00FC26CB" w:rsidRDefault="004E275F" w:rsidP="004E275F">
      <w:pPr>
        <w:pStyle w:val="123"/>
      </w:pPr>
      <w:r w:rsidRPr="00FC26CB">
        <w:rPr>
          <w:rFonts w:hint="eastAsia"/>
        </w:rPr>
        <w:t>2.</w:t>
      </w:r>
      <w:r w:rsidR="00A35AE1" w:rsidRPr="00FC26CB">
        <w:rPr>
          <w:rFonts w:hint="eastAsia"/>
        </w:rPr>
        <w:t>生物資料庫計畫1</w:t>
      </w:r>
      <w:r w:rsidR="00A35AE1" w:rsidRPr="00FC26CB">
        <w:t>06</w:t>
      </w:r>
      <w:r w:rsidR="00A35AE1" w:rsidRPr="00FC26CB">
        <w:rPr>
          <w:rFonts w:hint="eastAsia"/>
        </w:rPr>
        <w:t>至112年度預算執行率除106年度72.85%外</w:t>
      </w:r>
      <w:r w:rsidR="00A35AE1" w:rsidRPr="00FC26CB">
        <w:rPr>
          <w:rFonts w:hAnsi="標楷體" w:hint="eastAsia"/>
        </w:rPr>
        <w:t>，</w:t>
      </w:r>
      <w:r w:rsidR="00A35AE1" w:rsidRPr="00FC26CB">
        <w:rPr>
          <w:rFonts w:hint="eastAsia"/>
        </w:rPr>
        <w:t>其餘年度維持於81.59%至118.07%</w:t>
      </w:r>
      <w:r w:rsidR="001C47B1">
        <w:rPr>
          <w:rFonts w:hint="eastAsia"/>
        </w:rPr>
        <w:t>間</w:t>
      </w:r>
      <w:r w:rsidR="00A35AE1" w:rsidRPr="00FC26CB">
        <w:rPr>
          <w:rFonts w:hAnsi="標楷體" w:hint="eastAsia"/>
        </w:rPr>
        <w:t>，</w:t>
      </w:r>
      <w:r w:rsidR="00A35AE1" w:rsidRPr="00FC26CB">
        <w:rPr>
          <w:rFonts w:hAnsi="標楷體" w:hint="eastAsia"/>
          <w:bCs w:val="0"/>
        </w:rPr>
        <w:t>預算執行尚能</w:t>
      </w:r>
      <w:r w:rsidR="00056956" w:rsidRPr="00FC26CB">
        <w:rPr>
          <w:rFonts w:hAnsi="標楷體" w:hint="eastAsia"/>
          <w:bCs w:val="0"/>
        </w:rPr>
        <w:t>依</w:t>
      </w:r>
      <w:r w:rsidR="00A35AE1" w:rsidRPr="00FC26CB">
        <w:rPr>
          <w:rFonts w:hAnsi="標楷體" w:hint="eastAsia"/>
          <w:bCs w:val="0"/>
        </w:rPr>
        <w:t>編列需求辦理，同時期收入數</w:t>
      </w:r>
      <w:r w:rsidR="00056956" w:rsidRPr="00FC26CB">
        <w:rPr>
          <w:rFonts w:hAnsi="標楷體" w:hint="eastAsia"/>
          <w:bCs w:val="0"/>
        </w:rPr>
        <w:t>卻由106年度1</w:t>
      </w:r>
      <w:r w:rsidR="00056956" w:rsidRPr="00FC26CB">
        <w:rPr>
          <w:rFonts w:hAnsi="標楷體"/>
          <w:bCs w:val="0"/>
        </w:rPr>
        <w:t>,</w:t>
      </w:r>
      <w:r w:rsidR="00056956" w:rsidRPr="00FC26CB">
        <w:rPr>
          <w:rFonts w:hAnsi="標楷體" w:hint="eastAsia"/>
          <w:bCs w:val="0"/>
        </w:rPr>
        <w:t>474萬1千元減少至112年度457萬5千元，收入占支出(決算數)比率亦由106年度3.37%下滑至112年度1.79%，113年迄9月底收入數249萬4千元，</w:t>
      </w:r>
      <w:r w:rsidR="001C47B1">
        <w:rPr>
          <w:rFonts w:hAnsi="標楷體" w:hint="eastAsia"/>
          <w:bCs w:val="0"/>
        </w:rPr>
        <w:t>亦</w:t>
      </w:r>
      <w:r w:rsidR="00056956" w:rsidRPr="00FC26CB">
        <w:rPr>
          <w:rFonts w:hAnsi="標楷體" w:hint="eastAsia"/>
          <w:bCs w:val="0"/>
        </w:rPr>
        <w:t>僅占預算執行數1億4</w:t>
      </w:r>
      <w:r w:rsidR="00056956" w:rsidRPr="00FC26CB">
        <w:rPr>
          <w:rFonts w:hAnsi="標楷體"/>
          <w:bCs w:val="0"/>
        </w:rPr>
        <w:t>,</w:t>
      </w:r>
      <w:r w:rsidR="00056956" w:rsidRPr="00FC26CB">
        <w:rPr>
          <w:rFonts w:hAnsi="標楷體" w:hint="eastAsia"/>
          <w:bCs w:val="0"/>
        </w:rPr>
        <w:t>851萬6千元之1.68%</w:t>
      </w:r>
      <w:r w:rsidR="00056956" w:rsidRPr="00FC26CB">
        <w:rPr>
          <w:rFonts w:hint="eastAsia"/>
        </w:rPr>
        <w:t>(詳表1)</w:t>
      </w:r>
      <w:r w:rsidR="00056956" w:rsidRPr="00FC26CB">
        <w:rPr>
          <w:rFonts w:hAnsi="標楷體" w:hint="eastAsia"/>
        </w:rPr>
        <w:t>，</w:t>
      </w:r>
      <w:r w:rsidR="001C47B1">
        <w:rPr>
          <w:rFonts w:hAnsi="標楷體" w:hint="eastAsia"/>
        </w:rPr>
        <w:t>至</w:t>
      </w:r>
      <w:r w:rsidR="00056956" w:rsidRPr="00FC26CB">
        <w:rPr>
          <w:rFonts w:hint="eastAsia"/>
        </w:rPr>
        <w:t>114年度預算</w:t>
      </w:r>
      <w:r w:rsidR="001C47B1">
        <w:rPr>
          <w:rFonts w:hint="eastAsia"/>
        </w:rPr>
        <w:t>案</w:t>
      </w:r>
      <w:r w:rsidR="00056956" w:rsidRPr="00FC26CB">
        <w:rPr>
          <w:rFonts w:hint="eastAsia"/>
        </w:rPr>
        <w:t>編列收入900萬元</w:t>
      </w:r>
      <w:r w:rsidR="00056956" w:rsidRPr="00FC26CB">
        <w:rPr>
          <w:rFonts w:hAnsi="標楷體" w:hint="eastAsia"/>
        </w:rPr>
        <w:t>，</w:t>
      </w:r>
      <w:r w:rsidR="00056956" w:rsidRPr="00FC26CB">
        <w:rPr>
          <w:rFonts w:hint="eastAsia"/>
        </w:rPr>
        <w:t>收支比</w:t>
      </w:r>
      <w:r w:rsidR="001C47B1">
        <w:rPr>
          <w:rFonts w:hint="eastAsia"/>
        </w:rPr>
        <w:t>則</w:t>
      </w:r>
      <w:r w:rsidR="00056956" w:rsidRPr="00FC26CB">
        <w:rPr>
          <w:rFonts w:hint="eastAsia"/>
        </w:rPr>
        <w:t>為3.53%</w:t>
      </w:r>
      <w:r w:rsidR="007F7453" w:rsidRPr="00FC26CB">
        <w:rPr>
          <w:rFonts w:hAnsi="標楷體" w:hint="eastAsia"/>
        </w:rPr>
        <w:t>，</w:t>
      </w:r>
      <w:r w:rsidR="007F7453" w:rsidRPr="00FC26CB">
        <w:rPr>
          <w:rFonts w:hint="eastAsia"/>
        </w:rPr>
        <w:t>顯示生物資料庫之運用效益仍有</w:t>
      </w:r>
      <w:r w:rsidR="001C47B1">
        <w:rPr>
          <w:rFonts w:hint="eastAsia"/>
        </w:rPr>
        <w:t>提升</w:t>
      </w:r>
      <w:r w:rsidR="007F7453" w:rsidRPr="00FC26CB">
        <w:rPr>
          <w:rFonts w:hint="eastAsia"/>
        </w:rPr>
        <w:t>空間</w:t>
      </w:r>
      <w:r w:rsidR="007F7453" w:rsidRPr="00FC26CB">
        <w:rPr>
          <w:rFonts w:hAnsi="標楷體" w:hint="eastAsia"/>
        </w:rPr>
        <w:t>；據中研院表示，</w:t>
      </w:r>
      <w:r w:rsidR="007F7453" w:rsidRPr="00FC26CB">
        <w:rPr>
          <w:rFonts w:hint="eastAsia"/>
        </w:rPr>
        <w:t>生物資料庫將以化研為用</w:t>
      </w:r>
      <w:r w:rsidR="001C47B1">
        <w:rPr>
          <w:rFonts w:hAnsi="標楷體" w:hint="eastAsia"/>
        </w:rPr>
        <w:t>、</w:t>
      </w:r>
      <w:r w:rsidR="007F7453" w:rsidRPr="00FC26CB">
        <w:rPr>
          <w:rFonts w:hint="eastAsia"/>
        </w:rPr>
        <w:t>銜接產業為目標</w:t>
      </w:r>
      <w:r w:rsidR="007F7453" w:rsidRPr="00FC26CB">
        <w:rPr>
          <w:rFonts w:hAnsi="標楷體" w:hint="eastAsia"/>
        </w:rPr>
        <w:t>，積極研擬產業參與機制，除透過生技展、醫療展與業界交流、討論、分享等方式</w:t>
      </w:r>
      <w:r w:rsidR="007F1414" w:rsidRPr="00FC26CB">
        <w:rPr>
          <w:rFonts w:hAnsi="標楷體" w:hint="eastAsia"/>
        </w:rPr>
        <w:t>瞭</w:t>
      </w:r>
      <w:r w:rsidR="007F7453" w:rsidRPr="00FC26CB">
        <w:rPr>
          <w:rFonts w:hAnsi="標楷體" w:hint="eastAsia"/>
        </w:rPr>
        <w:t>解產業需求外，並優化服務項目與流程，朝客製化主題資料庫之方向進行努力。</w:t>
      </w:r>
      <w:r w:rsidR="00056956" w:rsidRPr="00FC26CB">
        <w:rPr>
          <w:rFonts w:hint="eastAsia"/>
        </w:rPr>
        <w:t>鑒於中研院每年編列逾2億元經費建置及維運生物資料庫，惟該資料庫運用效益</w:t>
      </w:r>
      <w:r w:rsidR="001C47B1">
        <w:rPr>
          <w:rFonts w:hint="eastAsia"/>
        </w:rPr>
        <w:t>卻</w:t>
      </w:r>
      <w:r w:rsidR="007F1414" w:rsidRPr="00FC26CB">
        <w:rPr>
          <w:rFonts w:hint="eastAsia"/>
        </w:rPr>
        <w:t>持續下滑</w:t>
      </w:r>
      <w:r w:rsidR="00056956" w:rsidRPr="00FC26CB">
        <w:rPr>
          <w:rFonts w:hint="eastAsia"/>
        </w:rPr>
        <w:t>，允宜</w:t>
      </w:r>
      <w:r w:rsidR="007F1414" w:rsidRPr="00FC26CB">
        <w:rPr>
          <w:rFonts w:hint="eastAsia"/>
        </w:rPr>
        <w:t>強化</w:t>
      </w:r>
      <w:r w:rsidR="00056956" w:rsidRPr="00FC26CB">
        <w:rPr>
          <w:rFonts w:hint="eastAsia"/>
        </w:rPr>
        <w:t>推廣民間相關產業投入運用，</w:t>
      </w:r>
      <w:r w:rsidR="007F1414" w:rsidRPr="00FC26CB">
        <w:rPr>
          <w:rFonts w:hint="eastAsia"/>
        </w:rPr>
        <w:t>俾</w:t>
      </w:r>
      <w:r w:rsidR="00056956" w:rsidRPr="00FC26CB">
        <w:rPr>
          <w:rFonts w:hint="eastAsia"/>
        </w:rPr>
        <w:t>增計畫</w:t>
      </w:r>
      <w:r w:rsidR="007F1414" w:rsidRPr="00FC26CB">
        <w:rPr>
          <w:rFonts w:hint="eastAsia"/>
        </w:rPr>
        <w:t>運用</w:t>
      </w:r>
      <w:r w:rsidR="00056956" w:rsidRPr="00FC26CB">
        <w:rPr>
          <w:rFonts w:hint="eastAsia"/>
        </w:rPr>
        <w:t>效</w:t>
      </w:r>
      <w:r w:rsidR="007F1414" w:rsidRPr="00FC26CB">
        <w:rPr>
          <w:rFonts w:hint="eastAsia"/>
        </w:rPr>
        <w:t>益</w:t>
      </w:r>
      <w:r w:rsidR="004B4F67" w:rsidRPr="00FC26CB">
        <w:rPr>
          <w:rFonts w:hint="eastAsia"/>
        </w:rPr>
        <w:t>。</w:t>
      </w:r>
    </w:p>
    <w:p w:rsidR="007F1414" w:rsidRPr="00FC26CB" w:rsidRDefault="00352AE1" w:rsidP="00352AE1">
      <w:pPr>
        <w:ind w:left="566" w:firstLine="566"/>
        <w:rPr>
          <w:rFonts w:hint="eastAsia"/>
        </w:rPr>
      </w:pPr>
      <w:r w:rsidRPr="00FC26CB">
        <w:rPr>
          <w:rFonts w:hint="eastAsia"/>
        </w:rPr>
        <w:t>綜上，中研院建置之人體生物資料庫</w:t>
      </w:r>
      <w:r w:rsidRPr="00FC26CB">
        <w:rPr>
          <w:rFonts w:hAnsi="標楷體" w:hint="eastAsia"/>
        </w:rPr>
        <w:t>，</w:t>
      </w:r>
      <w:r w:rsidRPr="00FC26CB">
        <w:rPr>
          <w:rFonts w:hint="eastAsia"/>
        </w:rPr>
        <w:t>經由蒐</w:t>
      </w:r>
      <w:r w:rsidRPr="00FC26CB">
        <w:t>集</w:t>
      </w:r>
      <w:r w:rsidRPr="00FC26CB">
        <w:rPr>
          <w:rFonts w:hint="eastAsia"/>
        </w:rPr>
        <w:t>及整合</w:t>
      </w:r>
      <w:r w:rsidRPr="00FC26CB">
        <w:t>民眾健康</w:t>
      </w:r>
      <w:r w:rsidRPr="00FC26CB">
        <w:rPr>
          <w:rFonts w:hAnsi="標楷體" w:hint="eastAsia"/>
        </w:rPr>
        <w:t>、</w:t>
      </w:r>
      <w:r w:rsidRPr="00FC26CB">
        <w:rPr>
          <w:rFonts w:hint="eastAsia"/>
        </w:rPr>
        <w:t>基因</w:t>
      </w:r>
      <w:r w:rsidRPr="00FC26CB">
        <w:rPr>
          <w:rFonts w:hAnsi="標楷體" w:hint="eastAsia"/>
        </w:rPr>
        <w:t>、</w:t>
      </w:r>
      <w:r w:rsidRPr="00FC26CB">
        <w:t>環境及生活型態</w:t>
      </w:r>
      <w:r w:rsidRPr="00FC26CB">
        <w:rPr>
          <w:rFonts w:hint="eastAsia"/>
        </w:rPr>
        <w:t>等資訊</w:t>
      </w:r>
      <w:r w:rsidRPr="00FC26CB">
        <w:t>，加速精準化預防及醫療</w:t>
      </w:r>
      <w:r w:rsidRPr="00FC26CB">
        <w:rPr>
          <w:rFonts w:hint="eastAsia"/>
        </w:rPr>
        <w:t>之</w:t>
      </w:r>
      <w:r w:rsidRPr="00FC26CB">
        <w:rPr>
          <w:rFonts w:hint="eastAsia"/>
        </w:rPr>
        <w:lastRenderedPageBreak/>
        <w:t>發展</w:t>
      </w:r>
      <w:r w:rsidRPr="00FC26CB">
        <w:rPr>
          <w:rFonts w:hAnsi="標楷體" w:hint="eastAsia"/>
        </w:rPr>
        <w:t>，</w:t>
      </w:r>
      <w:r w:rsidRPr="00FC26CB">
        <w:rPr>
          <w:rFonts w:hint="eastAsia"/>
        </w:rPr>
        <w:t>惟該資料庫運用效益持續下滑</w:t>
      </w:r>
      <w:r w:rsidRPr="00FC26CB">
        <w:rPr>
          <w:rFonts w:hAnsi="標楷體" w:hint="eastAsia"/>
        </w:rPr>
        <w:t>，</w:t>
      </w:r>
      <w:r w:rsidRPr="00FC26CB">
        <w:rPr>
          <w:rFonts w:hint="eastAsia"/>
        </w:rPr>
        <w:t>允宜強化推廣民間相關產業投入運用，俾提升計畫運用效益。</w:t>
      </w:r>
    </w:p>
    <w:p w:rsidR="00A35AE1" w:rsidRPr="00FC26CB" w:rsidRDefault="00A35AE1" w:rsidP="00221A93">
      <w:pPr>
        <w:ind w:leftChars="0" w:left="771" w:hangingChars="272" w:hanging="771"/>
      </w:pPr>
      <w:r w:rsidRPr="00FC26CB">
        <w:rPr>
          <w:rFonts w:hint="eastAsia"/>
          <w:b/>
          <w:bCs/>
        </w:rPr>
        <w:t>表1</w:t>
      </w:r>
      <w:r w:rsidRPr="00FC26CB">
        <w:rPr>
          <w:b/>
          <w:bCs/>
        </w:rPr>
        <w:t xml:space="preserve">  </w:t>
      </w:r>
      <w:r w:rsidRPr="00FC26CB">
        <w:rPr>
          <w:rFonts w:hint="eastAsia"/>
          <w:b/>
          <w:bCs/>
        </w:rPr>
        <w:t>106至114年度中研院臺灣人體生物資料庫計畫預、決算及收支概況表</w:t>
      </w:r>
      <w:r w:rsidR="00221A93">
        <w:rPr>
          <w:rFonts w:hint="eastAsia"/>
          <w:b/>
          <w:bCs/>
        </w:rPr>
        <w:t xml:space="preserve"> </w:t>
      </w:r>
      <w:r w:rsidR="00221A93">
        <w:rPr>
          <w:b/>
          <w:bCs/>
        </w:rPr>
        <w:t xml:space="preserve">                              </w:t>
      </w:r>
      <w:r w:rsidR="00A9587C">
        <w:rPr>
          <w:rFonts w:hint="eastAsia"/>
          <w:b/>
          <w:bCs/>
        </w:rPr>
        <w:t xml:space="preserve">  </w:t>
      </w:r>
      <w:r w:rsidRPr="00221A93">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530"/>
        <w:gridCol w:w="1531"/>
        <w:gridCol w:w="1531"/>
        <w:gridCol w:w="1531"/>
        <w:gridCol w:w="1531"/>
      </w:tblGrid>
      <w:tr w:rsidR="00A35AE1" w:rsidRPr="00FC26CB" w:rsidTr="00A9587C">
        <w:trPr>
          <w:tblHeader/>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年度</w:t>
            </w:r>
          </w:p>
        </w:tc>
        <w:tc>
          <w:tcPr>
            <w:tcW w:w="1530" w:type="dxa"/>
            <w:vAlign w:val="center"/>
          </w:tcPr>
          <w:p w:rsidR="00A35AE1" w:rsidRPr="00FC26CB" w:rsidRDefault="00A35AE1" w:rsidP="007F7453">
            <w:pPr>
              <w:pStyle w:val="142"/>
              <w:jc w:val="center"/>
              <w:rPr>
                <w:rFonts w:hAnsi="標楷體"/>
              </w:rPr>
            </w:pPr>
            <w:r w:rsidRPr="00FC26CB">
              <w:rPr>
                <w:rFonts w:hAnsi="標楷體" w:hint="eastAsia"/>
              </w:rPr>
              <w:t>預算</w:t>
            </w:r>
          </w:p>
          <w:p w:rsidR="00A35AE1" w:rsidRPr="00FC26CB" w:rsidRDefault="00A35AE1" w:rsidP="007F7453">
            <w:pPr>
              <w:pStyle w:val="142"/>
              <w:jc w:val="center"/>
              <w:rPr>
                <w:rFonts w:hAnsi="標楷體" w:hint="eastAsia"/>
              </w:rPr>
            </w:pPr>
            <w:r w:rsidRPr="00FC26CB">
              <w:rPr>
                <w:rFonts w:hAnsi="標楷體" w:hint="eastAsia"/>
              </w:rPr>
              <w:t>(</w:t>
            </w:r>
            <w:r w:rsidRPr="00FC26CB">
              <w:rPr>
                <w:rFonts w:hAnsi="標楷體"/>
              </w:rPr>
              <w:t>A)</w:t>
            </w:r>
          </w:p>
        </w:tc>
        <w:tc>
          <w:tcPr>
            <w:tcW w:w="153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決算</w:t>
            </w:r>
          </w:p>
          <w:p w:rsidR="00A35AE1" w:rsidRPr="00FC26CB" w:rsidRDefault="00A35AE1" w:rsidP="007F7453">
            <w:pPr>
              <w:pStyle w:val="142"/>
              <w:jc w:val="center"/>
              <w:rPr>
                <w:rFonts w:hAnsi="標楷體"/>
              </w:rPr>
            </w:pPr>
            <w:r w:rsidRPr="00FC26CB">
              <w:rPr>
                <w:rFonts w:hAnsi="標楷體" w:hint="eastAsia"/>
              </w:rPr>
              <w:t>(</w:t>
            </w:r>
            <w:r w:rsidRPr="00FC26CB">
              <w:rPr>
                <w:rFonts w:hAnsi="標楷體"/>
              </w:rPr>
              <w:t>B)</w:t>
            </w:r>
          </w:p>
        </w:tc>
        <w:tc>
          <w:tcPr>
            <w:tcW w:w="1531" w:type="dxa"/>
            <w:vAlign w:val="center"/>
          </w:tcPr>
          <w:p w:rsidR="00A35AE1" w:rsidRPr="00FC26CB" w:rsidRDefault="00A35AE1" w:rsidP="007F7453">
            <w:pPr>
              <w:pStyle w:val="142"/>
              <w:jc w:val="center"/>
              <w:rPr>
                <w:rFonts w:hAnsi="標楷體" w:hint="eastAsia"/>
              </w:rPr>
            </w:pPr>
            <w:r w:rsidRPr="00FC26CB">
              <w:rPr>
                <w:rFonts w:hAnsi="標楷體" w:hint="eastAsia"/>
              </w:rPr>
              <w:t>預算執行率(</w:t>
            </w:r>
            <w:r w:rsidRPr="00FC26CB">
              <w:rPr>
                <w:rFonts w:hAnsi="標楷體"/>
              </w:rPr>
              <w:t>B/A)</w:t>
            </w:r>
          </w:p>
        </w:tc>
        <w:tc>
          <w:tcPr>
            <w:tcW w:w="153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收入數</w:t>
            </w:r>
          </w:p>
          <w:p w:rsidR="00A35AE1" w:rsidRPr="00FC26CB" w:rsidRDefault="00A35AE1" w:rsidP="007F7453">
            <w:pPr>
              <w:pStyle w:val="142"/>
              <w:jc w:val="center"/>
              <w:rPr>
                <w:rFonts w:hAnsi="標楷體"/>
              </w:rPr>
            </w:pPr>
            <w:r w:rsidRPr="00FC26CB">
              <w:rPr>
                <w:rFonts w:hAnsi="標楷體" w:hint="eastAsia"/>
              </w:rPr>
              <w:t>(</w:t>
            </w:r>
            <w:r w:rsidRPr="00FC26CB">
              <w:rPr>
                <w:rFonts w:hAnsi="標楷體"/>
              </w:rPr>
              <w:t>C)</w:t>
            </w:r>
          </w:p>
        </w:tc>
        <w:tc>
          <w:tcPr>
            <w:tcW w:w="1531" w:type="dxa"/>
            <w:vAlign w:val="center"/>
          </w:tcPr>
          <w:p w:rsidR="00A35AE1" w:rsidRPr="00FC26CB" w:rsidRDefault="00A35AE1" w:rsidP="007F7453">
            <w:pPr>
              <w:pStyle w:val="142"/>
              <w:jc w:val="center"/>
              <w:rPr>
                <w:rFonts w:hAnsi="標楷體"/>
              </w:rPr>
            </w:pPr>
            <w:r w:rsidRPr="00FC26CB">
              <w:rPr>
                <w:rFonts w:hAnsi="標楷體" w:hint="eastAsia"/>
              </w:rPr>
              <w:t>收支比</w:t>
            </w:r>
          </w:p>
          <w:p w:rsidR="00A35AE1" w:rsidRPr="00FC26CB" w:rsidRDefault="00A35AE1" w:rsidP="007F7453">
            <w:pPr>
              <w:pStyle w:val="142"/>
              <w:jc w:val="center"/>
              <w:rPr>
                <w:rFonts w:hAnsi="標楷體"/>
              </w:rPr>
            </w:pPr>
            <w:r w:rsidRPr="00FC26CB">
              <w:rPr>
                <w:rFonts w:hAnsi="標楷體"/>
              </w:rPr>
              <w:t>(C/B)</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06</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6</w:t>
            </w:r>
            <w:r w:rsidRPr="00FC26CB">
              <w:rPr>
                <w:rFonts w:hAnsi="標楷體"/>
              </w:rPr>
              <w:t>00,000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437</w:t>
            </w:r>
            <w:r w:rsidRPr="00FC26CB">
              <w:rPr>
                <w:rFonts w:hAnsi="標楷體"/>
              </w:rPr>
              <w:t>,</w:t>
            </w:r>
            <w:r w:rsidRPr="00FC26CB">
              <w:rPr>
                <w:rFonts w:hAnsi="標楷體" w:hint="eastAsia"/>
              </w:rPr>
              <w:t>107</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72.85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14</w:t>
            </w:r>
            <w:r w:rsidRPr="00FC26CB">
              <w:rPr>
                <w:rFonts w:hAnsi="標楷體"/>
              </w:rPr>
              <w:t>,</w:t>
            </w:r>
            <w:r w:rsidRPr="00FC26CB">
              <w:rPr>
                <w:rFonts w:hAnsi="標楷體" w:hint="eastAsia"/>
              </w:rPr>
              <w:t>74</w:t>
            </w:r>
            <w:r w:rsidRPr="00FC26CB">
              <w:rPr>
                <w:rFonts w:hAnsi="標楷體"/>
              </w:rPr>
              <w:t>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3.37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07</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5</w:t>
            </w:r>
            <w:r w:rsidRPr="00FC26CB">
              <w:rPr>
                <w:rFonts w:hAnsi="標楷體"/>
              </w:rPr>
              <w:t>50,081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448</w:t>
            </w:r>
            <w:r w:rsidRPr="00FC26CB">
              <w:rPr>
                <w:rFonts w:hAnsi="標楷體"/>
              </w:rPr>
              <w:t>,</w:t>
            </w:r>
            <w:r w:rsidRPr="00FC26CB">
              <w:rPr>
                <w:rFonts w:hAnsi="標楷體" w:hint="eastAsia"/>
              </w:rPr>
              <w:t>83</w:t>
            </w:r>
            <w:r w:rsidRPr="00FC26CB">
              <w:rPr>
                <w:rFonts w:hAnsi="標楷體"/>
              </w:rPr>
              <w:t>6</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81.59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14</w:t>
            </w:r>
            <w:r w:rsidRPr="00FC26CB">
              <w:rPr>
                <w:rFonts w:hAnsi="標楷體"/>
              </w:rPr>
              <w:t>,</w:t>
            </w:r>
            <w:r w:rsidRPr="00FC26CB">
              <w:rPr>
                <w:rFonts w:hAnsi="標楷體" w:hint="eastAsia"/>
              </w:rPr>
              <w:t>56</w:t>
            </w:r>
            <w:r w:rsidRPr="00FC26CB">
              <w:rPr>
                <w:rFonts w:hAnsi="標楷體"/>
              </w:rPr>
              <w:t>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3.24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08</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w:t>
            </w:r>
            <w:r w:rsidRPr="00FC26CB">
              <w:rPr>
                <w:rFonts w:hAnsi="標楷體"/>
              </w:rPr>
              <w:t>98,246</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352</w:t>
            </w:r>
            <w:r w:rsidRPr="00FC26CB">
              <w:rPr>
                <w:rFonts w:hAnsi="標楷體"/>
              </w:rPr>
              <w:t>,</w:t>
            </w:r>
            <w:r w:rsidRPr="00FC26CB">
              <w:rPr>
                <w:rFonts w:hAnsi="標楷體" w:hint="eastAsia"/>
              </w:rPr>
              <w:t>125</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118.07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12</w:t>
            </w:r>
            <w:r w:rsidRPr="00FC26CB">
              <w:rPr>
                <w:rFonts w:hAnsi="標楷體"/>
              </w:rPr>
              <w:t>,</w:t>
            </w:r>
            <w:r w:rsidRPr="00FC26CB">
              <w:rPr>
                <w:rFonts w:hAnsi="標楷體" w:hint="eastAsia"/>
              </w:rPr>
              <w:t>52</w:t>
            </w:r>
            <w:r w:rsidRPr="00FC26CB">
              <w:rPr>
                <w:rFonts w:hAnsi="標楷體"/>
              </w:rPr>
              <w:t>1</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3.56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09</w:t>
            </w:r>
          </w:p>
        </w:tc>
        <w:tc>
          <w:tcPr>
            <w:tcW w:w="1530" w:type="dxa"/>
            <w:vAlign w:val="center"/>
          </w:tcPr>
          <w:p w:rsidR="00A35AE1" w:rsidRPr="00FC26CB" w:rsidRDefault="00A35AE1" w:rsidP="007F7453">
            <w:pPr>
              <w:pStyle w:val="142"/>
              <w:jc w:val="right"/>
              <w:rPr>
                <w:rFonts w:hAnsi="標楷體"/>
              </w:rPr>
            </w:pPr>
            <w:r w:rsidRPr="00FC26CB">
              <w:rPr>
                <w:rFonts w:hAnsi="標楷體" w:hint="eastAsia"/>
              </w:rPr>
              <w:t>3</w:t>
            </w:r>
            <w:r w:rsidRPr="00FC26CB">
              <w:rPr>
                <w:rFonts w:hAnsi="標楷體"/>
              </w:rPr>
              <w:t>07,135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326,507</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106.31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5</w:t>
            </w:r>
            <w:r w:rsidRPr="00FC26CB">
              <w:rPr>
                <w:rFonts w:hAnsi="標楷體"/>
              </w:rPr>
              <w:t>,</w:t>
            </w:r>
            <w:r w:rsidRPr="00FC26CB">
              <w:rPr>
                <w:rFonts w:hAnsi="標楷體" w:hint="eastAsia"/>
              </w:rPr>
              <w:t>480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1.68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w:t>
            </w:r>
            <w:r w:rsidRPr="00FC26CB">
              <w:rPr>
                <w:rFonts w:hAnsi="標楷體"/>
              </w:rPr>
              <w:t>10</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w:t>
            </w:r>
            <w:r w:rsidRPr="00FC26CB">
              <w:rPr>
                <w:rFonts w:hAnsi="標楷體"/>
              </w:rPr>
              <w:t>73,735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310</w:t>
            </w:r>
            <w:r w:rsidRPr="00FC26CB">
              <w:rPr>
                <w:rFonts w:hAnsi="標楷體"/>
              </w:rPr>
              <w:t>,</w:t>
            </w:r>
            <w:r w:rsidRPr="00FC26CB">
              <w:rPr>
                <w:rFonts w:hAnsi="標楷體" w:hint="eastAsia"/>
              </w:rPr>
              <w:t>11</w:t>
            </w:r>
            <w:r w:rsidRPr="00FC26CB">
              <w:rPr>
                <w:rFonts w:hAnsi="標楷體"/>
              </w:rPr>
              <w:t>4</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113.29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8</w:t>
            </w:r>
            <w:r w:rsidRPr="00FC26CB">
              <w:rPr>
                <w:rFonts w:hAnsi="標楷體"/>
              </w:rPr>
              <w:t>,</w:t>
            </w:r>
            <w:r w:rsidRPr="00FC26CB">
              <w:rPr>
                <w:rFonts w:hAnsi="標楷體" w:hint="eastAsia"/>
              </w:rPr>
              <w:t>61</w:t>
            </w:r>
            <w:r w:rsidRPr="00FC26CB">
              <w:rPr>
                <w:rFonts w:hAnsi="標楷體"/>
              </w:rPr>
              <w:t>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2.78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111</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3</w:t>
            </w:r>
            <w:r w:rsidRPr="00FC26CB">
              <w:rPr>
                <w:rFonts w:hAnsi="標楷體"/>
              </w:rPr>
              <w:t>26</w:t>
            </w:r>
            <w:r w:rsidRPr="00FC26CB">
              <w:rPr>
                <w:rFonts w:hAnsi="標楷體" w:hint="eastAsia"/>
              </w:rPr>
              <w:t>,</w:t>
            </w:r>
            <w:r w:rsidRPr="00FC26CB">
              <w:rPr>
                <w:rFonts w:hAnsi="標楷體"/>
              </w:rPr>
              <w:t>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326</w:t>
            </w:r>
            <w:r w:rsidRPr="00FC26CB">
              <w:rPr>
                <w:rFonts w:hAnsi="標楷體"/>
              </w:rPr>
              <w:t>,052</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100.02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6</w:t>
            </w:r>
            <w:r w:rsidRPr="00FC26CB">
              <w:rPr>
                <w:rFonts w:hAnsi="標楷體"/>
              </w:rPr>
              <w:t>,</w:t>
            </w:r>
            <w:r w:rsidRPr="00FC26CB">
              <w:rPr>
                <w:rFonts w:hAnsi="標楷體" w:hint="eastAsia"/>
              </w:rPr>
              <w:t>374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1.95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112</w:t>
            </w:r>
          </w:p>
        </w:tc>
        <w:tc>
          <w:tcPr>
            <w:tcW w:w="1530" w:type="dxa"/>
            <w:vAlign w:val="center"/>
          </w:tcPr>
          <w:p w:rsidR="00A35AE1" w:rsidRPr="00FC26CB" w:rsidRDefault="00A35AE1" w:rsidP="007F7453">
            <w:pPr>
              <w:pStyle w:val="142"/>
              <w:jc w:val="right"/>
              <w:rPr>
                <w:rFonts w:hAnsi="標楷體" w:hint="eastAsia"/>
              </w:rPr>
            </w:pPr>
            <w:r w:rsidRPr="00FC26CB">
              <w:rPr>
                <w:rFonts w:hAnsi="標楷體"/>
              </w:rPr>
              <w:t>256,597</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256</w:t>
            </w:r>
            <w:r w:rsidRPr="00FC26CB">
              <w:rPr>
                <w:rFonts w:hAnsi="標楷體"/>
              </w:rPr>
              <w:t>,282</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99.88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4,575</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1.79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rPr>
            </w:pPr>
            <w:r w:rsidRPr="00FC26CB">
              <w:rPr>
                <w:rFonts w:hAnsi="標楷體" w:hint="eastAsia"/>
              </w:rPr>
              <w:t>113</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250</w:t>
            </w:r>
            <w:r w:rsidRPr="00FC26CB">
              <w:rPr>
                <w:rFonts w:hAnsi="標楷體"/>
              </w:rPr>
              <w:t>,</w:t>
            </w:r>
            <w:r w:rsidRPr="00FC26CB">
              <w:rPr>
                <w:rFonts w:hAnsi="標楷體" w:hint="eastAsia"/>
              </w:rPr>
              <w:t>000</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1</w:t>
            </w:r>
            <w:r w:rsidRPr="00FC26CB">
              <w:rPr>
                <w:rFonts w:hAnsi="標楷體"/>
              </w:rPr>
              <w:t>48,516</w:t>
            </w: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 xml:space="preserve">59.41 </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rPr>
              <w:t>2</w:t>
            </w:r>
            <w:r w:rsidRPr="00FC26CB">
              <w:rPr>
                <w:rFonts w:hAnsi="標楷體" w:hint="eastAsia"/>
              </w:rPr>
              <w:t>,</w:t>
            </w:r>
            <w:r w:rsidRPr="00FC26CB">
              <w:rPr>
                <w:rFonts w:hAnsi="標楷體"/>
              </w:rPr>
              <w:t>494</w:t>
            </w:r>
          </w:p>
        </w:tc>
        <w:tc>
          <w:tcPr>
            <w:tcW w:w="1531" w:type="dxa"/>
            <w:shd w:val="clear" w:color="auto" w:fill="auto"/>
            <w:vAlign w:val="center"/>
          </w:tcPr>
          <w:p w:rsidR="00A35AE1" w:rsidRPr="00FC26CB" w:rsidRDefault="00A35AE1" w:rsidP="007F7453">
            <w:pPr>
              <w:pStyle w:val="142"/>
              <w:jc w:val="right"/>
              <w:rPr>
                <w:rFonts w:hAnsi="標楷體"/>
              </w:rPr>
            </w:pPr>
            <w:r w:rsidRPr="00FC26CB">
              <w:rPr>
                <w:rFonts w:hAnsi="標楷體" w:hint="eastAsia"/>
              </w:rPr>
              <w:t xml:space="preserve">1.68 </w:t>
            </w:r>
          </w:p>
        </w:tc>
      </w:tr>
      <w:tr w:rsidR="00A35AE1" w:rsidRPr="00FC26CB" w:rsidTr="00A9587C">
        <w:trPr>
          <w:trHeight w:hRule="exact" w:val="340"/>
        </w:trPr>
        <w:tc>
          <w:tcPr>
            <w:tcW w:w="851" w:type="dxa"/>
            <w:shd w:val="clear" w:color="auto" w:fill="auto"/>
            <w:vAlign w:val="center"/>
          </w:tcPr>
          <w:p w:rsidR="00A35AE1" w:rsidRPr="00FC26CB" w:rsidRDefault="00A35AE1" w:rsidP="007F7453">
            <w:pPr>
              <w:pStyle w:val="142"/>
              <w:jc w:val="center"/>
              <w:rPr>
                <w:rFonts w:hAnsi="標楷體" w:hint="eastAsia"/>
              </w:rPr>
            </w:pPr>
            <w:r w:rsidRPr="00FC26CB">
              <w:rPr>
                <w:rFonts w:hAnsi="標楷體" w:hint="eastAsia"/>
              </w:rPr>
              <w:t>114</w:t>
            </w:r>
          </w:p>
        </w:tc>
        <w:tc>
          <w:tcPr>
            <w:tcW w:w="1530" w:type="dxa"/>
            <w:vAlign w:val="center"/>
          </w:tcPr>
          <w:p w:rsidR="00A35AE1" w:rsidRPr="00FC26CB" w:rsidRDefault="00A35AE1" w:rsidP="007F7453">
            <w:pPr>
              <w:pStyle w:val="142"/>
              <w:jc w:val="right"/>
              <w:rPr>
                <w:rFonts w:hAnsi="標楷體" w:hint="eastAsia"/>
              </w:rPr>
            </w:pPr>
            <w:r w:rsidRPr="00FC26CB">
              <w:rPr>
                <w:rFonts w:hAnsi="標楷體" w:hint="eastAsia"/>
              </w:rPr>
              <w:t>254</w:t>
            </w:r>
            <w:r w:rsidRPr="00FC26CB">
              <w:rPr>
                <w:rFonts w:hAnsi="標楷體"/>
              </w:rPr>
              <w:t>,</w:t>
            </w:r>
            <w:r w:rsidRPr="00FC26CB">
              <w:rPr>
                <w:rFonts w:hAnsi="標楷體" w:hint="eastAsia"/>
              </w:rPr>
              <w:t>775</w:t>
            </w:r>
          </w:p>
        </w:tc>
        <w:tc>
          <w:tcPr>
            <w:tcW w:w="1531" w:type="dxa"/>
            <w:shd w:val="clear" w:color="auto" w:fill="auto"/>
            <w:vAlign w:val="center"/>
          </w:tcPr>
          <w:p w:rsidR="00A35AE1" w:rsidRPr="00FC26CB" w:rsidRDefault="00A35AE1" w:rsidP="007F7453">
            <w:pPr>
              <w:pStyle w:val="142"/>
              <w:jc w:val="right"/>
              <w:rPr>
                <w:rFonts w:hAnsi="標楷體" w:hint="eastAsia"/>
              </w:rPr>
            </w:pPr>
          </w:p>
        </w:tc>
        <w:tc>
          <w:tcPr>
            <w:tcW w:w="1531" w:type="dxa"/>
            <w:vAlign w:val="center"/>
          </w:tcPr>
          <w:p w:rsidR="00A35AE1" w:rsidRPr="00FC26CB" w:rsidRDefault="00A35AE1" w:rsidP="007F7453">
            <w:pPr>
              <w:pStyle w:val="142"/>
              <w:jc w:val="right"/>
              <w:rPr>
                <w:rFonts w:hAnsi="標楷體" w:hint="eastAsia"/>
              </w:rPr>
            </w:pPr>
          </w:p>
        </w:tc>
        <w:tc>
          <w:tcPr>
            <w:tcW w:w="1531" w:type="dxa"/>
            <w:shd w:val="clear" w:color="auto" w:fill="auto"/>
            <w:vAlign w:val="center"/>
          </w:tcPr>
          <w:p w:rsidR="00A35AE1" w:rsidRPr="00FC26CB" w:rsidRDefault="00A35AE1" w:rsidP="007F7453">
            <w:pPr>
              <w:pStyle w:val="142"/>
              <w:jc w:val="right"/>
              <w:rPr>
                <w:rFonts w:hAnsi="標楷體" w:hint="eastAsia"/>
              </w:rPr>
            </w:pPr>
            <w:r w:rsidRPr="00FC26CB">
              <w:rPr>
                <w:rFonts w:hAnsi="標楷體" w:hint="eastAsia"/>
              </w:rPr>
              <w:t>9</w:t>
            </w:r>
            <w:r w:rsidRPr="00FC26CB">
              <w:rPr>
                <w:rFonts w:hAnsi="標楷體"/>
              </w:rPr>
              <w:t>,000</w:t>
            </w:r>
          </w:p>
        </w:tc>
        <w:tc>
          <w:tcPr>
            <w:tcW w:w="1531" w:type="dxa"/>
            <w:shd w:val="clear" w:color="auto" w:fill="auto"/>
            <w:vAlign w:val="center"/>
          </w:tcPr>
          <w:p w:rsidR="00A35AE1" w:rsidRPr="00FC26CB" w:rsidRDefault="00A35AE1" w:rsidP="007F7453">
            <w:pPr>
              <w:pStyle w:val="142"/>
              <w:jc w:val="right"/>
              <w:rPr>
                <w:rFonts w:hAnsi="標楷體" w:hint="eastAsia"/>
              </w:rPr>
            </w:pPr>
          </w:p>
        </w:tc>
      </w:tr>
    </w:tbl>
    <w:p w:rsidR="00A35AE1" w:rsidRPr="00FC26CB" w:rsidRDefault="00A35AE1" w:rsidP="007F1414">
      <w:pPr>
        <w:pStyle w:val="142"/>
        <w:ind w:left="1216" w:hangingChars="500" w:hanging="1216"/>
      </w:pPr>
      <w:r w:rsidRPr="00FC26CB">
        <w:rPr>
          <w:rFonts w:hint="eastAsia"/>
        </w:rPr>
        <w:t xml:space="preserve">說 </w:t>
      </w:r>
      <w:r w:rsidRPr="00FC26CB">
        <w:t xml:space="preserve"> </w:t>
      </w:r>
      <w:r w:rsidRPr="00FC26CB">
        <w:rPr>
          <w:rFonts w:hint="eastAsia"/>
        </w:rPr>
        <w:t xml:space="preserve"> </w:t>
      </w:r>
      <w:r w:rsidRPr="00FC26CB">
        <w:t xml:space="preserve"> 明</w:t>
      </w:r>
      <w:r w:rsidRPr="00FC26CB">
        <w:rPr>
          <w:rFonts w:hint="eastAsia"/>
        </w:rPr>
        <w:t>：</w:t>
      </w:r>
      <w:r w:rsidRPr="00FC26CB">
        <w:t>10</w:t>
      </w:r>
      <w:r w:rsidR="007F1414" w:rsidRPr="00FC26CB">
        <w:rPr>
          <w:rFonts w:hint="eastAsia"/>
        </w:rPr>
        <w:t>6</w:t>
      </w:r>
      <w:r w:rsidRPr="00FC26CB">
        <w:rPr>
          <w:rFonts w:hint="eastAsia"/>
        </w:rPr>
        <w:t>至11</w:t>
      </w:r>
      <w:r w:rsidR="007F1414" w:rsidRPr="00FC26CB">
        <w:rPr>
          <w:rFonts w:hint="eastAsia"/>
        </w:rPr>
        <w:t>2</w:t>
      </w:r>
      <w:r w:rsidRPr="00FC26CB">
        <w:rPr>
          <w:rFonts w:hint="eastAsia"/>
        </w:rPr>
        <w:t>年度為</w:t>
      </w:r>
      <w:r w:rsidR="007F1414" w:rsidRPr="00FC26CB">
        <w:rPr>
          <w:rFonts w:hint="eastAsia"/>
        </w:rPr>
        <w:t>法定預算數</w:t>
      </w:r>
      <w:r w:rsidRPr="00FC26CB">
        <w:rPr>
          <w:rFonts w:hint="eastAsia"/>
        </w:rPr>
        <w:t>，</w:t>
      </w:r>
      <w:r w:rsidR="007F1414" w:rsidRPr="00FC26CB">
        <w:rPr>
          <w:rFonts w:hint="eastAsia"/>
        </w:rPr>
        <w:t>113及114年度為預算案數</w:t>
      </w:r>
      <w:r w:rsidR="007F1414" w:rsidRPr="00FC26CB">
        <w:rPr>
          <w:rFonts w:hAnsi="標楷體" w:hint="eastAsia"/>
        </w:rPr>
        <w:t>，</w:t>
      </w:r>
      <w:r w:rsidR="007F1414" w:rsidRPr="00FC26CB">
        <w:rPr>
          <w:rFonts w:hint="eastAsia"/>
        </w:rPr>
        <w:t>113年度決算數為迄9月底執行數</w:t>
      </w:r>
      <w:r w:rsidRPr="00FC26CB">
        <w:rPr>
          <w:rFonts w:hint="eastAsia"/>
        </w:rPr>
        <w:t>。</w:t>
      </w:r>
    </w:p>
    <w:p w:rsidR="00A35AE1" w:rsidRPr="00FC26CB" w:rsidRDefault="00A35AE1" w:rsidP="00A35AE1">
      <w:pPr>
        <w:pStyle w:val="142"/>
        <w:ind w:left="559" w:rightChars="-200" w:right="-566" w:hangingChars="230" w:hanging="559"/>
      </w:pPr>
      <w:r w:rsidRPr="00FC26CB">
        <w:rPr>
          <w:rFonts w:hint="eastAsia"/>
        </w:rPr>
        <w:t>資料來源：中研院提供</w:t>
      </w:r>
      <w:r w:rsidR="001C47B1">
        <w:rPr>
          <w:rFonts w:hAnsi="標楷體" w:hint="eastAsia"/>
        </w:rPr>
        <w:t>及</w:t>
      </w:r>
      <w:r w:rsidRPr="00FC26CB">
        <w:rPr>
          <w:rFonts w:hint="eastAsia"/>
        </w:rPr>
        <w:t>科研基金預</w:t>
      </w:r>
      <w:r w:rsidRPr="00FC26CB">
        <w:rPr>
          <w:rFonts w:hAnsi="標楷體" w:hint="eastAsia"/>
        </w:rPr>
        <w:t>、</w:t>
      </w:r>
      <w:r w:rsidRPr="00FC26CB">
        <w:rPr>
          <w:rFonts w:hint="eastAsia"/>
        </w:rPr>
        <w:t>決算書。</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20"/>
    <w:bookmarkEnd w:id="21"/>
    <w:bookmarkEnd w:id="22"/>
    <w:bookmarkEnd w:id="23"/>
    <w:bookmarkEnd w:id="24"/>
    <w:bookmarkEnd w:id="25"/>
    <w:p w:rsidR="000B6596" w:rsidRPr="00FC26CB" w:rsidRDefault="00836733" w:rsidP="00352AE1">
      <w:pPr>
        <w:pStyle w:val="ab"/>
      </w:pPr>
      <w:r w:rsidRPr="00FC26CB">
        <w:rPr>
          <w:rFonts w:hint="eastAsia"/>
        </w:rPr>
        <w:t>(分機：</w:t>
      </w:r>
      <w:r w:rsidR="00006164" w:rsidRPr="00FC26CB">
        <w:rPr>
          <w:rFonts w:hint="eastAsia"/>
        </w:rPr>
        <w:t>8</w:t>
      </w:r>
      <w:r w:rsidR="00006164" w:rsidRPr="00FC26CB">
        <w:t>65</w:t>
      </w:r>
      <w:r w:rsidR="003E33C1" w:rsidRPr="00FC26CB">
        <w:rPr>
          <w:rFonts w:hint="eastAsia"/>
        </w:rPr>
        <w:t>8</w:t>
      </w:r>
      <w:r w:rsidRPr="00FC26CB">
        <w:rPr>
          <w:rFonts w:hint="eastAsia"/>
        </w:rPr>
        <w:t xml:space="preserve"> </w:t>
      </w:r>
      <w:r w:rsidR="003E33C1" w:rsidRPr="00FC26CB">
        <w:rPr>
          <w:rFonts w:hint="eastAsia"/>
        </w:rPr>
        <w:t>陳輝國</w:t>
      </w:r>
      <w:r w:rsidRPr="00FC26CB">
        <w:rPr>
          <w:rFonts w:hint="eastAsia"/>
        </w:rPr>
        <w:t>)</w:t>
      </w:r>
    </w:p>
    <w:sectPr w:rsidR="000B6596" w:rsidRPr="00FC26CB" w:rsidSect="00041A74">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4E2" w:rsidRDefault="006F34E2" w:rsidP="009B732E">
      <w:pPr>
        <w:spacing w:line="240" w:lineRule="auto"/>
        <w:ind w:left="560" w:firstLine="560"/>
      </w:pPr>
      <w:r>
        <w:separator/>
      </w:r>
    </w:p>
  </w:endnote>
  <w:endnote w:type="continuationSeparator" w:id="0">
    <w:p w:rsidR="006F34E2" w:rsidRDefault="006F34E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C21" w:rsidRDefault="00782C21" w:rsidP="00836733">
    <w:pPr>
      <w:pStyle w:val="af0"/>
      <w:ind w:leftChars="0" w:left="0" w:firstLineChars="0" w:firstLine="0"/>
      <w:jc w:val="center"/>
    </w:pPr>
    <w:r>
      <w:fldChar w:fldCharType="begin"/>
    </w:r>
    <w:r>
      <w:instrText>PAGE   \* MERGEFORMAT</w:instrText>
    </w:r>
    <w:r>
      <w:fldChar w:fldCharType="separate"/>
    </w:r>
    <w:r w:rsidR="007E619B" w:rsidRPr="007E619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4E2" w:rsidRDefault="006F34E2" w:rsidP="009B732E">
      <w:pPr>
        <w:spacing w:line="240" w:lineRule="auto"/>
        <w:ind w:left="560" w:firstLine="560"/>
      </w:pPr>
      <w:r>
        <w:separator/>
      </w:r>
    </w:p>
  </w:footnote>
  <w:footnote w:type="continuationSeparator" w:id="0">
    <w:p w:rsidR="006F34E2" w:rsidRDefault="006F34E2" w:rsidP="009B732E">
      <w:pPr>
        <w:spacing w:line="240" w:lineRule="auto"/>
        <w:ind w:left="560" w:firstLine="560"/>
      </w:pPr>
      <w:r>
        <w:continuationSeparator/>
      </w:r>
    </w:p>
  </w:footnote>
  <w:footnote w:id="1">
    <w:p w:rsidR="009B7880" w:rsidRPr="00F40FB5" w:rsidRDefault="009B7880" w:rsidP="00DE7AD5">
      <w:pPr>
        <w:pStyle w:val="142"/>
        <w:ind w:left="182" w:hangingChars="75" w:hanging="182"/>
      </w:pPr>
      <w:r>
        <w:rPr>
          <w:rStyle w:val="af6"/>
        </w:rPr>
        <w:footnoteRef/>
      </w:r>
      <w:r w:rsidR="00DE7AD5">
        <w:rPr>
          <w:rFonts w:hint="eastAsia"/>
        </w:rPr>
        <w:t xml:space="preserve"> </w:t>
      </w:r>
      <w:r w:rsidRPr="00F40FB5">
        <w:rPr>
          <w:rFonts w:hint="eastAsia"/>
        </w:rPr>
        <w:t>臺灣人體生物資料庫資料及檢體使用收費標準第3條</w:t>
      </w:r>
      <w:r w:rsidR="00DE7AD5">
        <w:rPr>
          <w:rFonts w:hint="eastAsia"/>
        </w:rPr>
        <w:t>規定</w:t>
      </w:r>
      <w:r w:rsidRPr="00F40FB5">
        <w:rPr>
          <w:rFonts w:hint="eastAsia"/>
        </w:rPr>
        <w:t>：「依使用原則申請使用者，應繳交使用費；國外申請者則以美元收費。」</w:t>
      </w:r>
    </w:p>
  </w:footnote>
  <w:footnote w:id="2">
    <w:p w:rsidR="009B7880" w:rsidRDefault="009B7880" w:rsidP="00DE7AD5">
      <w:pPr>
        <w:pStyle w:val="142"/>
        <w:ind w:left="182" w:hangingChars="75" w:hanging="182"/>
      </w:pPr>
      <w:r>
        <w:rPr>
          <w:rStyle w:val="af6"/>
        </w:rPr>
        <w:footnoteRef/>
      </w:r>
      <w:r w:rsidR="00DE7AD5">
        <w:rPr>
          <w:rFonts w:hint="eastAsia"/>
        </w:rPr>
        <w:t xml:space="preserve"> </w:t>
      </w:r>
      <w:r w:rsidRPr="00D950F0">
        <w:rPr>
          <w:rFonts w:hint="eastAsia"/>
        </w:rPr>
        <w:t>人體生物資料庫管理條例</w:t>
      </w:r>
      <w:r>
        <w:rPr>
          <w:rFonts w:hint="eastAsia"/>
        </w:rPr>
        <w:t>第21條第1項</w:t>
      </w:r>
      <w:r w:rsidR="00DE7AD5">
        <w:rPr>
          <w:rFonts w:hint="eastAsia"/>
        </w:rPr>
        <w:t>規定</w:t>
      </w:r>
      <w:r>
        <w:rPr>
          <w:rFonts w:hint="eastAsia"/>
        </w:rPr>
        <w:t>：「</w:t>
      </w:r>
      <w:r w:rsidRPr="00D950F0">
        <w:rPr>
          <w:rFonts w:hint="eastAsia"/>
        </w:rPr>
        <w:t>設置者及生物資料庫之商業運用產生之利益，應回饋參與者所屬之人口群或特定群體。</w:t>
      </w:r>
      <w:r>
        <w:rPr>
          <w:rFonts w:hint="eastAsia"/>
        </w:rPr>
        <w:t>」</w:t>
      </w:r>
      <w:r w:rsidRPr="00031A73">
        <w:rPr>
          <w:rFonts w:hint="eastAsia"/>
        </w:rPr>
        <w:t>人體生物資料庫商業運用利益回饋辦法</w:t>
      </w:r>
      <w:r>
        <w:rPr>
          <w:rFonts w:hint="eastAsia"/>
        </w:rPr>
        <w:t>第6條第1項</w:t>
      </w:r>
      <w:r w:rsidR="00DE7AD5">
        <w:rPr>
          <w:rFonts w:hint="eastAsia"/>
        </w:rPr>
        <w:t>規定</w:t>
      </w:r>
      <w:r>
        <w:rPr>
          <w:rFonts w:hint="eastAsia"/>
        </w:rPr>
        <w:t>：「設置者收取之商業運用利益，其回饋對象如下：一、利益之產生主要為特定群體之貢獻者，應回饋於該特定群體。二、利益之產生難以界定與特定群體之關連性者，應回饋於人口群。」</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8"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1"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3"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6F57AA"/>
    <w:multiLevelType w:val="hybridMultilevel"/>
    <w:tmpl w:val="05BC71B2"/>
    <w:lvl w:ilvl="0" w:tplc="40C4ED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19"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7A542FFB"/>
    <w:multiLevelType w:val="hybridMultilevel"/>
    <w:tmpl w:val="369E9E08"/>
    <w:lvl w:ilvl="0" w:tplc="9B3A80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18"/>
  </w:num>
  <w:num w:numId="3">
    <w:abstractNumId w:val="5"/>
  </w:num>
  <w:num w:numId="4">
    <w:abstractNumId w:val="21"/>
  </w:num>
  <w:num w:numId="5">
    <w:abstractNumId w:val="14"/>
  </w:num>
  <w:num w:numId="6">
    <w:abstractNumId w:val="19"/>
  </w:num>
  <w:num w:numId="7">
    <w:abstractNumId w:val="2"/>
  </w:num>
  <w:num w:numId="8">
    <w:abstractNumId w:val="4"/>
  </w:num>
  <w:num w:numId="9">
    <w:abstractNumId w:val="6"/>
  </w:num>
  <w:num w:numId="10">
    <w:abstractNumId w:val="8"/>
  </w:num>
  <w:num w:numId="11">
    <w:abstractNumId w:val="11"/>
  </w:num>
  <w:num w:numId="12">
    <w:abstractNumId w:val="13"/>
  </w:num>
  <w:num w:numId="13">
    <w:abstractNumId w:val="0"/>
  </w:num>
  <w:num w:numId="14">
    <w:abstractNumId w:val="10"/>
  </w:num>
  <w:num w:numId="15">
    <w:abstractNumId w:val="1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9"/>
  </w:num>
  <w:num w:numId="23">
    <w:abstractNumId w:val="1"/>
  </w:num>
  <w:num w:numId="24">
    <w:abstractNumId w:val="7"/>
  </w:num>
  <w:num w:numId="25">
    <w:abstractNumId w:val="1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zh-TW" w:vendorID="64" w:dllVersion="0" w:nlCheck="1" w:checkStyle="0"/>
  <w:activeWritingStyle w:appName="MSWord" w:lang="en-US" w:vendorID="64" w:dllVersion="4096" w:nlCheck="1" w:checkStyle="0"/>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2A9"/>
    <w:rsid w:val="0000044D"/>
    <w:rsid w:val="00001CBC"/>
    <w:rsid w:val="00003E3F"/>
    <w:rsid w:val="00006164"/>
    <w:rsid w:val="000071E6"/>
    <w:rsid w:val="00010664"/>
    <w:rsid w:val="00012AB0"/>
    <w:rsid w:val="00012E0C"/>
    <w:rsid w:val="000142B0"/>
    <w:rsid w:val="00014F7E"/>
    <w:rsid w:val="000151C9"/>
    <w:rsid w:val="00016F45"/>
    <w:rsid w:val="00022DEC"/>
    <w:rsid w:val="00022E85"/>
    <w:rsid w:val="00024914"/>
    <w:rsid w:val="00024937"/>
    <w:rsid w:val="00025234"/>
    <w:rsid w:val="000254AC"/>
    <w:rsid w:val="0002553E"/>
    <w:rsid w:val="000266CD"/>
    <w:rsid w:val="0003141D"/>
    <w:rsid w:val="00031702"/>
    <w:rsid w:val="00031A73"/>
    <w:rsid w:val="0003327D"/>
    <w:rsid w:val="00034EF4"/>
    <w:rsid w:val="00034F8B"/>
    <w:rsid w:val="00040314"/>
    <w:rsid w:val="00041779"/>
    <w:rsid w:val="00041A74"/>
    <w:rsid w:val="0004568F"/>
    <w:rsid w:val="00045761"/>
    <w:rsid w:val="00047640"/>
    <w:rsid w:val="00050D30"/>
    <w:rsid w:val="00051C4C"/>
    <w:rsid w:val="00052FA0"/>
    <w:rsid w:val="00053CE5"/>
    <w:rsid w:val="00053DE9"/>
    <w:rsid w:val="000548C6"/>
    <w:rsid w:val="000549FB"/>
    <w:rsid w:val="0005551B"/>
    <w:rsid w:val="00055AD4"/>
    <w:rsid w:val="00056956"/>
    <w:rsid w:val="00057118"/>
    <w:rsid w:val="00060835"/>
    <w:rsid w:val="00062027"/>
    <w:rsid w:val="0006313A"/>
    <w:rsid w:val="000636AD"/>
    <w:rsid w:val="000650EC"/>
    <w:rsid w:val="000668E4"/>
    <w:rsid w:val="0007335F"/>
    <w:rsid w:val="00073A9F"/>
    <w:rsid w:val="00074818"/>
    <w:rsid w:val="0007640A"/>
    <w:rsid w:val="00076B69"/>
    <w:rsid w:val="000824AF"/>
    <w:rsid w:val="000829D2"/>
    <w:rsid w:val="00083D20"/>
    <w:rsid w:val="0008447C"/>
    <w:rsid w:val="00086819"/>
    <w:rsid w:val="00090495"/>
    <w:rsid w:val="000919F5"/>
    <w:rsid w:val="00092CEF"/>
    <w:rsid w:val="000937BA"/>
    <w:rsid w:val="00093B4B"/>
    <w:rsid w:val="00096884"/>
    <w:rsid w:val="00097DFD"/>
    <w:rsid w:val="000A1630"/>
    <w:rsid w:val="000A1A01"/>
    <w:rsid w:val="000A1B14"/>
    <w:rsid w:val="000A4147"/>
    <w:rsid w:val="000A4C40"/>
    <w:rsid w:val="000A6309"/>
    <w:rsid w:val="000A7205"/>
    <w:rsid w:val="000A73FE"/>
    <w:rsid w:val="000B048D"/>
    <w:rsid w:val="000B4AD1"/>
    <w:rsid w:val="000B56FF"/>
    <w:rsid w:val="000B6596"/>
    <w:rsid w:val="000C1FE4"/>
    <w:rsid w:val="000C3DD1"/>
    <w:rsid w:val="000C419A"/>
    <w:rsid w:val="000C74D4"/>
    <w:rsid w:val="000C7715"/>
    <w:rsid w:val="000D275D"/>
    <w:rsid w:val="000D4B51"/>
    <w:rsid w:val="000D5268"/>
    <w:rsid w:val="000D62A6"/>
    <w:rsid w:val="000D79A2"/>
    <w:rsid w:val="000E4EB3"/>
    <w:rsid w:val="000F112E"/>
    <w:rsid w:val="000F12EF"/>
    <w:rsid w:val="000F30BE"/>
    <w:rsid w:val="000F45C6"/>
    <w:rsid w:val="000F579B"/>
    <w:rsid w:val="00103E2D"/>
    <w:rsid w:val="00105B0A"/>
    <w:rsid w:val="00106BFE"/>
    <w:rsid w:val="00110543"/>
    <w:rsid w:val="00111B22"/>
    <w:rsid w:val="0011201E"/>
    <w:rsid w:val="00113129"/>
    <w:rsid w:val="00114650"/>
    <w:rsid w:val="00115E45"/>
    <w:rsid w:val="001166BB"/>
    <w:rsid w:val="00116ECA"/>
    <w:rsid w:val="001171CB"/>
    <w:rsid w:val="0011789F"/>
    <w:rsid w:val="00120027"/>
    <w:rsid w:val="00120631"/>
    <w:rsid w:val="00121FE9"/>
    <w:rsid w:val="0012227E"/>
    <w:rsid w:val="00122A24"/>
    <w:rsid w:val="0013156B"/>
    <w:rsid w:val="00131620"/>
    <w:rsid w:val="00131D8E"/>
    <w:rsid w:val="00137761"/>
    <w:rsid w:val="00137CDB"/>
    <w:rsid w:val="00141C52"/>
    <w:rsid w:val="00145803"/>
    <w:rsid w:val="00147955"/>
    <w:rsid w:val="00153642"/>
    <w:rsid w:val="00153C52"/>
    <w:rsid w:val="00154615"/>
    <w:rsid w:val="00157F8A"/>
    <w:rsid w:val="00165544"/>
    <w:rsid w:val="00171A79"/>
    <w:rsid w:val="0017336B"/>
    <w:rsid w:val="0017344B"/>
    <w:rsid w:val="001737EA"/>
    <w:rsid w:val="0017412B"/>
    <w:rsid w:val="001746D2"/>
    <w:rsid w:val="0017698D"/>
    <w:rsid w:val="00177125"/>
    <w:rsid w:val="001814B8"/>
    <w:rsid w:val="00182F37"/>
    <w:rsid w:val="00183773"/>
    <w:rsid w:val="00186274"/>
    <w:rsid w:val="001963F5"/>
    <w:rsid w:val="001A3D02"/>
    <w:rsid w:val="001A3ECF"/>
    <w:rsid w:val="001B05EB"/>
    <w:rsid w:val="001B201C"/>
    <w:rsid w:val="001B273E"/>
    <w:rsid w:val="001B2BBF"/>
    <w:rsid w:val="001B33AF"/>
    <w:rsid w:val="001B6A6D"/>
    <w:rsid w:val="001B722F"/>
    <w:rsid w:val="001C0A16"/>
    <w:rsid w:val="001C1C44"/>
    <w:rsid w:val="001C4557"/>
    <w:rsid w:val="001C47B1"/>
    <w:rsid w:val="001C5D74"/>
    <w:rsid w:val="001C7821"/>
    <w:rsid w:val="001C7E6E"/>
    <w:rsid w:val="001D1716"/>
    <w:rsid w:val="001D2244"/>
    <w:rsid w:val="001D4636"/>
    <w:rsid w:val="001D4D0E"/>
    <w:rsid w:val="001D66AE"/>
    <w:rsid w:val="001E421E"/>
    <w:rsid w:val="001E53E6"/>
    <w:rsid w:val="001E71E8"/>
    <w:rsid w:val="001E792F"/>
    <w:rsid w:val="001F1917"/>
    <w:rsid w:val="001F220A"/>
    <w:rsid w:val="001F26CE"/>
    <w:rsid w:val="001F6344"/>
    <w:rsid w:val="002019E0"/>
    <w:rsid w:val="00201A1B"/>
    <w:rsid w:val="0021279A"/>
    <w:rsid w:val="00213EAF"/>
    <w:rsid w:val="00215945"/>
    <w:rsid w:val="00221A93"/>
    <w:rsid w:val="002239D6"/>
    <w:rsid w:val="002244AA"/>
    <w:rsid w:val="002244B8"/>
    <w:rsid w:val="00224545"/>
    <w:rsid w:val="00226A3E"/>
    <w:rsid w:val="002272B3"/>
    <w:rsid w:val="00230325"/>
    <w:rsid w:val="00230BC5"/>
    <w:rsid w:val="00230C03"/>
    <w:rsid w:val="00233830"/>
    <w:rsid w:val="00241033"/>
    <w:rsid w:val="00241386"/>
    <w:rsid w:val="002427EA"/>
    <w:rsid w:val="00244202"/>
    <w:rsid w:val="00246876"/>
    <w:rsid w:val="002506CC"/>
    <w:rsid w:val="002507A0"/>
    <w:rsid w:val="00251D55"/>
    <w:rsid w:val="00251EA8"/>
    <w:rsid w:val="00252465"/>
    <w:rsid w:val="0025541E"/>
    <w:rsid w:val="00256701"/>
    <w:rsid w:val="002579ED"/>
    <w:rsid w:val="00260220"/>
    <w:rsid w:val="002605A3"/>
    <w:rsid w:val="002613BE"/>
    <w:rsid w:val="00262F92"/>
    <w:rsid w:val="00263013"/>
    <w:rsid w:val="00263E09"/>
    <w:rsid w:val="00264EAF"/>
    <w:rsid w:val="0026623B"/>
    <w:rsid w:val="00270BB5"/>
    <w:rsid w:val="00273850"/>
    <w:rsid w:val="0027535E"/>
    <w:rsid w:val="00276D7B"/>
    <w:rsid w:val="00280E91"/>
    <w:rsid w:val="002814DB"/>
    <w:rsid w:val="00282F48"/>
    <w:rsid w:val="00283713"/>
    <w:rsid w:val="002842C8"/>
    <w:rsid w:val="00285154"/>
    <w:rsid w:val="00286782"/>
    <w:rsid w:val="00287E48"/>
    <w:rsid w:val="00293850"/>
    <w:rsid w:val="00295DB5"/>
    <w:rsid w:val="002A47A9"/>
    <w:rsid w:val="002A5BB9"/>
    <w:rsid w:val="002B2CDE"/>
    <w:rsid w:val="002B3043"/>
    <w:rsid w:val="002B3A67"/>
    <w:rsid w:val="002B583E"/>
    <w:rsid w:val="002B58BE"/>
    <w:rsid w:val="002B69CC"/>
    <w:rsid w:val="002C4641"/>
    <w:rsid w:val="002C5219"/>
    <w:rsid w:val="002C533A"/>
    <w:rsid w:val="002C5E5C"/>
    <w:rsid w:val="002D0080"/>
    <w:rsid w:val="002D0FBB"/>
    <w:rsid w:val="002D226D"/>
    <w:rsid w:val="002D264E"/>
    <w:rsid w:val="002D2816"/>
    <w:rsid w:val="002E086F"/>
    <w:rsid w:val="002E1CB2"/>
    <w:rsid w:val="002E1F9D"/>
    <w:rsid w:val="002E2AE5"/>
    <w:rsid w:val="002E3067"/>
    <w:rsid w:val="002E356E"/>
    <w:rsid w:val="002E511C"/>
    <w:rsid w:val="002E5CDC"/>
    <w:rsid w:val="002E69BE"/>
    <w:rsid w:val="002E70CF"/>
    <w:rsid w:val="002F1CC2"/>
    <w:rsid w:val="002F25DE"/>
    <w:rsid w:val="002F399B"/>
    <w:rsid w:val="002F4289"/>
    <w:rsid w:val="002F5926"/>
    <w:rsid w:val="002F5AE9"/>
    <w:rsid w:val="002F7726"/>
    <w:rsid w:val="003010F5"/>
    <w:rsid w:val="003032DD"/>
    <w:rsid w:val="00303956"/>
    <w:rsid w:val="003039E8"/>
    <w:rsid w:val="0030734C"/>
    <w:rsid w:val="00310B07"/>
    <w:rsid w:val="00314715"/>
    <w:rsid w:val="00314CD5"/>
    <w:rsid w:val="003152E0"/>
    <w:rsid w:val="00315639"/>
    <w:rsid w:val="00324A80"/>
    <w:rsid w:val="0033046A"/>
    <w:rsid w:val="00330B0D"/>
    <w:rsid w:val="003314AA"/>
    <w:rsid w:val="0033187E"/>
    <w:rsid w:val="00331988"/>
    <w:rsid w:val="00333689"/>
    <w:rsid w:val="00335563"/>
    <w:rsid w:val="003359A1"/>
    <w:rsid w:val="00336491"/>
    <w:rsid w:val="00340EBE"/>
    <w:rsid w:val="00341D9A"/>
    <w:rsid w:val="00341F9C"/>
    <w:rsid w:val="0034303A"/>
    <w:rsid w:val="00343BDD"/>
    <w:rsid w:val="0034679F"/>
    <w:rsid w:val="00346BFD"/>
    <w:rsid w:val="00346CE6"/>
    <w:rsid w:val="003511F5"/>
    <w:rsid w:val="00351A57"/>
    <w:rsid w:val="003524C4"/>
    <w:rsid w:val="003528F0"/>
    <w:rsid w:val="00352AE1"/>
    <w:rsid w:val="00353AAE"/>
    <w:rsid w:val="00354DE2"/>
    <w:rsid w:val="00355A2E"/>
    <w:rsid w:val="00360770"/>
    <w:rsid w:val="00364D51"/>
    <w:rsid w:val="00370422"/>
    <w:rsid w:val="00370799"/>
    <w:rsid w:val="00372BAA"/>
    <w:rsid w:val="00377A5C"/>
    <w:rsid w:val="00382C2A"/>
    <w:rsid w:val="003834E7"/>
    <w:rsid w:val="003922E9"/>
    <w:rsid w:val="00394206"/>
    <w:rsid w:val="003961FE"/>
    <w:rsid w:val="003962A9"/>
    <w:rsid w:val="003A098D"/>
    <w:rsid w:val="003A1351"/>
    <w:rsid w:val="003A4924"/>
    <w:rsid w:val="003A63C2"/>
    <w:rsid w:val="003A72A2"/>
    <w:rsid w:val="003B1436"/>
    <w:rsid w:val="003B1BC5"/>
    <w:rsid w:val="003C04EA"/>
    <w:rsid w:val="003C359A"/>
    <w:rsid w:val="003C5342"/>
    <w:rsid w:val="003D0783"/>
    <w:rsid w:val="003D0E14"/>
    <w:rsid w:val="003D1440"/>
    <w:rsid w:val="003D1D6F"/>
    <w:rsid w:val="003D42DF"/>
    <w:rsid w:val="003E24C5"/>
    <w:rsid w:val="003E2648"/>
    <w:rsid w:val="003E2CD2"/>
    <w:rsid w:val="003E33C1"/>
    <w:rsid w:val="003E3EB0"/>
    <w:rsid w:val="003E4EDD"/>
    <w:rsid w:val="003E53D5"/>
    <w:rsid w:val="003F03A0"/>
    <w:rsid w:val="003F10BE"/>
    <w:rsid w:val="003F3031"/>
    <w:rsid w:val="003F31F6"/>
    <w:rsid w:val="003F5CC2"/>
    <w:rsid w:val="003F6FF8"/>
    <w:rsid w:val="004029E3"/>
    <w:rsid w:val="00402C2D"/>
    <w:rsid w:val="00402F3E"/>
    <w:rsid w:val="00403F2B"/>
    <w:rsid w:val="00404C1A"/>
    <w:rsid w:val="00405039"/>
    <w:rsid w:val="00412F4A"/>
    <w:rsid w:val="00412FD4"/>
    <w:rsid w:val="00414137"/>
    <w:rsid w:val="00417663"/>
    <w:rsid w:val="0042393D"/>
    <w:rsid w:val="00424209"/>
    <w:rsid w:val="0043089F"/>
    <w:rsid w:val="00430F79"/>
    <w:rsid w:val="00431497"/>
    <w:rsid w:val="00435174"/>
    <w:rsid w:val="004351E4"/>
    <w:rsid w:val="00437351"/>
    <w:rsid w:val="00437B31"/>
    <w:rsid w:val="00440DE9"/>
    <w:rsid w:val="00442B73"/>
    <w:rsid w:val="004435FF"/>
    <w:rsid w:val="0044371B"/>
    <w:rsid w:val="004449D3"/>
    <w:rsid w:val="00445120"/>
    <w:rsid w:val="004451F7"/>
    <w:rsid w:val="00451036"/>
    <w:rsid w:val="00451CF7"/>
    <w:rsid w:val="00451D78"/>
    <w:rsid w:val="00452009"/>
    <w:rsid w:val="0045478A"/>
    <w:rsid w:val="00455570"/>
    <w:rsid w:val="00456042"/>
    <w:rsid w:val="00456BF0"/>
    <w:rsid w:val="00460F3D"/>
    <w:rsid w:val="0046459B"/>
    <w:rsid w:val="00464CA6"/>
    <w:rsid w:val="004654C1"/>
    <w:rsid w:val="00465A73"/>
    <w:rsid w:val="00466647"/>
    <w:rsid w:val="00466ADC"/>
    <w:rsid w:val="00467708"/>
    <w:rsid w:val="0047124D"/>
    <w:rsid w:val="004713EE"/>
    <w:rsid w:val="00474731"/>
    <w:rsid w:val="0047721F"/>
    <w:rsid w:val="00477C1E"/>
    <w:rsid w:val="00482D43"/>
    <w:rsid w:val="00485112"/>
    <w:rsid w:val="004853C1"/>
    <w:rsid w:val="00486FF1"/>
    <w:rsid w:val="00490DDC"/>
    <w:rsid w:val="00493099"/>
    <w:rsid w:val="00495985"/>
    <w:rsid w:val="004A56B5"/>
    <w:rsid w:val="004A5E48"/>
    <w:rsid w:val="004A5F95"/>
    <w:rsid w:val="004A760A"/>
    <w:rsid w:val="004A7731"/>
    <w:rsid w:val="004B305F"/>
    <w:rsid w:val="004B4F67"/>
    <w:rsid w:val="004B6328"/>
    <w:rsid w:val="004B7DE5"/>
    <w:rsid w:val="004B7EA6"/>
    <w:rsid w:val="004C026C"/>
    <w:rsid w:val="004C11E0"/>
    <w:rsid w:val="004C2D04"/>
    <w:rsid w:val="004C33EE"/>
    <w:rsid w:val="004C4B94"/>
    <w:rsid w:val="004C6C89"/>
    <w:rsid w:val="004D0F3E"/>
    <w:rsid w:val="004D2FBC"/>
    <w:rsid w:val="004E23CC"/>
    <w:rsid w:val="004E261B"/>
    <w:rsid w:val="004E275F"/>
    <w:rsid w:val="004E57C8"/>
    <w:rsid w:val="004F0709"/>
    <w:rsid w:val="004F0B69"/>
    <w:rsid w:val="004F1296"/>
    <w:rsid w:val="004F2961"/>
    <w:rsid w:val="004F2A73"/>
    <w:rsid w:val="004F2D3D"/>
    <w:rsid w:val="004F3729"/>
    <w:rsid w:val="004F3DCD"/>
    <w:rsid w:val="004F582F"/>
    <w:rsid w:val="004F6FB5"/>
    <w:rsid w:val="004F7D7D"/>
    <w:rsid w:val="004F7EE5"/>
    <w:rsid w:val="00500114"/>
    <w:rsid w:val="00501AC7"/>
    <w:rsid w:val="00504567"/>
    <w:rsid w:val="00504CC0"/>
    <w:rsid w:val="00504E67"/>
    <w:rsid w:val="00505341"/>
    <w:rsid w:val="00506392"/>
    <w:rsid w:val="00511A63"/>
    <w:rsid w:val="0051637F"/>
    <w:rsid w:val="005168DC"/>
    <w:rsid w:val="00522ED4"/>
    <w:rsid w:val="00523474"/>
    <w:rsid w:val="00523A63"/>
    <w:rsid w:val="00526154"/>
    <w:rsid w:val="005323CB"/>
    <w:rsid w:val="00534A7D"/>
    <w:rsid w:val="0053552A"/>
    <w:rsid w:val="00537CDC"/>
    <w:rsid w:val="00537F6D"/>
    <w:rsid w:val="005404DD"/>
    <w:rsid w:val="005416EA"/>
    <w:rsid w:val="00541703"/>
    <w:rsid w:val="00542C1C"/>
    <w:rsid w:val="0054329A"/>
    <w:rsid w:val="0054408D"/>
    <w:rsid w:val="0054410C"/>
    <w:rsid w:val="00546BAD"/>
    <w:rsid w:val="00547B46"/>
    <w:rsid w:val="005509AB"/>
    <w:rsid w:val="00550A1C"/>
    <w:rsid w:val="00551593"/>
    <w:rsid w:val="005523B4"/>
    <w:rsid w:val="005535A9"/>
    <w:rsid w:val="00555413"/>
    <w:rsid w:val="0055720D"/>
    <w:rsid w:val="005578B8"/>
    <w:rsid w:val="0055791C"/>
    <w:rsid w:val="00557956"/>
    <w:rsid w:val="00557E94"/>
    <w:rsid w:val="00561C04"/>
    <w:rsid w:val="00562C3C"/>
    <w:rsid w:val="005634E2"/>
    <w:rsid w:val="005661F9"/>
    <w:rsid w:val="00567CC0"/>
    <w:rsid w:val="00570165"/>
    <w:rsid w:val="00572CA0"/>
    <w:rsid w:val="0057377C"/>
    <w:rsid w:val="005738CE"/>
    <w:rsid w:val="00574007"/>
    <w:rsid w:val="00574332"/>
    <w:rsid w:val="00575CC0"/>
    <w:rsid w:val="005775E8"/>
    <w:rsid w:val="00583AAA"/>
    <w:rsid w:val="0058629F"/>
    <w:rsid w:val="00587531"/>
    <w:rsid w:val="005A0E21"/>
    <w:rsid w:val="005A0E6E"/>
    <w:rsid w:val="005A1A20"/>
    <w:rsid w:val="005A1A58"/>
    <w:rsid w:val="005A2643"/>
    <w:rsid w:val="005A3EA1"/>
    <w:rsid w:val="005A5657"/>
    <w:rsid w:val="005A569D"/>
    <w:rsid w:val="005A6124"/>
    <w:rsid w:val="005B0EE0"/>
    <w:rsid w:val="005B1A8F"/>
    <w:rsid w:val="005B23B6"/>
    <w:rsid w:val="005B4094"/>
    <w:rsid w:val="005B4E04"/>
    <w:rsid w:val="005B4FDF"/>
    <w:rsid w:val="005B5534"/>
    <w:rsid w:val="005B5F90"/>
    <w:rsid w:val="005B6B6A"/>
    <w:rsid w:val="005B783B"/>
    <w:rsid w:val="005C047B"/>
    <w:rsid w:val="005C535B"/>
    <w:rsid w:val="005C749B"/>
    <w:rsid w:val="005D137A"/>
    <w:rsid w:val="005D411D"/>
    <w:rsid w:val="005E039E"/>
    <w:rsid w:val="005E04F6"/>
    <w:rsid w:val="005F1337"/>
    <w:rsid w:val="005F170C"/>
    <w:rsid w:val="005F1E06"/>
    <w:rsid w:val="005F72F2"/>
    <w:rsid w:val="005F789F"/>
    <w:rsid w:val="00601F16"/>
    <w:rsid w:val="00602463"/>
    <w:rsid w:val="0060364F"/>
    <w:rsid w:val="006040F6"/>
    <w:rsid w:val="00604B7E"/>
    <w:rsid w:val="006061EC"/>
    <w:rsid w:val="00610855"/>
    <w:rsid w:val="00610BB8"/>
    <w:rsid w:val="00610BE7"/>
    <w:rsid w:val="00612147"/>
    <w:rsid w:val="00614542"/>
    <w:rsid w:val="006145DE"/>
    <w:rsid w:val="00620C5E"/>
    <w:rsid w:val="00622885"/>
    <w:rsid w:val="006268EF"/>
    <w:rsid w:val="00627927"/>
    <w:rsid w:val="0063274E"/>
    <w:rsid w:val="006339C0"/>
    <w:rsid w:val="00636A64"/>
    <w:rsid w:val="00636F3C"/>
    <w:rsid w:val="00640E1D"/>
    <w:rsid w:val="00645F2A"/>
    <w:rsid w:val="00652B30"/>
    <w:rsid w:val="00653995"/>
    <w:rsid w:val="00654D95"/>
    <w:rsid w:val="00661349"/>
    <w:rsid w:val="006619F0"/>
    <w:rsid w:val="00663218"/>
    <w:rsid w:val="00664CE3"/>
    <w:rsid w:val="00666095"/>
    <w:rsid w:val="006679DA"/>
    <w:rsid w:val="00667A05"/>
    <w:rsid w:val="00670179"/>
    <w:rsid w:val="006719FE"/>
    <w:rsid w:val="00673414"/>
    <w:rsid w:val="006737E6"/>
    <w:rsid w:val="006738BD"/>
    <w:rsid w:val="00673D7F"/>
    <w:rsid w:val="00676E2B"/>
    <w:rsid w:val="00676F5E"/>
    <w:rsid w:val="0067712F"/>
    <w:rsid w:val="00680072"/>
    <w:rsid w:val="006800DB"/>
    <w:rsid w:val="0068156B"/>
    <w:rsid w:val="006828FA"/>
    <w:rsid w:val="00682B61"/>
    <w:rsid w:val="0069250A"/>
    <w:rsid w:val="00692C4B"/>
    <w:rsid w:val="0069695D"/>
    <w:rsid w:val="006A1A81"/>
    <w:rsid w:val="006A268F"/>
    <w:rsid w:val="006A4BAB"/>
    <w:rsid w:val="006A5420"/>
    <w:rsid w:val="006A6944"/>
    <w:rsid w:val="006B2301"/>
    <w:rsid w:val="006B3BF9"/>
    <w:rsid w:val="006B3D32"/>
    <w:rsid w:val="006B543C"/>
    <w:rsid w:val="006C08A5"/>
    <w:rsid w:val="006C33D4"/>
    <w:rsid w:val="006C3E39"/>
    <w:rsid w:val="006C44C3"/>
    <w:rsid w:val="006C4AE5"/>
    <w:rsid w:val="006C4F73"/>
    <w:rsid w:val="006C7DFF"/>
    <w:rsid w:val="006D22B8"/>
    <w:rsid w:val="006D2C46"/>
    <w:rsid w:val="006D3025"/>
    <w:rsid w:val="006D4873"/>
    <w:rsid w:val="006D6DB2"/>
    <w:rsid w:val="006E1526"/>
    <w:rsid w:val="006E291A"/>
    <w:rsid w:val="006E37F1"/>
    <w:rsid w:val="006E71FD"/>
    <w:rsid w:val="006E74B6"/>
    <w:rsid w:val="006F00F3"/>
    <w:rsid w:val="006F311D"/>
    <w:rsid w:val="006F34E2"/>
    <w:rsid w:val="006F464D"/>
    <w:rsid w:val="006F5014"/>
    <w:rsid w:val="006F756E"/>
    <w:rsid w:val="0070063C"/>
    <w:rsid w:val="0070084C"/>
    <w:rsid w:val="007015A1"/>
    <w:rsid w:val="007026DD"/>
    <w:rsid w:val="007052FE"/>
    <w:rsid w:val="00705B0D"/>
    <w:rsid w:val="007115CB"/>
    <w:rsid w:val="00714CAC"/>
    <w:rsid w:val="00716411"/>
    <w:rsid w:val="00716828"/>
    <w:rsid w:val="00716AC5"/>
    <w:rsid w:val="00721802"/>
    <w:rsid w:val="007315A3"/>
    <w:rsid w:val="007321D6"/>
    <w:rsid w:val="0073363F"/>
    <w:rsid w:val="00734B8A"/>
    <w:rsid w:val="00736E44"/>
    <w:rsid w:val="007377E7"/>
    <w:rsid w:val="0074016F"/>
    <w:rsid w:val="00740576"/>
    <w:rsid w:val="00743842"/>
    <w:rsid w:val="00744408"/>
    <w:rsid w:val="00746F1D"/>
    <w:rsid w:val="007508C9"/>
    <w:rsid w:val="00750D0E"/>
    <w:rsid w:val="0075235F"/>
    <w:rsid w:val="00753F12"/>
    <w:rsid w:val="007551D2"/>
    <w:rsid w:val="00755EBD"/>
    <w:rsid w:val="007618A1"/>
    <w:rsid w:val="0076393B"/>
    <w:rsid w:val="00764698"/>
    <w:rsid w:val="00764972"/>
    <w:rsid w:val="007659AF"/>
    <w:rsid w:val="00766C7B"/>
    <w:rsid w:val="00771ADE"/>
    <w:rsid w:val="00773BC2"/>
    <w:rsid w:val="00774488"/>
    <w:rsid w:val="00774847"/>
    <w:rsid w:val="0077615A"/>
    <w:rsid w:val="00776C37"/>
    <w:rsid w:val="007775F7"/>
    <w:rsid w:val="00782449"/>
    <w:rsid w:val="00782C21"/>
    <w:rsid w:val="00787634"/>
    <w:rsid w:val="00793FEF"/>
    <w:rsid w:val="007A0BA4"/>
    <w:rsid w:val="007A0C07"/>
    <w:rsid w:val="007A641E"/>
    <w:rsid w:val="007B0F9D"/>
    <w:rsid w:val="007B2713"/>
    <w:rsid w:val="007B3745"/>
    <w:rsid w:val="007B518A"/>
    <w:rsid w:val="007B65D5"/>
    <w:rsid w:val="007B687F"/>
    <w:rsid w:val="007B6EA4"/>
    <w:rsid w:val="007B7936"/>
    <w:rsid w:val="007C11E0"/>
    <w:rsid w:val="007C1763"/>
    <w:rsid w:val="007C3141"/>
    <w:rsid w:val="007C3C75"/>
    <w:rsid w:val="007D0003"/>
    <w:rsid w:val="007D0508"/>
    <w:rsid w:val="007D42E9"/>
    <w:rsid w:val="007D49FC"/>
    <w:rsid w:val="007D562A"/>
    <w:rsid w:val="007D626E"/>
    <w:rsid w:val="007D63B3"/>
    <w:rsid w:val="007D7F5E"/>
    <w:rsid w:val="007E2AF4"/>
    <w:rsid w:val="007E31E6"/>
    <w:rsid w:val="007E38C8"/>
    <w:rsid w:val="007E4D37"/>
    <w:rsid w:val="007E5A3E"/>
    <w:rsid w:val="007E619B"/>
    <w:rsid w:val="007E6F5A"/>
    <w:rsid w:val="007F02F3"/>
    <w:rsid w:val="007F1414"/>
    <w:rsid w:val="007F2238"/>
    <w:rsid w:val="007F2C99"/>
    <w:rsid w:val="007F66CA"/>
    <w:rsid w:val="007F7453"/>
    <w:rsid w:val="00801B5C"/>
    <w:rsid w:val="00802CB3"/>
    <w:rsid w:val="00802ECD"/>
    <w:rsid w:val="00810D7D"/>
    <w:rsid w:val="00813E1E"/>
    <w:rsid w:val="008148FE"/>
    <w:rsid w:val="00814D0F"/>
    <w:rsid w:val="0081524F"/>
    <w:rsid w:val="0081552C"/>
    <w:rsid w:val="0081553F"/>
    <w:rsid w:val="00826516"/>
    <w:rsid w:val="00827A00"/>
    <w:rsid w:val="00827B02"/>
    <w:rsid w:val="00833347"/>
    <w:rsid w:val="008364CB"/>
    <w:rsid w:val="00836733"/>
    <w:rsid w:val="00837709"/>
    <w:rsid w:val="00840079"/>
    <w:rsid w:val="00840ED1"/>
    <w:rsid w:val="00841DD6"/>
    <w:rsid w:val="00842E07"/>
    <w:rsid w:val="00843B36"/>
    <w:rsid w:val="00850422"/>
    <w:rsid w:val="00851614"/>
    <w:rsid w:val="00856027"/>
    <w:rsid w:val="008572D0"/>
    <w:rsid w:val="0086215B"/>
    <w:rsid w:val="008640F8"/>
    <w:rsid w:val="008645DB"/>
    <w:rsid w:val="0086585B"/>
    <w:rsid w:val="0086779D"/>
    <w:rsid w:val="00867ED0"/>
    <w:rsid w:val="008705C8"/>
    <w:rsid w:val="00880369"/>
    <w:rsid w:val="00880B16"/>
    <w:rsid w:val="0088627B"/>
    <w:rsid w:val="00890960"/>
    <w:rsid w:val="00897205"/>
    <w:rsid w:val="008A295B"/>
    <w:rsid w:val="008A41A1"/>
    <w:rsid w:val="008B0E40"/>
    <w:rsid w:val="008B11F0"/>
    <w:rsid w:val="008B2B44"/>
    <w:rsid w:val="008B51C4"/>
    <w:rsid w:val="008B6EC3"/>
    <w:rsid w:val="008C1B14"/>
    <w:rsid w:val="008C20B3"/>
    <w:rsid w:val="008C2EF1"/>
    <w:rsid w:val="008C4216"/>
    <w:rsid w:val="008C4B57"/>
    <w:rsid w:val="008D09F1"/>
    <w:rsid w:val="008D10B3"/>
    <w:rsid w:val="008D2389"/>
    <w:rsid w:val="008D5BD0"/>
    <w:rsid w:val="008E109E"/>
    <w:rsid w:val="008E40CE"/>
    <w:rsid w:val="008E59D6"/>
    <w:rsid w:val="008E60D6"/>
    <w:rsid w:val="008E6CF7"/>
    <w:rsid w:val="008F3975"/>
    <w:rsid w:val="008F674F"/>
    <w:rsid w:val="008F7B6B"/>
    <w:rsid w:val="009020E0"/>
    <w:rsid w:val="00904ECE"/>
    <w:rsid w:val="009070CD"/>
    <w:rsid w:val="00914F97"/>
    <w:rsid w:val="00915828"/>
    <w:rsid w:val="009158A8"/>
    <w:rsid w:val="009207D6"/>
    <w:rsid w:val="00920E77"/>
    <w:rsid w:val="00921966"/>
    <w:rsid w:val="00921DDD"/>
    <w:rsid w:val="009334EF"/>
    <w:rsid w:val="009345EF"/>
    <w:rsid w:val="00934A09"/>
    <w:rsid w:val="00935041"/>
    <w:rsid w:val="009350B5"/>
    <w:rsid w:val="00935534"/>
    <w:rsid w:val="0093712C"/>
    <w:rsid w:val="00937504"/>
    <w:rsid w:val="00942DA4"/>
    <w:rsid w:val="00944488"/>
    <w:rsid w:val="00944C15"/>
    <w:rsid w:val="00945956"/>
    <w:rsid w:val="009465D2"/>
    <w:rsid w:val="00947392"/>
    <w:rsid w:val="00947D44"/>
    <w:rsid w:val="00947FD5"/>
    <w:rsid w:val="0095172D"/>
    <w:rsid w:val="00951E0D"/>
    <w:rsid w:val="0095258C"/>
    <w:rsid w:val="00953E5A"/>
    <w:rsid w:val="0095536E"/>
    <w:rsid w:val="00955FE7"/>
    <w:rsid w:val="009568B1"/>
    <w:rsid w:val="00957AB5"/>
    <w:rsid w:val="00961F1D"/>
    <w:rsid w:val="00962493"/>
    <w:rsid w:val="00964002"/>
    <w:rsid w:val="00965E52"/>
    <w:rsid w:val="00967431"/>
    <w:rsid w:val="009714FC"/>
    <w:rsid w:val="009719A1"/>
    <w:rsid w:val="00972A1D"/>
    <w:rsid w:val="00977D0F"/>
    <w:rsid w:val="00983057"/>
    <w:rsid w:val="00983E7A"/>
    <w:rsid w:val="00984F9D"/>
    <w:rsid w:val="009866BF"/>
    <w:rsid w:val="00986C10"/>
    <w:rsid w:val="009877A8"/>
    <w:rsid w:val="00990274"/>
    <w:rsid w:val="00990895"/>
    <w:rsid w:val="00990BBC"/>
    <w:rsid w:val="0099198E"/>
    <w:rsid w:val="00992329"/>
    <w:rsid w:val="00994BE0"/>
    <w:rsid w:val="00997E29"/>
    <w:rsid w:val="009A0A74"/>
    <w:rsid w:val="009A4A5D"/>
    <w:rsid w:val="009A5C4B"/>
    <w:rsid w:val="009A639D"/>
    <w:rsid w:val="009B725C"/>
    <w:rsid w:val="009B732E"/>
    <w:rsid w:val="009B7880"/>
    <w:rsid w:val="009C0DBD"/>
    <w:rsid w:val="009C1B95"/>
    <w:rsid w:val="009C3EE3"/>
    <w:rsid w:val="009C430F"/>
    <w:rsid w:val="009C6037"/>
    <w:rsid w:val="009D1AA4"/>
    <w:rsid w:val="009D4676"/>
    <w:rsid w:val="009D5646"/>
    <w:rsid w:val="009D5B04"/>
    <w:rsid w:val="009D6D3C"/>
    <w:rsid w:val="009E3832"/>
    <w:rsid w:val="009E41BF"/>
    <w:rsid w:val="009E476C"/>
    <w:rsid w:val="009E7548"/>
    <w:rsid w:val="009E7794"/>
    <w:rsid w:val="009F10D1"/>
    <w:rsid w:val="009F213E"/>
    <w:rsid w:val="009F24B2"/>
    <w:rsid w:val="009F25C8"/>
    <w:rsid w:val="009F777B"/>
    <w:rsid w:val="00A01091"/>
    <w:rsid w:val="00A038D4"/>
    <w:rsid w:val="00A05458"/>
    <w:rsid w:val="00A061B9"/>
    <w:rsid w:val="00A11E58"/>
    <w:rsid w:val="00A13285"/>
    <w:rsid w:val="00A1577C"/>
    <w:rsid w:val="00A1577D"/>
    <w:rsid w:val="00A16A81"/>
    <w:rsid w:val="00A16E41"/>
    <w:rsid w:val="00A16E81"/>
    <w:rsid w:val="00A17BC3"/>
    <w:rsid w:val="00A20962"/>
    <w:rsid w:val="00A25EBD"/>
    <w:rsid w:val="00A26159"/>
    <w:rsid w:val="00A319DA"/>
    <w:rsid w:val="00A331BA"/>
    <w:rsid w:val="00A33524"/>
    <w:rsid w:val="00A35AE1"/>
    <w:rsid w:val="00A3667A"/>
    <w:rsid w:val="00A36684"/>
    <w:rsid w:val="00A4010F"/>
    <w:rsid w:val="00A42BB7"/>
    <w:rsid w:val="00A47DC2"/>
    <w:rsid w:val="00A52E77"/>
    <w:rsid w:val="00A56894"/>
    <w:rsid w:val="00A56A06"/>
    <w:rsid w:val="00A60381"/>
    <w:rsid w:val="00A6250B"/>
    <w:rsid w:val="00A6401F"/>
    <w:rsid w:val="00A65507"/>
    <w:rsid w:val="00A6581E"/>
    <w:rsid w:val="00A667F2"/>
    <w:rsid w:val="00A703B4"/>
    <w:rsid w:val="00A72E7C"/>
    <w:rsid w:val="00A742AF"/>
    <w:rsid w:val="00A74FA2"/>
    <w:rsid w:val="00A76485"/>
    <w:rsid w:val="00A80FE2"/>
    <w:rsid w:val="00A83BE7"/>
    <w:rsid w:val="00A92A41"/>
    <w:rsid w:val="00A9587C"/>
    <w:rsid w:val="00A972D8"/>
    <w:rsid w:val="00AA1A65"/>
    <w:rsid w:val="00AA2269"/>
    <w:rsid w:val="00AA291E"/>
    <w:rsid w:val="00AA2D47"/>
    <w:rsid w:val="00AA3072"/>
    <w:rsid w:val="00AA4733"/>
    <w:rsid w:val="00AA5A76"/>
    <w:rsid w:val="00AA7F32"/>
    <w:rsid w:val="00AB0623"/>
    <w:rsid w:val="00AB64D6"/>
    <w:rsid w:val="00AC1082"/>
    <w:rsid w:val="00AC2050"/>
    <w:rsid w:val="00AC459B"/>
    <w:rsid w:val="00AC650A"/>
    <w:rsid w:val="00AC7E17"/>
    <w:rsid w:val="00AD4721"/>
    <w:rsid w:val="00AD4EF5"/>
    <w:rsid w:val="00AD5D33"/>
    <w:rsid w:val="00AD5EB7"/>
    <w:rsid w:val="00AD76E8"/>
    <w:rsid w:val="00AE066B"/>
    <w:rsid w:val="00AE14A0"/>
    <w:rsid w:val="00AE231C"/>
    <w:rsid w:val="00AE7FEA"/>
    <w:rsid w:val="00AF023D"/>
    <w:rsid w:val="00AF0ED3"/>
    <w:rsid w:val="00AF125A"/>
    <w:rsid w:val="00AF2010"/>
    <w:rsid w:val="00AF2CA1"/>
    <w:rsid w:val="00AF6126"/>
    <w:rsid w:val="00AF61A5"/>
    <w:rsid w:val="00AF74B3"/>
    <w:rsid w:val="00B004DE"/>
    <w:rsid w:val="00B00C4F"/>
    <w:rsid w:val="00B00E78"/>
    <w:rsid w:val="00B04A48"/>
    <w:rsid w:val="00B057EE"/>
    <w:rsid w:val="00B068CF"/>
    <w:rsid w:val="00B06D81"/>
    <w:rsid w:val="00B07DFF"/>
    <w:rsid w:val="00B102B5"/>
    <w:rsid w:val="00B13633"/>
    <w:rsid w:val="00B21C19"/>
    <w:rsid w:val="00B237AC"/>
    <w:rsid w:val="00B23B62"/>
    <w:rsid w:val="00B248A1"/>
    <w:rsid w:val="00B25FFD"/>
    <w:rsid w:val="00B26558"/>
    <w:rsid w:val="00B27942"/>
    <w:rsid w:val="00B305E5"/>
    <w:rsid w:val="00B3158E"/>
    <w:rsid w:val="00B32582"/>
    <w:rsid w:val="00B352DC"/>
    <w:rsid w:val="00B36937"/>
    <w:rsid w:val="00B371D2"/>
    <w:rsid w:val="00B42789"/>
    <w:rsid w:val="00B4365F"/>
    <w:rsid w:val="00B4570C"/>
    <w:rsid w:val="00B4618C"/>
    <w:rsid w:val="00B505DF"/>
    <w:rsid w:val="00B50732"/>
    <w:rsid w:val="00B56BA7"/>
    <w:rsid w:val="00B571A3"/>
    <w:rsid w:val="00B576E3"/>
    <w:rsid w:val="00B57A0B"/>
    <w:rsid w:val="00B60469"/>
    <w:rsid w:val="00B61D2F"/>
    <w:rsid w:val="00B62003"/>
    <w:rsid w:val="00B627E7"/>
    <w:rsid w:val="00B62945"/>
    <w:rsid w:val="00B62AAB"/>
    <w:rsid w:val="00B62AFE"/>
    <w:rsid w:val="00B6303F"/>
    <w:rsid w:val="00B635BF"/>
    <w:rsid w:val="00B63AC4"/>
    <w:rsid w:val="00B70E8C"/>
    <w:rsid w:val="00B71BDA"/>
    <w:rsid w:val="00B73235"/>
    <w:rsid w:val="00B739DE"/>
    <w:rsid w:val="00B819F9"/>
    <w:rsid w:val="00B81C80"/>
    <w:rsid w:val="00B82681"/>
    <w:rsid w:val="00B8388A"/>
    <w:rsid w:val="00B851E3"/>
    <w:rsid w:val="00B859B3"/>
    <w:rsid w:val="00B85BFF"/>
    <w:rsid w:val="00B85C36"/>
    <w:rsid w:val="00B90045"/>
    <w:rsid w:val="00B91150"/>
    <w:rsid w:val="00B96F27"/>
    <w:rsid w:val="00BA0B86"/>
    <w:rsid w:val="00BA1F77"/>
    <w:rsid w:val="00BA2212"/>
    <w:rsid w:val="00BA2B0E"/>
    <w:rsid w:val="00BA2F2C"/>
    <w:rsid w:val="00BA4B0F"/>
    <w:rsid w:val="00BA52E4"/>
    <w:rsid w:val="00BA6AFB"/>
    <w:rsid w:val="00BA6D66"/>
    <w:rsid w:val="00BB1F0C"/>
    <w:rsid w:val="00BB26CA"/>
    <w:rsid w:val="00BB60B5"/>
    <w:rsid w:val="00BB7887"/>
    <w:rsid w:val="00BC0377"/>
    <w:rsid w:val="00BC141C"/>
    <w:rsid w:val="00BC2804"/>
    <w:rsid w:val="00BC41D2"/>
    <w:rsid w:val="00BC4F62"/>
    <w:rsid w:val="00BC5205"/>
    <w:rsid w:val="00BC53E0"/>
    <w:rsid w:val="00BD3BA6"/>
    <w:rsid w:val="00BD483A"/>
    <w:rsid w:val="00BD4EC9"/>
    <w:rsid w:val="00BD5A24"/>
    <w:rsid w:val="00BD7FDD"/>
    <w:rsid w:val="00BE014C"/>
    <w:rsid w:val="00BE1346"/>
    <w:rsid w:val="00BE4447"/>
    <w:rsid w:val="00BE60C6"/>
    <w:rsid w:val="00BE7514"/>
    <w:rsid w:val="00BF0FE6"/>
    <w:rsid w:val="00BF4C9C"/>
    <w:rsid w:val="00C03104"/>
    <w:rsid w:val="00C0324D"/>
    <w:rsid w:val="00C03364"/>
    <w:rsid w:val="00C0417A"/>
    <w:rsid w:val="00C04AB5"/>
    <w:rsid w:val="00C04B37"/>
    <w:rsid w:val="00C132E6"/>
    <w:rsid w:val="00C13AFF"/>
    <w:rsid w:val="00C15FCF"/>
    <w:rsid w:val="00C16394"/>
    <w:rsid w:val="00C21389"/>
    <w:rsid w:val="00C237D9"/>
    <w:rsid w:val="00C24267"/>
    <w:rsid w:val="00C24AF6"/>
    <w:rsid w:val="00C264D1"/>
    <w:rsid w:val="00C271D6"/>
    <w:rsid w:val="00C3489C"/>
    <w:rsid w:val="00C4047E"/>
    <w:rsid w:val="00C40A20"/>
    <w:rsid w:val="00C41239"/>
    <w:rsid w:val="00C426DC"/>
    <w:rsid w:val="00C43DC9"/>
    <w:rsid w:val="00C43E6A"/>
    <w:rsid w:val="00C44C37"/>
    <w:rsid w:val="00C45A57"/>
    <w:rsid w:val="00C4641A"/>
    <w:rsid w:val="00C51D76"/>
    <w:rsid w:val="00C550D3"/>
    <w:rsid w:val="00C56310"/>
    <w:rsid w:val="00C56953"/>
    <w:rsid w:val="00C56D7C"/>
    <w:rsid w:val="00C57D33"/>
    <w:rsid w:val="00C60F4B"/>
    <w:rsid w:val="00C66E79"/>
    <w:rsid w:val="00C6722B"/>
    <w:rsid w:val="00C7496D"/>
    <w:rsid w:val="00C750FA"/>
    <w:rsid w:val="00C75BFE"/>
    <w:rsid w:val="00C76C04"/>
    <w:rsid w:val="00C80761"/>
    <w:rsid w:val="00C81272"/>
    <w:rsid w:val="00C84235"/>
    <w:rsid w:val="00C851F1"/>
    <w:rsid w:val="00C92DF0"/>
    <w:rsid w:val="00C95551"/>
    <w:rsid w:val="00C96C9C"/>
    <w:rsid w:val="00C97F98"/>
    <w:rsid w:val="00CA0E24"/>
    <w:rsid w:val="00CA0F7B"/>
    <w:rsid w:val="00CA3D40"/>
    <w:rsid w:val="00CA5769"/>
    <w:rsid w:val="00CA610E"/>
    <w:rsid w:val="00CB195B"/>
    <w:rsid w:val="00CB3F63"/>
    <w:rsid w:val="00CB43A1"/>
    <w:rsid w:val="00CC1A43"/>
    <w:rsid w:val="00CC3887"/>
    <w:rsid w:val="00CC46E8"/>
    <w:rsid w:val="00CD12F9"/>
    <w:rsid w:val="00CD224A"/>
    <w:rsid w:val="00CD43BA"/>
    <w:rsid w:val="00CD52D0"/>
    <w:rsid w:val="00CD6F0C"/>
    <w:rsid w:val="00CD78DF"/>
    <w:rsid w:val="00CD794F"/>
    <w:rsid w:val="00CD7E69"/>
    <w:rsid w:val="00CE0382"/>
    <w:rsid w:val="00CE0C86"/>
    <w:rsid w:val="00CE3607"/>
    <w:rsid w:val="00CE54CA"/>
    <w:rsid w:val="00CE58FD"/>
    <w:rsid w:val="00CE752F"/>
    <w:rsid w:val="00CF16BC"/>
    <w:rsid w:val="00CF3779"/>
    <w:rsid w:val="00CF5131"/>
    <w:rsid w:val="00D014D9"/>
    <w:rsid w:val="00D02A90"/>
    <w:rsid w:val="00D03D82"/>
    <w:rsid w:val="00D045AB"/>
    <w:rsid w:val="00D06D9D"/>
    <w:rsid w:val="00D10C90"/>
    <w:rsid w:val="00D11771"/>
    <w:rsid w:val="00D15188"/>
    <w:rsid w:val="00D15E42"/>
    <w:rsid w:val="00D16B52"/>
    <w:rsid w:val="00D20857"/>
    <w:rsid w:val="00D2476D"/>
    <w:rsid w:val="00D24C39"/>
    <w:rsid w:val="00D27AEA"/>
    <w:rsid w:val="00D309F3"/>
    <w:rsid w:val="00D32EF1"/>
    <w:rsid w:val="00D32F83"/>
    <w:rsid w:val="00D4022E"/>
    <w:rsid w:val="00D41C99"/>
    <w:rsid w:val="00D44EFB"/>
    <w:rsid w:val="00D450B4"/>
    <w:rsid w:val="00D45E71"/>
    <w:rsid w:val="00D4656F"/>
    <w:rsid w:val="00D470E9"/>
    <w:rsid w:val="00D53DB1"/>
    <w:rsid w:val="00D540CD"/>
    <w:rsid w:val="00D55197"/>
    <w:rsid w:val="00D63074"/>
    <w:rsid w:val="00D66928"/>
    <w:rsid w:val="00D700DD"/>
    <w:rsid w:val="00D714EF"/>
    <w:rsid w:val="00D73F2E"/>
    <w:rsid w:val="00D745C2"/>
    <w:rsid w:val="00D7531E"/>
    <w:rsid w:val="00D77534"/>
    <w:rsid w:val="00D7768E"/>
    <w:rsid w:val="00D828D8"/>
    <w:rsid w:val="00D82FD8"/>
    <w:rsid w:val="00D83919"/>
    <w:rsid w:val="00D84AB2"/>
    <w:rsid w:val="00D871DC"/>
    <w:rsid w:val="00D8793B"/>
    <w:rsid w:val="00D91573"/>
    <w:rsid w:val="00D916F5"/>
    <w:rsid w:val="00D91B6F"/>
    <w:rsid w:val="00D91E44"/>
    <w:rsid w:val="00D92480"/>
    <w:rsid w:val="00D92AA5"/>
    <w:rsid w:val="00D950F0"/>
    <w:rsid w:val="00D97B11"/>
    <w:rsid w:val="00DA2338"/>
    <w:rsid w:val="00DA3335"/>
    <w:rsid w:val="00DA48B6"/>
    <w:rsid w:val="00DA4C30"/>
    <w:rsid w:val="00DA7429"/>
    <w:rsid w:val="00DB0A9B"/>
    <w:rsid w:val="00DB256E"/>
    <w:rsid w:val="00DB5985"/>
    <w:rsid w:val="00DB5AD8"/>
    <w:rsid w:val="00DB778D"/>
    <w:rsid w:val="00DC0667"/>
    <w:rsid w:val="00DC119C"/>
    <w:rsid w:val="00DC2A80"/>
    <w:rsid w:val="00DC2A8A"/>
    <w:rsid w:val="00DC49A0"/>
    <w:rsid w:val="00DD337E"/>
    <w:rsid w:val="00DD397C"/>
    <w:rsid w:val="00DD508C"/>
    <w:rsid w:val="00DD5581"/>
    <w:rsid w:val="00DD66F2"/>
    <w:rsid w:val="00DD7A73"/>
    <w:rsid w:val="00DE0802"/>
    <w:rsid w:val="00DE262B"/>
    <w:rsid w:val="00DE4B30"/>
    <w:rsid w:val="00DE64FC"/>
    <w:rsid w:val="00DE7AD5"/>
    <w:rsid w:val="00DF138A"/>
    <w:rsid w:val="00DF3210"/>
    <w:rsid w:val="00DF375A"/>
    <w:rsid w:val="00DF4E48"/>
    <w:rsid w:val="00DF5C87"/>
    <w:rsid w:val="00DF777F"/>
    <w:rsid w:val="00DF7DDC"/>
    <w:rsid w:val="00E00356"/>
    <w:rsid w:val="00E00D02"/>
    <w:rsid w:val="00E05606"/>
    <w:rsid w:val="00E05ABB"/>
    <w:rsid w:val="00E10AF1"/>
    <w:rsid w:val="00E14648"/>
    <w:rsid w:val="00E148E5"/>
    <w:rsid w:val="00E15029"/>
    <w:rsid w:val="00E15C77"/>
    <w:rsid w:val="00E16F19"/>
    <w:rsid w:val="00E22162"/>
    <w:rsid w:val="00E23BEB"/>
    <w:rsid w:val="00E242B6"/>
    <w:rsid w:val="00E25BA0"/>
    <w:rsid w:val="00E27174"/>
    <w:rsid w:val="00E2767C"/>
    <w:rsid w:val="00E31170"/>
    <w:rsid w:val="00E325C9"/>
    <w:rsid w:val="00E354B2"/>
    <w:rsid w:val="00E3716A"/>
    <w:rsid w:val="00E40174"/>
    <w:rsid w:val="00E4182F"/>
    <w:rsid w:val="00E42237"/>
    <w:rsid w:val="00E44E6B"/>
    <w:rsid w:val="00E454EA"/>
    <w:rsid w:val="00E46C24"/>
    <w:rsid w:val="00E4784E"/>
    <w:rsid w:val="00E50BEE"/>
    <w:rsid w:val="00E5549C"/>
    <w:rsid w:val="00E56B46"/>
    <w:rsid w:val="00E56CFC"/>
    <w:rsid w:val="00E60377"/>
    <w:rsid w:val="00E60CF6"/>
    <w:rsid w:val="00E6154E"/>
    <w:rsid w:val="00E6257F"/>
    <w:rsid w:val="00E663B1"/>
    <w:rsid w:val="00E70D43"/>
    <w:rsid w:val="00E71DFB"/>
    <w:rsid w:val="00E73D0C"/>
    <w:rsid w:val="00E747F6"/>
    <w:rsid w:val="00E74E50"/>
    <w:rsid w:val="00E8275A"/>
    <w:rsid w:val="00E8497B"/>
    <w:rsid w:val="00E8673D"/>
    <w:rsid w:val="00E901E8"/>
    <w:rsid w:val="00E90EB4"/>
    <w:rsid w:val="00E91E54"/>
    <w:rsid w:val="00E949ED"/>
    <w:rsid w:val="00E97501"/>
    <w:rsid w:val="00EA0BCF"/>
    <w:rsid w:val="00EA0CA3"/>
    <w:rsid w:val="00EA0D1B"/>
    <w:rsid w:val="00EA122A"/>
    <w:rsid w:val="00EA235B"/>
    <w:rsid w:val="00EA33D0"/>
    <w:rsid w:val="00EA69B5"/>
    <w:rsid w:val="00EA6E26"/>
    <w:rsid w:val="00EA7041"/>
    <w:rsid w:val="00EB0F13"/>
    <w:rsid w:val="00EB4140"/>
    <w:rsid w:val="00EB62A7"/>
    <w:rsid w:val="00EC0F7A"/>
    <w:rsid w:val="00EC1C98"/>
    <w:rsid w:val="00EC1CD3"/>
    <w:rsid w:val="00EC2CDB"/>
    <w:rsid w:val="00EC3FD9"/>
    <w:rsid w:val="00ED00D5"/>
    <w:rsid w:val="00ED3DA7"/>
    <w:rsid w:val="00ED5EB8"/>
    <w:rsid w:val="00ED6A23"/>
    <w:rsid w:val="00EE3139"/>
    <w:rsid w:val="00EE6333"/>
    <w:rsid w:val="00EE6AA6"/>
    <w:rsid w:val="00EF0A08"/>
    <w:rsid w:val="00EF25CC"/>
    <w:rsid w:val="00EF3BA3"/>
    <w:rsid w:val="00EF54BB"/>
    <w:rsid w:val="00EF7C93"/>
    <w:rsid w:val="00F016A4"/>
    <w:rsid w:val="00F0175B"/>
    <w:rsid w:val="00F0304E"/>
    <w:rsid w:val="00F05D0D"/>
    <w:rsid w:val="00F06B1C"/>
    <w:rsid w:val="00F07E5E"/>
    <w:rsid w:val="00F10015"/>
    <w:rsid w:val="00F10287"/>
    <w:rsid w:val="00F1135F"/>
    <w:rsid w:val="00F13B41"/>
    <w:rsid w:val="00F17D63"/>
    <w:rsid w:val="00F24CDF"/>
    <w:rsid w:val="00F30B86"/>
    <w:rsid w:val="00F30C49"/>
    <w:rsid w:val="00F338E1"/>
    <w:rsid w:val="00F35323"/>
    <w:rsid w:val="00F35B68"/>
    <w:rsid w:val="00F37613"/>
    <w:rsid w:val="00F402D3"/>
    <w:rsid w:val="00F40FB5"/>
    <w:rsid w:val="00F42A3E"/>
    <w:rsid w:val="00F44299"/>
    <w:rsid w:val="00F45933"/>
    <w:rsid w:val="00F5064A"/>
    <w:rsid w:val="00F508FE"/>
    <w:rsid w:val="00F52992"/>
    <w:rsid w:val="00F5344B"/>
    <w:rsid w:val="00F53CED"/>
    <w:rsid w:val="00F54A07"/>
    <w:rsid w:val="00F5576C"/>
    <w:rsid w:val="00F56D19"/>
    <w:rsid w:val="00F56DA5"/>
    <w:rsid w:val="00F57039"/>
    <w:rsid w:val="00F572D1"/>
    <w:rsid w:val="00F60B9D"/>
    <w:rsid w:val="00F60CBF"/>
    <w:rsid w:val="00F61911"/>
    <w:rsid w:val="00F629D0"/>
    <w:rsid w:val="00F62A95"/>
    <w:rsid w:val="00F63858"/>
    <w:rsid w:val="00F646E1"/>
    <w:rsid w:val="00F64A98"/>
    <w:rsid w:val="00F64AB0"/>
    <w:rsid w:val="00F659A8"/>
    <w:rsid w:val="00F6615B"/>
    <w:rsid w:val="00F67386"/>
    <w:rsid w:val="00F67904"/>
    <w:rsid w:val="00F7163D"/>
    <w:rsid w:val="00F73303"/>
    <w:rsid w:val="00F74425"/>
    <w:rsid w:val="00F7483F"/>
    <w:rsid w:val="00F75A5D"/>
    <w:rsid w:val="00F811A7"/>
    <w:rsid w:val="00F82CD7"/>
    <w:rsid w:val="00F8460C"/>
    <w:rsid w:val="00F8657D"/>
    <w:rsid w:val="00F90A6C"/>
    <w:rsid w:val="00F91AC7"/>
    <w:rsid w:val="00F9539F"/>
    <w:rsid w:val="00FA0283"/>
    <w:rsid w:val="00FA3837"/>
    <w:rsid w:val="00FA6002"/>
    <w:rsid w:val="00FA76FF"/>
    <w:rsid w:val="00FA78AA"/>
    <w:rsid w:val="00FB09E3"/>
    <w:rsid w:val="00FB1796"/>
    <w:rsid w:val="00FB1CF1"/>
    <w:rsid w:val="00FB60A9"/>
    <w:rsid w:val="00FC041C"/>
    <w:rsid w:val="00FC26CB"/>
    <w:rsid w:val="00FC273B"/>
    <w:rsid w:val="00FC2B8D"/>
    <w:rsid w:val="00FC350F"/>
    <w:rsid w:val="00FC4345"/>
    <w:rsid w:val="00FC49E3"/>
    <w:rsid w:val="00FC5317"/>
    <w:rsid w:val="00FC6179"/>
    <w:rsid w:val="00FC7551"/>
    <w:rsid w:val="00FC7E49"/>
    <w:rsid w:val="00FD38DE"/>
    <w:rsid w:val="00FD5122"/>
    <w:rsid w:val="00FD5C49"/>
    <w:rsid w:val="00FD6949"/>
    <w:rsid w:val="00FE0261"/>
    <w:rsid w:val="00FE114C"/>
    <w:rsid w:val="00FE1823"/>
    <w:rsid w:val="00FE203A"/>
    <w:rsid w:val="00FE3013"/>
    <w:rsid w:val="00FE31DA"/>
    <w:rsid w:val="00FE441E"/>
    <w:rsid w:val="00FE4A9C"/>
    <w:rsid w:val="00FE5677"/>
    <w:rsid w:val="00FF0551"/>
    <w:rsid w:val="00FF0C72"/>
    <w:rsid w:val="00FF5F94"/>
    <w:rsid w:val="00FF6D42"/>
    <w:rsid w:val="00FF6E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400E12D-4EF7-448D-BC30-B19A5A7D1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rsid w:val="004E275F"/>
    <w:pPr>
      <w:adjustRightInd/>
      <w:ind w:left="1133" w:hangingChars="100" w:hanging="283"/>
    </w:pPr>
    <w:rPr>
      <w:b w:val="0"/>
      <w:bCs/>
    </w:r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DA48B6"/>
    <w:pPr>
      <w:tabs>
        <w:tab w:val="right" w:leader="hyphen" w:pos="8222"/>
      </w:tabs>
      <w:ind w:leftChars="0" w:left="486" w:rightChars="249" w:right="705"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4E275F"/>
    <w:rPr>
      <w:rFonts w:ascii="標楷體" w:eastAsia="標楷體"/>
      <w:bCs/>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paragraph" w:customStyle="1" w:styleId="CompanyName">
    <w:name w:val="Company Name"/>
    <w:basedOn w:val="a"/>
    <w:rsid w:val="00AC459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044">
      <w:bodyDiv w:val="1"/>
      <w:marLeft w:val="0"/>
      <w:marRight w:val="0"/>
      <w:marTop w:val="0"/>
      <w:marBottom w:val="0"/>
      <w:divBdr>
        <w:top w:val="none" w:sz="0" w:space="0" w:color="auto"/>
        <w:left w:val="none" w:sz="0" w:space="0" w:color="auto"/>
        <w:bottom w:val="none" w:sz="0" w:space="0" w:color="auto"/>
        <w:right w:val="none" w:sz="0" w:space="0" w:color="auto"/>
      </w:divBdr>
      <w:divsChild>
        <w:div w:id="1724283409">
          <w:marLeft w:val="0"/>
          <w:marRight w:val="0"/>
          <w:marTop w:val="15"/>
          <w:marBottom w:val="0"/>
          <w:divBdr>
            <w:top w:val="single" w:sz="48" w:space="0" w:color="auto"/>
            <w:left w:val="single" w:sz="48" w:space="0" w:color="auto"/>
            <w:bottom w:val="single" w:sz="48" w:space="0" w:color="auto"/>
            <w:right w:val="single" w:sz="48" w:space="0" w:color="auto"/>
          </w:divBdr>
          <w:divsChild>
            <w:div w:id="1309096783">
              <w:marLeft w:val="0"/>
              <w:marRight w:val="0"/>
              <w:marTop w:val="0"/>
              <w:marBottom w:val="0"/>
              <w:divBdr>
                <w:top w:val="none" w:sz="0" w:space="0" w:color="auto"/>
                <w:left w:val="none" w:sz="0" w:space="0" w:color="auto"/>
                <w:bottom w:val="none" w:sz="0" w:space="0" w:color="auto"/>
                <w:right w:val="none" w:sz="0" w:space="0" w:color="auto"/>
              </w:divBdr>
              <w:divsChild>
                <w:div w:id="276836157">
                  <w:marLeft w:val="0"/>
                  <w:marRight w:val="0"/>
                  <w:marTop w:val="0"/>
                  <w:marBottom w:val="0"/>
                  <w:divBdr>
                    <w:top w:val="none" w:sz="0" w:space="0" w:color="auto"/>
                    <w:left w:val="none" w:sz="0" w:space="0" w:color="auto"/>
                    <w:bottom w:val="none" w:sz="0" w:space="0" w:color="auto"/>
                    <w:right w:val="none" w:sz="0" w:space="0" w:color="auto"/>
                  </w:divBdr>
                </w:div>
                <w:div w:id="446235547">
                  <w:marLeft w:val="0"/>
                  <w:marRight w:val="0"/>
                  <w:marTop w:val="0"/>
                  <w:marBottom w:val="0"/>
                  <w:divBdr>
                    <w:top w:val="none" w:sz="0" w:space="0" w:color="auto"/>
                    <w:left w:val="none" w:sz="0" w:space="0" w:color="auto"/>
                    <w:bottom w:val="none" w:sz="0" w:space="0" w:color="auto"/>
                    <w:right w:val="none" w:sz="0" w:space="0" w:color="auto"/>
                  </w:divBdr>
                </w:div>
                <w:div w:id="494104835">
                  <w:marLeft w:val="0"/>
                  <w:marRight w:val="0"/>
                  <w:marTop w:val="0"/>
                  <w:marBottom w:val="0"/>
                  <w:divBdr>
                    <w:top w:val="none" w:sz="0" w:space="0" w:color="auto"/>
                    <w:left w:val="none" w:sz="0" w:space="0" w:color="auto"/>
                    <w:bottom w:val="none" w:sz="0" w:space="0" w:color="auto"/>
                    <w:right w:val="none" w:sz="0" w:space="0" w:color="auto"/>
                  </w:divBdr>
                </w:div>
                <w:div w:id="534344829">
                  <w:marLeft w:val="0"/>
                  <w:marRight w:val="0"/>
                  <w:marTop w:val="0"/>
                  <w:marBottom w:val="0"/>
                  <w:divBdr>
                    <w:top w:val="none" w:sz="0" w:space="0" w:color="auto"/>
                    <w:left w:val="none" w:sz="0" w:space="0" w:color="auto"/>
                    <w:bottom w:val="none" w:sz="0" w:space="0" w:color="auto"/>
                    <w:right w:val="none" w:sz="0" w:space="0" w:color="auto"/>
                  </w:divBdr>
                </w:div>
                <w:div w:id="903758225">
                  <w:marLeft w:val="0"/>
                  <w:marRight w:val="0"/>
                  <w:marTop w:val="0"/>
                  <w:marBottom w:val="0"/>
                  <w:divBdr>
                    <w:top w:val="none" w:sz="0" w:space="0" w:color="auto"/>
                    <w:left w:val="none" w:sz="0" w:space="0" w:color="auto"/>
                    <w:bottom w:val="none" w:sz="0" w:space="0" w:color="auto"/>
                    <w:right w:val="none" w:sz="0" w:space="0" w:color="auto"/>
                  </w:divBdr>
                </w:div>
                <w:div w:id="1180390452">
                  <w:marLeft w:val="0"/>
                  <w:marRight w:val="0"/>
                  <w:marTop w:val="0"/>
                  <w:marBottom w:val="0"/>
                  <w:divBdr>
                    <w:top w:val="none" w:sz="0" w:space="0" w:color="auto"/>
                    <w:left w:val="none" w:sz="0" w:space="0" w:color="auto"/>
                    <w:bottom w:val="none" w:sz="0" w:space="0" w:color="auto"/>
                    <w:right w:val="none" w:sz="0" w:space="0" w:color="auto"/>
                  </w:divBdr>
                </w:div>
                <w:div w:id="1285237944">
                  <w:marLeft w:val="0"/>
                  <w:marRight w:val="0"/>
                  <w:marTop w:val="0"/>
                  <w:marBottom w:val="0"/>
                  <w:divBdr>
                    <w:top w:val="none" w:sz="0" w:space="0" w:color="auto"/>
                    <w:left w:val="none" w:sz="0" w:space="0" w:color="auto"/>
                    <w:bottom w:val="none" w:sz="0" w:space="0" w:color="auto"/>
                    <w:right w:val="none" w:sz="0" w:space="0" w:color="auto"/>
                  </w:divBdr>
                </w:div>
                <w:div w:id="1316642063">
                  <w:marLeft w:val="0"/>
                  <w:marRight w:val="0"/>
                  <w:marTop w:val="0"/>
                  <w:marBottom w:val="0"/>
                  <w:divBdr>
                    <w:top w:val="none" w:sz="0" w:space="0" w:color="auto"/>
                    <w:left w:val="none" w:sz="0" w:space="0" w:color="auto"/>
                    <w:bottom w:val="none" w:sz="0" w:space="0" w:color="auto"/>
                    <w:right w:val="none" w:sz="0" w:space="0" w:color="auto"/>
                  </w:divBdr>
                </w:div>
                <w:div w:id="1748264336">
                  <w:marLeft w:val="0"/>
                  <w:marRight w:val="0"/>
                  <w:marTop w:val="0"/>
                  <w:marBottom w:val="0"/>
                  <w:divBdr>
                    <w:top w:val="none" w:sz="0" w:space="0" w:color="auto"/>
                    <w:left w:val="none" w:sz="0" w:space="0" w:color="auto"/>
                    <w:bottom w:val="none" w:sz="0" w:space="0" w:color="auto"/>
                    <w:right w:val="none" w:sz="0" w:space="0" w:color="auto"/>
                  </w:divBdr>
                </w:div>
                <w:div w:id="1757480275">
                  <w:marLeft w:val="0"/>
                  <w:marRight w:val="0"/>
                  <w:marTop w:val="0"/>
                  <w:marBottom w:val="0"/>
                  <w:divBdr>
                    <w:top w:val="none" w:sz="0" w:space="0" w:color="auto"/>
                    <w:left w:val="none" w:sz="0" w:space="0" w:color="auto"/>
                    <w:bottom w:val="none" w:sz="0" w:space="0" w:color="auto"/>
                    <w:right w:val="none" w:sz="0" w:space="0" w:color="auto"/>
                  </w:divBdr>
                </w:div>
                <w:div w:id="1778475906">
                  <w:marLeft w:val="0"/>
                  <w:marRight w:val="0"/>
                  <w:marTop w:val="0"/>
                  <w:marBottom w:val="0"/>
                  <w:divBdr>
                    <w:top w:val="none" w:sz="0" w:space="0" w:color="auto"/>
                    <w:left w:val="none" w:sz="0" w:space="0" w:color="auto"/>
                    <w:bottom w:val="none" w:sz="0" w:space="0" w:color="auto"/>
                    <w:right w:val="none" w:sz="0" w:space="0" w:color="auto"/>
                  </w:divBdr>
                </w:div>
                <w:div w:id="1816332283">
                  <w:marLeft w:val="0"/>
                  <w:marRight w:val="0"/>
                  <w:marTop w:val="0"/>
                  <w:marBottom w:val="0"/>
                  <w:divBdr>
                    <w:top w:val="none" w:sz="0" w:space="0" w:color="auto"/>
                    <w:left w:val="none" w:sz="0" w:space="0" w:color="auto"/>
                    <w:bottom w:val="none" w:sz="0" w:space="0" w:color="auto"/>
                    <w:right w:val="none" w:sz="0" w:space="0" w:color="auto"/>
                  </w:divBdr>
                </w:div>
                <w:div w:id="2053185857">
                  <w:marLeft w:val="0"/>
                  <w:marRight w:val="0"/>
                  <w:marTop w:val="0"/>
                  <w:marBottom w:val="0"/>
                  <w:divBdr>
                    <w:top w:val="none" w:sz="0" w:space="0" w:color="auto"/>
                    <w:left w:val="none" w:sz="0" w:space="0" w:color="auto"/>
                    <w:bottom w:val="none" w:sz="0" w:space="0" w:color="auto"/>
                    <w:right w:val="none" w:sz="0" w:space="0" w:color="auto"/>
                  </w:divBdr>
                </w:div>
                <w:div w:id="21358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18503">
      <w:bodyDiv w:val="1"/>
      <w:marLeft w:val="0"/>
      <w:marRight w:val="0"/>
      <w:marTop w:val="0"/>
      <w:marBottom w:val="0"/>
      <w:divBdr>
        <w:top w:val="none" w:sz="0" w:space="0" w:color="auto"/>
        <w:left w:val="none" w:sz="0" w:space="0" w:color="auto"/>
        <w:bottom w:val="none" w:sz="0" w:space="0" w:color="auto"/>
        <w:right w:val="none" w:sz="0" w:space="0" w:color="auto"/>
      </w:divBdr>
      <w:divsChild>
        <w:div w:id="9839383">
          <w:marLeft w:val="0"/>
          <w:marRight w:val="0"/>
          <w:marTop w:val="0"/>
          <w:marBottom w:val="0"/>
          <w:divBdr>
            <w:top w:val="none" w:sz="0" w:space="0" w:color="auto"/>
            <w:left w:val="none" w:sz="0" w:space="0" w:color="auto"/>
            <w:bottom w:val="none" w:sz="0" w:space="0" w:color="auto"/>
            <w:right w:val="none" w:sz="0" w:space="0" w:color="auto"/>
          </w:divBdr>
        </w:div>
        <w:div w:id="120808427">
          <w:marLeft w:val="0"/>
          <w:marRight w:val="0"/>
          <w:marTop w:val="0"/>
          <w:marBottom w:val="0"/>
          <w:divBdr>
            <w:top w:val="none" w:sz="0" w:space="0" w:color="auto"/>
            <w:left w:val="none" w:sz="0" w:space="0" w:color="auto"/>
            <w:bottom w:val="none" w:sz="0" w:space="0" w:color="auto"/>
            <w:right w:val="none" w:sz="0" w:space="0" w:color="auto"/>
          </w:divBdr>
        </w:div>
        <w:div w:id="136411978">
          <w:marLeft w:val="0"/>
          <w:marRight w:val="0"/>
          <w:marTop w:val="0"/>
          <w:marBottom w:val="0"/>
          <w:divBdr>
            <w:top w:val="none" w:sz="0" w:space="0" w:color="auto"/>
            <w:left w:val="none" w:sz="0" w:space="0" w:color="auto"/>
            <w:bottom w:val="none" w:sz="0" w:space="0" w:color="auto"/>
            <w:right w:val="none" w:sz="0" w:space="0" w:color="auto"/>
          </w:divBdr>
        </w:div>
        <w:div w:id="242305139">
          <w:marLeft w:val="0"/>
          <w:marRight w:val="0"/>
          <w:marTop w:val="0"/>
          <w:marBottom w:val="0"/>
          <w:divBdr>
            <w:top w:val="none" w:sz="0" w:space="0" w:color="auto"/>
            <w:left w:val="none" w:sz="0" w:space="0" w:color="auto"/>
            <w:bottom w:val="none" w:sz="0" w:space="0" w:color="auto"/>
            <w:right w:val="none" w:sz="0" w:space="0" w:color="auto"/>
          </w:divBdr>
        </w:div>
        <w:div w:id="715592173">
          <w:marLeft w:val="0"/>
          <w:marRight w:val="0"/>
          <w:marTop w:val="0"/>
          <w:marBottom w:val="0"/>
          <w:divBdr>
            <w:top w:val="none" w:sz="0" w:space="0" w:color="auto"/>
            <w:left w:val="none" w:sz="0" w:space="0" w:color="auto"/>
            <w:bottom w:val="none" w:sz="0" w:space="0" w:color="auto"/>
            <w:right w:val="none" w:sz="0" w:space="0" w:color="auto"/>
          </w:divBdr>
        </w:div>
        <w:div w:id="786238558">
          <w:marLeft w:val="0"/>
          <w:marRight w:val="0"/>
          <w:marTop w:val="0"/>
          <w:marBottom w:val="0"/>
          <w:divBdr>
            <w:top w:val="none" w:sz="0" w:space="0" w:color="auto"/>
            <w:left w:val="none" w:sz="0" w:space="0" w:color="auto"/>
            <w:bottom w:val="none" w:sz="0" w:space="0" w:color="auto"/>
            <w:right w:val="none" w:sz="0" w:space="0" w:color="auto"/>
          </w:divBdr>
        </w:div>
        <w:div w:id="1183323701">
          <w:marLeft w:val="0"/>
          <w:marRight w:val="0"/>
          <w:marTop w:val="0"/>
          <w:marBottom w:val="0"/>
          <w:divBdr>
            <w:top w:val="none" w:sz="0" w:space="0" w:color="auto"/>
            <w:left w:val="none" w:sz="0" w:space="0" w:color="auto"/>
            <w:bottom w:val="none" w:sz="0" w:space="0" w:color="auto"/>
            <w:right w:val="none" w:sz="0" w:space="0" w:color="auto"/>
          </w:divBdr>
        </w:div>
        <w:div w:id="1288657743">
          <w:marLeft w:val="0"/>
          <w:marRight w:val="0"/>
          <w:marTop w:val="0"/>
          <w:marBottom w:val="0"/>
          <w:divBdr>
            <w:top w:val="none" w:sz="0" w:space="0" w:color="auto"/>
            <w:left w:val="none" w:sz="0" w:space="0" w:color="auto"/>
            <w:bottom w:val="none" w:sz="0" w:space="0" w:color="auto"/>
            <w:right w:val="none" w:sz="0" w:space="0" w:color="auto"/>
          </w:divBdr>
        </w:div>
        <w:div w:id="1297178374">
          <w:marLeft w:val="0"/>
          <w:marRight w:val="0"/>
          <w:marTop w:val="0"/>
          <w:marBottom w:val="0"/>
          <w:divBdr>
            <w:top w:val="none" w:sz="0" w:space="0" w:color="auto"/>
            <w:left w:val="none" w:sz="0" w:space="0" w:color="auto"/>
            <w:bottom w:val="none" w:sz="0" w:space="0" w:color="auto"/>
            <w:right w:val="none" w:sz="0" w:space="0" w:color="auto"/>
          </w:divBdr>
        </w:div>
        <w:div w:id="1395737041">
          <w:marLeft w:val="0"/>
          <w:marRight w:val="0"/>
          <w:marTop w:val="0"/>
          <w:marBottom w:val="0"/>
          <w:divBdr>
            <w:top w:val="none" w:sz="0" w:space="0" w:color="auto"/>
            <w:left w:val="none" w:sz="0" w:space="0" w:color="auto"/>
            <w:bottom w:val="none" w:sz="0" w:space="0" w:color="auto"/>
            <w:right w:val="none" w:sz="0" w:space="0" w:color="auto"/>
          </w:divBdr>
        </w:div>
        <w:div w:id="1611737873">
          <w:marLeft w:val="0"/>
          <w:marRight w:val="0"/>
          <w:marTop w:val="0"/>
          <w:marBottom w:val="0"/>
          <w:divBdr>
            <w:top w:val="none" w:sz="0" w:space="0" w:color="auto"/>
            <w:left w:val="none" w:sz="0" w:space="0" w:color="auto"/>
            <w:bottom w:val="none" w:sz="0" w:space="0" w:color="auto"/>
            <w:right w:val="none" w:sz="0" w:space="0" w:color="auto"/>
          </w:divBdr>
        </w:div>
        <w:div w:id="1836411547">
          <w:marLeft w:val="0"/>
          <w:marRight w:val="0"/>
          <w:marTop w:val="0"/>
          <w:marBottom w:val="0"/>
          <w:divBdr>
            <w:top w:val="none" w:sz="0" w:space="0" w:color="auto"/>
            <w:left w:val="none" w:sz="0" w:space="0" w:color="auto"/>
            <w:bottom w:val="none" w:sz="0" w:space="0" w:color="auto"/>
            <w:right w:val="none" w:sz="0" w:space="0" w:color="auto"/>
          </w:divBdr>
        </w:div>
        <w:div w:id="1966082453">
          <w:marLeft w:val="0"/>
          <w:marRight w:val="0"/>
          <w:marTop w:val="0"/>
          <w:marBottom w:val="0"/>
          <w:divBdr>
            <w:top w:val="none" w:sz="0" w:space="0" w:color="auto"/>
            <w:left w:val="none" w:sz="0" w:space="0" w:color="auto"/>
            <w:bottom w:val="none" w:sz="0" w:space="0" w:color="auto"/>
            <w:right w:val="none" w:sz="0" w:space="0" w:color="auto"/>
          </w:divBdr>
        </w:div>
      </w:divsChild>
    </w:div>
    <w:div w:id="317850091">
      <w:bodyDiv w:val="1"/>
      <w:marLeft w:val="0"/>
      <w:marRight w:val="0"/>
      <w:marTop w:val="0"/>
      <w:marBottom w:val="0"/>
      <w:divBdr>
        <w:top w:val="none" w:sz="0" w:space="0" w:color="auto"/>
        <w:left w:val="none" w:sz="0" w:space="0" w:color="auto"/>
        <w:bottom w:val="none" w:sz="0" w:space="0" w:color="auto"/>
        <w:right w:val="none" w:sz="0" w:space="0" w:color="auto"/>
      </w:divBdr>
    </w:div>
    <w:div w:id="363944924">
      <w:bodyDiv w:val="1"/>
      <w:marLeft w:val="0"/>
      <w:marRight w:val="0"/>
      <w:marTop w:val="0"/>
      <w:marBottom w:val="0"/>
      <w:divBdr>
        <w:top w:val="none" w:sz="0" w:space="0" w:color="auto"/>
        <w:left w:val="none" w:sz="0" w:space="0" w:color="auto"/>
        <w:bottom w:val="none" w:sz="0" w:space="0" w:color="auto"/>
        <w:right w:val="none" w:sz="0" w:space="0" w:color="auto"/>
      </w:divBdr>
    </w:div>
    <w:div w:id="412747863">
      <w:bodyDiv w:val="1"/>
      <w:marLeft w:val="0"/>
      <w:marRight w:val="0"/>
      <w:marTop w:val="0"/>
      <w:marBottom w:val="0"/>
      <w:divBdr>
        <w:top w:val="none" w:sz="0" w:space="0" w:color="auto"/>
        <w:left w:val="none" w:sz="0" w:space="0" w:color="auto"/>
        <w:bottom w:val="none" w:sz="0" w:space="0" w:color="auto"/>
        <w:right w:val="none" w:sz="0" w:space="0" w:color="auto"/>
      </w:divBdr>
    </w:div>
    <w:div w:id="482896212">
      <w:bodyDiv w:val="1"/>
      <w:marLeft w:val="0"/>
      <w:marRight w:val="0"/>
      <w:marTop w:val="0"/>
      <w:marBottom w:val="0"/>
      <w:divBdr>
        <w:top w:val="none" w:sz="0" w:space="0" w:color="auto"/>
        <w:left w:val="none" w:sz="0" w:space="0" w:color="auto"/>
        <w:bottom w:val="none" w:sz="0" w:space="0" w:color="auto"/>
        <w:right w:val="none" w:sz="0" w:space="0" w:color="auto"/>
      </w:divBdr>
      <w:divsChild>
        <w:div w:id="538783252">
          <w:marLeft w:val="0"/>
          <w:marRight w:val="0"/>
          <w:marTop w:val="0"/>
          <w:marBottom w:val="0"/>
          <w:divBdr>
            <w:top w:val="none" w:sz="0" w:space="0" w:color="auto"/>
            <w:left w:val="none" w:sz="0" w:space="0" w:color="auto"/>
            <w:bottom w:val="none" w:sz="0" w:space="0" w:color="auto"/>
            <w:right w:val="none" w:sz="0" w:space="0" w:color="auto"/>
          </w:divBdr>
        </w:div>
        <w:div w:id="1034574501">
          <w:marLeft w:val="0"/>
          <w:marRight w:val="0"/>
          <w:marTop w:val="0"/>
          <w:marBottom w:val="0"/>
          <w:divBdr>
            <w:top w:val="none" w:sz="0" w:space="0" w:color="auto"/>
            <w:left w:val="none" w:sz="0" w:space="0" w:color="auto"/>
            <w:bottom w:val="none" w:sz="0" w:space="0" w:color="auto"/>
            <w:right w:val="none" w:sz="0" w:space="0" w:color="auto"/>
          </w:divBdr>
        </w:div>
        <w:div w:id="1155073722">
          <w:marLeft w:val="0"/>
          <w:marRight w:val="0"/>
          <w:marTop w:val="0"/>
          <w:marBottom w:val="0"/>
          <w:divBdr>
            <w:top w:val="none" w:sz="0" w:space="0" w:color="auto"/>
            <w:left w:val="none" w:sz="0" w:space="0" w:color="auto"/>
            <w:bottom w:val="none" w:sz="0" w:space="0" w:color="auto"/>
            <w:right w:val="none" w:sz="0" w:space="0" w:color="auto"/>
          </w:divBdr>
        </w:div>
      </w:divsChild>
    </w:div>
    <w:div w:id="581765000">
      <w:bodyDiv w:val="1"/>
      <w:marLeft w:val="0"/>
      <w:marRight w:val="0"/>
      <w:marTop w:val="0"/>
      <w:marBottom w:val="0"/>
      <w:divBdr>
        <w:top w:val="none" w:sz="0" w:space="0" w:color="auto"/>
        <w:left w:val="none" w:sz="0" w:space="0" w:color="auto"/>
        <w:bottom w:val="none" w:sz="0" w:space="0" w:color="auto"/>
        <w:right w:val="none" w:sz="0" w:space="0" w:color="auto"/>
      </w:divBdr>
    </w:div>
    <w:div w:id="677469068">
      <w:bodyDiv w:val="1"/>
      <w:marLeft w:val="0"/>
      <w:marRight w:val="0"/>
      <w:marTop w:val="0"/>
      <w:marBottom w:val="0"/>
      <w:divBdr>
        <w:top w:val="none" w:sz="0" w:space="0" w:color="auto"/>
        <w:left w:val="none" w:sz="0" w:space="0" w:color="auto"/>
        <w:bottom w:val="none" w:sz="0" w:space="0" w:color="auto"/>
        <w:right w:val="none" w:sz="0" w:space="0" w:color="auto"/>
      </w:divBdr>
    </w:div>
    <w:div w:id="840849928">
      <w:bodyDiv w:val="1"/>
      <w:marLeft w:val="0"/>
      <w:marRight w:val="0"/>
      <w:marTop w:val="0"/>
      <w:marBottom w:val="0"/>
      <w:divBdr>
        <w:top w:val="none" w:sz="0" w:space="0" w:color="auto"/>
        <w:left w:val="none" w:sz="0" w:space="0" w:color="auto"/>
        <w:bottom w:val="none" w:sz="0" w:space="0" w:color="auto"/>
        <w:right w:val="none" w:sz="0" w:space="0" w:color="auto"/>
      </w:divBdr>
      <w:divsChild>
        <w:div w:id="655231393">
          <w:marLeft w:val="0"/>
          <w:marRight w:val="0"/>
          <w:marTop w:val="0"/>
          <w:marBottom w:val="0"/>
          <w:divBdr>
            <w:top w:val="none" w:sz="0" w:space="0" w:color="auto"/>
            <w:left w:val="none" w:sz="0" w:space="0" w:color="auto"/>
            <w:bottom w:val="none" w:sz="0" w:space="0" w:color="auto"/>
            <w:right w:val="none" w:sz="0" w:space="0" w:color="auto"/>
          </w:divBdr>
        </w:div>
        <w:div w:id="946698257">
          <w:marLeft w:val="0"/>
          <w:marRight w:val="0"/>
          <w:marTop w:val="0"/>
          <w:marBottom w:val="0"/>
          <w:divBdr>
            <w:top w:val="none" w:sz="0" w:space="0" w:color="auto"/>
            <w:left w:val="none" w:sz="0" w:space="0" w:color="auto"/>
            <w:bottom w:val="none" w:sz="0" w:space="0" w:color="auto"/>
            <w:right w:val="none" w:sz="0" w:space="0" w:color="auto"/>
          </w:divBdr>
        </w:div>
        <w:div w:id="1128743158">
          <w:marLeft w:val="0"/>
          <w:marRight w:val="0"/>
          <w:marTop w:val="0"/>
          <w:marBottom w:val="0"/>
          <w:divBdr>
            <w:top w:val="none" w:sz="0" w:space="0" w:color="auto"/>
            <w:left w:val="none" w:sz="0" w:space="0" w:color="auto"/>
            <w:bottom w:val="none" w:sz="0" w:space="0" w:color="auto"/>
            <w:right w:val="none" w:sz="0" w:space="0" w:color="auto"/>
          </w:divBdr>
        </w:div>
        <w:div w:id="1360080690">
          <w:marLeft w:val="0"/>
          <w:marRight w:val="0"/>
          <w:marTop w:val="0"/>
          <w:marBottom w:val="0"/>
          <w:divBdr>
            <w:top w:val="none" w:sz="0" w:space="0" w:color="auto"/>
            <w:left w:val="none" w:sz="0" w:space="0" w:color="auto"/>
            <w:bottom w:val="none" w:sz="0" w:space="0" w:color="auto"/>
            <w:right w:val="none" w:sz="0" w:space="0" w:color="auto"/>
          </w:divBdr>
        </w:div>
        <w:div w:id="1915318825">
          <w:marLeft w:val="0"/>
          <w:marRight w:val="0"/>
          <w:marTop w:val="0"/>
          <w:marBottom w:val="0"/>
          <w:divBdr>
            <w:top w:val="none" w:sz="0" w:space="0" w:color="auto"/>
            <w:left w:val="none" w:sz="0" w:space="0" w:color="auto"/>
            <w:bottom w:val="none" w:sz="0" w:space="0" w:color="auto"/>
            <w:right w:val="none" w:sz="0" w:space="0" w:color="auto"/>
          </w:divBdr>
        </w:div>
      </w:divsChild>
    </w:div>
    <w:div w:id="870872774">
      <w:bodyDiv w:val="1"/>
      <w:marLeft w:val="0"/>
      <w:marRight w:val="0"/>
      <w:marTop w:val="0"/>
      <w:marBottom w:val="0"/>
      <w:divBdr>
        <w:top w:val="none" w:sz="0" w:space="0" w:color="auto"/>
        <w:left w:val="none" w:sz="0" w:space="0" w:color="auto"/>
        <w:bottom w:val="none" w:sz="0" w:space="0" w:color="auto"/>
        <w:right w:val="none" w:sz="0" w:space="0" w:color="auto"/>
      </w:divBdr>
    </w:div>
    <w:div w:id="1195996258">
      <w:bodyDiv w:val="1"/>
      <w:marLeft w:val="0"/>
      <w:marRight w:val="0"/>
      <w:marTop w:val="0"/>
      <w:marBottom w:val="0"/>
      <w:divBdr>
        <w:top w:val="none" w:sz="0" w:space="0" w:color="auto"/>
        <w:left w:val="none" w:sz="0" w:space="0" w:color="auto"/>
        <w:bottom w:val="none" w:sz="0" w:space="0" w:color="auto"/>
        <w:right w:val="none" w:sz="0" w:space="0" w:color="auto"/>
      </w:divBdr>
      <w:divsChild>
        <w:div w:id="518471941">
          <w:marLeft w:val="0"/>
          <w:marRight w:val="0"/>
          <w:marTop w:val="0"/>
          <w:marBottom w:val="0"/>
          <w:divBdr>
            <w:top w:val="none" w:sz="0" w:space="0" w:color="auto"/>
            <w:left w:val="none" w:sz="0" w:space="0" w:color="auto"/>
            <w:bottom w:val="none" w:sz="0" w:space="0" w:color="auto"/>
            <w:right w:val="none" w:sz="0" w:space="0" w:color="auto"/>
          </w:divBdr>
        </w:div>
        <w:div w:id="938101671">
          <w:marLeft w:val="0"/>
          <w:marRight w:val="0"/>
          <w:marTop w:val="0"/>
          <w:marBottom w:val="0"/>
          <w:divBdr>
            <w:top w:val="none" w:sz="0" w:space="0" w:color="auto"/>
            <w:left w:val="none" w:sz="0" w:space="0" w:color="auto"/>
            <w:bottom w:val="none" w:sz="0" w:space="0" w:color="auto"/>
            <w:right w:val="none" w:sz="0" w:space="0" w:color="auto"/>
          </w:divBdr>
        </w:div>
        <w:div w:id="1046560135">
          <w:marLeft w:val="0"/>
          <w:marRight w:val="0"/>
          <w:marTop w:val="0"/>
          <w:marBottom w:val="0"/>
          <w:divBdr>
            <w:top w:val="none" w:sz="0" w:space="0" w:color="auto"/>
            <w:left w:val="none" w:sz="0" w:space="0" w:color="auto"/>
            <w:bottom w:val="none" w:sz="0" w:space="0" w:color="auto"/>
            <w:right w:val="none" w:sz="0" w:space="0" w:color="auto"/>
          </w:divBdr>
        </w:div>
        <w:div w:id="1370959584">
          <w:marLeft w:val="0"/>
          <w:marRight w:val="0"/>
          <w:marTop w:val="0"/>
          <w:marBottom w:val="0"/>
          <w:divBdr>
            <w:top w:val="none" w:sz="0" w:space="0" w:color="auto"/>
            <w:left w:val="none" w:sz="0" w:space="0" w:color="auto"/>
            <w:bottom w:val="none" w:sz="0" w:space="0" w:color="auto"/>
            <w:right w:val="none" w:sz="0" w:space="0" w:color="auto"/>
          </w:divBdr>
        </w:div>
        <w:div w:id="1413696579">
          <w:marLeft w:val="0"/>
          <w:marRight w:val="0"/>
          <w:marTop w:val="0"/>
          <w:marBottom w:val="0"/>
          <w:divBdr>
            <w:top w:val="none" w:sz="0" w:space="0" w:color="auto"/>
            <w:left w:val="none" w:sz="0" w:space="0" w:color="auto"/>
            <w:bottom w:val="none" w:sz="0" w:space="0" w:color="auto"/>
            <w:right w:val="none" w:sz="0" w:space="0" w:color="auto"/>
          </w:divBdr>
        </w:div>
        <w:div w:id="1483693297">
          <w:marLeft w:val="0"/>
          <w:marRight w:val="0"/>
          <w:marTop w:val="0"/>
          <w:marBottom w:val="0"/>
          <w:divBdr>
            <w:top w:val="none" w:sz="0" w:space="0" w:color="auto"/>
            <w:left w:val="none" w:sz="0" w:space="0" w:color="auto"/>
            <w:bottom w:val="none" w:sz="0" w:space="0" w:color="auto"/>
            <w:right w:val="none" w:sz="0" w:space="0" w:color="auto"/>
          </w:divBdr>
        </w:div>
        <w:div w:id="1651474257">
          <w:marLeft w:val="0"/>
          <w:marRight w:val="0"/>
          <w:marTop w:val="0"/>
          <w:marBottom w:val="0"/>
          <w:divBdr>
            <w:top w:val="none" w:sz="0" w:space="0" w:color="auto"/>
            <w:left w:val="none" w:sz="0" w:space="0" w:color="auto"/>
            <w:bottom w:val="none" w:sz="0" w:space="0" w:color="auto"/>
            <w:right w:val="none" w:sz="0" w:space="0" w:color="auto"/>
          </w:divBdr>
        </w:div>
        <w:div w:id="1771319195">
          <w:marLeft w:val="0"/>
          <w:marRight w:val="0"/>
          <w:marTop w:val="0"/>
          <w:marBottom w:val="0"/>
          <w:divBdr>
            <w:top w:val="none" w:sz="0" w:space="0" w:color="auto"/>
            <w:left w:val="none" w:sz="0" w:space="0" w:color="auto"/>
            <w:bottom w:val="none" w:sz="0" w:space="0" w:color="auto"/>
            <w:right w:val="none" w:sz="0" w:space="0" w:color="auto"/>
          </w:divBdr>
        </w:div>
        <w:div w:id="1820805691">
          <w:marLeft w:val="0"/>
          <w:marRight w:val="0"/>
          <w:marTop w:val="0"/>
          <w:marBottom w:val="0"/>
          <w:divBdr>
            <w:top w:val="none" w:sz="0" w:space="0" w:color="auto"/>
            <w:left w:val="none" w:sz="0" w:space="0" w:color="auto"/>
            <w:bottom w:val="none" w:sz="0" w:space="0" w:color="auto"/>
            <w:right w:val="none" w:sz="0" w:space="0" w:color="auto"/>
          </w:divBdr>
        </w:div>
        <w:div w:id="2048332953">
          <w:marLeft w:val="0"/>
          <w:marRight w:val="0"/>
          <w:marTop w:val="0"/>
          <w:marBottom w:val="0"/>
          <w:divBdr>
            <w:top w:val="none" w:sz="0" w:space="0" w:color="auto"/>
            <w:left w:val="none" w:sz="0" w:space="0" w:color="auto"/>
            <w:bottom w:val="none" w:sz="0" w:space="0" w:color="auto"/>
            <w:right w:val="none" w:sz="0" w:space="0" w:color="auto"/>
          </w:divBdr>
        </w:div>
        <w:div w:id="2054111676">
          <w:marLeft w:val="0"/>
          <w:marRight w:val="0"/>
          <w:marTop w:val="0"/>
          <w:marBottom w:val="0"/>
          <w:divBdr>
            <w:top w:val="none" w:sz="0" w:space="0" w:color="auto"/>
            <w:left w:val="none" w:sz="0" w:space="0" w:color="auto"/>
            <w:bottom w:val="none" w:sz="0" w:space="0" w:color="auto"/>
            <w:right w:val="none" w:sz="0" w:space="0" w:color="auto"/>
          </w:divBdr>
        </w:div>
        <w:div w:id="2070574217">
          <w:marLeft w:val="0"/>
          <w:marRight w:val="0"/>
          <w:marTop w:val="0"/>
          <w:marBottom w:val="0"/>
          <w:divBdr>
            <w:top w:val="none" w:sz="0" w:space="0" w:color="auto"/>
            <w:left w:val="none" w:sz="0" w:space="0" w:color="auto"/>
            <w:bottom w:val="none" w:sz="0" w:space="0" w:color="auto"/>
            <w:right w:val="none" w:sz="0" w:space="0" w:color="auto"/>
          </w:divBdr>
        </w:div>
      </w:divsChild>
    </w:div>
    <w:div w:id="1204487845">
      <w:bodyDiv w:val="1"/>
      <w:marLeft w:val="0"/>
      <w:marRight w:val="0"/>
      <w:marTop w:val="0"/>
      <w:marBottom w:val="0"/>
      <w:divBdr>
        <w:top w:val="none" w:sz="0" w:space="0" w:color="auto"/>
        <w:left w:val="none" w:sz="0" w:space="0" w:color="auto"/>
        <w:bottom w:val="none" w:sz="0" w:space="0" w:color="auto"/>
        <w:right w:val="none" w:sz="0" w:space="0" w:color="auto"/>
      </w:divBdr>
    </w:div>
    <w:div w:id="1332181869">
      <w:bodyDiv w:val="1"/>
      <w:marLeft w:val="0"/>
      <w:marRight w:val="0"/>
      <w:marTop w:val="0"/>
      <w:marBottom w:val="0"/>
      <w:divBdr>
        <w:top w:val="none" w:sz="0" w:space="0" w:color="auto"/>
        <w:left w:val="none" w:sz="0" w:space="0" w:color="auto"/>
        <w:bottom w:val="none" w:sz="0" w:space="0" w:color="auto"/>
        <w:right w:val="none" w:sz="0" w:space="0" w:color="auto"/>
      </w:divBdr>
      <w:divsChild>
        <w:div w:id="364134906">
          <w:marLeft w:val="0"/>
          <w:marRight w:val="0"/>
          <w:marTop w:val="0"/>
          <w:marBottom w:val="0"/>
          <w:divBdr>
            <w:top w:val="none" w:sz="0" w:space="0" w:color="auto"/>
            <w:left w:val="none" w:sz="0" w:space="0" w:color="auto"/>
            <w:bottom w:val="none" w:sz="0" w:space="0" w:color="auto"/>
            <w:right w:val="none" w:sz="0" w:space="0" w:color="auto"/>
          </w:divBdr>
        </w:div>
        <w:div w:id="623390528">
          <w:marLeft w:val="0"/>
          <w:marRight w:val="0"/>
          <w:marTop w:val="0"/>
          <w:marBottom w:val="0"/>
          <w:divBdr>
            <w:top w:val="none" w:sz="0" w:space="0" w:color="auto"/>
            <w:left w:val="none" w:sz="0" w:space="0" w:color="auto"/>
            <w:bottom w:val="none" w:sz="0" w:space="0" w:color="auto"/>
            <w:right w:val="none" w:sz="0" w:space="0" w:color="auto"/>
          </w:divBdr>
        </w:div>
        <w:div w:id="842818050">
          <w:marLeft w:val="0"/>
          <w:marRight w:val="0"/>
          <w:marTop w:val="0"/>
          <w:marBottom w:val="0"/>
          <w:divBdr>
            <w:top w:val="none" w:sz="0" w:space="0" w:color="auto"/>
            <w:left w:val="none" w:sz="0" w:space="0" w:color="auto"/>
            <w:bottom w:val="none" w:sz="0" w:space="0" w:color="auto"/>
            <w:right w:val="none" w:sz="0" w:space="0" w:color="auto"/>
          </w:divBdr>
        </w:div>
        <w:div w:id="1145199907">
          <w:marLeft w:val="0"/>
          <w:marRight w:val="0"/>
          <w:marTop w:val="0"/>
          <w:marBottom w:val="0"/>
          <w:divBdr>
            <w:top w:val="none" w:sz="0" w:space="0" w:color="auto"/>
            <w:left w:val="none" w:sz="0" w:space="0" w:color="auto"/>
            <w:bottom w:val="none" w:sz="0" w:space="0" w:color="auto"/>
            <w:right w:val="none" w:sz="0" w:space="0" w:color="auto"/>
          </w:divBdr>
        </w:div>
      </w:divsChild>
    </w:div>
    <w:div w:id="1352105346">
      <w:bodyDiv w:val="1"/>
      <w:marLeft w:val="0"/>
      <w:marRight w:val="0"/>
      <w:marTop w:val="0"/>
      <w:marBottom w:val="0"/>
      <w:divBdr>
        <w:top w:val="none" w:sz="0" w:space="0" w:color="auto"/>
        <w:left w:val="none" w:sz="0" w:space="0" w:color="auto"/>
        <w:bottom w:val="none" w:sz="0" w:space="0" w:color="auto"/>
        <w:right w:val="none" w:sz="0" w:space="0" w:color="auto"/>
      </w:divBdr>
      <w:divsChild>
        <w:div w:id="451050187">
          <w:marLeft w:val="0"/>
          <w:marRight w:val="0"/>
          <w:marTop w:val="0"/>
          <w:marBottom w:val="0"/>
          <w:divBdr>
            <w:top w:val="none" w:sz="0" w:space="0" w:color="auto"/>
            <w:left w:val="none" w:sz="0" w:space="0" w:color="auto"/>
            <w:bottom w:val="none" w:sz="0" w:space="0" w:color="auto"/>
            <w:right w:val="none" w:sz="0" w:space="0" w:color="auto"/>
          </w:divBdr>
        </w:div>
        <w:div w:id="1518620549">
          <w:marLeft w:val="0"/>
          <w:marRight w:val="0"/>
          <w:marTop w:val="0"/>
          <w:marBottom w:val="0"/>
          <w:divBdr>
            <w:top w:val="none" w:sz="0" w:space="0" w:color="auto"/>
            <w:left w:val="none" w:sz="0" w:space="0" w:color="auto"/>
            <w:bottom w:val="none" w:sz="0" w:space="0" w:color="auto"/>
            <w:right w:val="none" w:sz="0" w:space="0" w:color="auto"/>
          </w:divBdr>
        </w:div>
        <w:div w:id="1794669882">
          <w:marLeft w:val="0"/>
          <w:marRight w:val="0"/>
          <w:marTop w:val="0"/>
          <w:marBottom w:val="0"/>
          <w:divBdr>
            <w:top w:val="none" w:sz="0" w:space="0" w:color="auto"/>
            <w:left w:val="none" w:sz="0" w:space="0" w:color="auto"/>
            <w:bottom w:val="none" w:sz="0" w:space="0" w:color="auto"/>
            <w:right w:val="none" w:sz="0" w:space="0" w:color="auto"/>
          </w:divBdr>
        </w:div>
        <w:div w:id="2058777972">
          <w:marLeft w:val="0"/>
          <w:marRight w:val="0"/>
          <w:marTop w:val="0"/>
          <w:marBottom w:val="0"/>
          <w:divBdr>
            <w:top w:val="none" w:sz="0" w:space="0" w:color="auto"/>
            <w:left w:val="none" w:sz="0" w:space="0" w:color="auto"/>
            <w:bottom w:val="none" w:sz="0" w:space="0" w:color="auto"/>
            <w:right w:val="none" w:sz="0" w:space="0" w:color="auto"/>
          </w:divBdr>
        </w:div>
      </w:divsChild>
    </w:div>
    <w:div w:id="1435396712">
      <w:bodyDiv w:val="1"/>
      <w:marLeft w:val="0"/>
      <w:marRight w:val="0"/>
      <w:marTop w:val="0"/>
      <w:marBottom w:val="0"/>
      <w:divBdr>
        <w:top w:val="none" w:sz="0" w:space="0" w:color="auto"/>
        <w:left w:val="none" w:sz="0" w:space="0" w:color="auto"/>
        <w:bottom w:val="none" w:sz="0" w:space="0" w:color="auto"/>
        <w:right w:val="none" w:sz="0" w:space="0" w:color="auto"/>
      </w:divBdr>
    </w:div>
    <w:div w:id="1588034244">
      <w:bodyDiv w:val="1"/>
      <w:marLeft w:val="0"/>
      <w:marRight w:val="0"/>
      <w:marTop w:val="0"/>
      <w:marBottom w:val="0"/>
      <w:divBdr>
        <w:top w:val="none" w:sz="0" w:space="0" w:color="auto"/>
        <w:left w:val="none" w:sz="0" w:space="0" w:color="auto"/>
        <w:bottom w:val="none" w:sz="0" w:space="0" w:color="auto"/>
        <w:right w:val="none" w:sz="0" w:space="0" w:color="auto"/>
      </w:divBdr>
      <w:divsChild>
        <w:div w:id="66420357">
          <w:marLeft w:val="0"/>
          <w:marRight w:val="0"/>
          <w:marTop w:val="0"/>
          <w:marBottom w:val="0"/>
          <w:divBdr>
            <w:top w:val="none" w:sz="0" w:space="0" w:color="auto"/>
            <w:left w:val="none" w:sz="0" w:space="0" w:color="auto"/>
            <w:bottom w:val="none" w:sz="0" w:space="0" w:color="auto"/>
            <w:right w:val="none" w:sz="0" w:space="0" w:color="auto"/>
          </w:divBdr>
        </w:div>
        <w:div w:id="1070735625">
          <w:marLeft w:val="0"/>
          <w:marRight w:val="0"/>
          <w:marTop w:val="0"/>
          <w:marBottom w:val="0"/>
          <w:divBdr>
            <w:top w:val="none" w:sz="0" w:space="0" w:color="auto"/>
            <w:left w:val="none" w:sz="0" w:space="0" w:color="auto"/>
            <w:bottom w:val="none" w:sz="0" w:space="0" w:color="auto"/>
            <w:right w:val="none" w:sz="0" w:space="0" w:color="auto"/>
          </w:divBdr>
        </w:div>
        <w:div w:id="1406874540">
          <w:marLeft w:val="0"/>
          <w:marRight w:val="0"/>
          <w:marTop w:val="0"/>
          <w:marBottom w:val="0"/>
          <w:divBdr>
            <w:top w:val="none" w:sz="0" w:space="0" w:color="auto"/>
            <w:left w:val="none" w:sz="0" w:space="0" w:color="auto"/>
            <w:bottom w:val="none" w:sz="0" w:space="0" w:color="auto"/>
            <w:right w:val="none" w:sz="0" w:space="0" w:color="auto"/>
          </w:divBdr>
        </w:div>
        <w:div w:id="1475105464">
          <w:marLeft w:val="0"/>
          <w:marRight w:val="0"/>
          <w:marTop w:val="0"/>
          <w:marBottom w:val="0"/>
          <w:divBdr>
            <w:top w:val="none" w:sz="0" w:space="0" w:color="auto"/>
            <w:left w:val="none" w:sz="0" w:space="0" w:color="auto"/>
            <w:bottom w:val="none" w:sz="0" w:space="0" w:color="auto"/>
            <w:right w:val="none" w:sz="0" w:space="0" w:color="auto"/>
          </w:divBdr>
        </w:div>
        <w:div w:id="1720788383">
          <w:marLeft w:val="0"/>
          <w:marRight w:val="0"/>
          <w:marTop w:val="0"/>
          <w:marBottom w:val="0"/>
          <w:divBdr>
            <w:top w:val="none" w:sz="0" w:space="0" w:color="auto"/>
            <w:left w:val="none" w:sz="0" w:space="0" w:color="auto"/>
            <w:bottom w:val="none" w:sz="0" w:space="0" w:color="auto"/>
            <w:right w:val="none" w:sz="0" w:space="0" w:color="auto"/>
          </w:divBdr>
        </w:div>
      </w:divsChild>
    </w:div>
    <w:div w:id="1641308325">
      <w:bodyDiv w:val="1"/>
      <w:marLeft w:val="0"/>
      <w:marRight w:val="0"/>
      <w:marTop w:val="0"/>
      <w:marBottom w:val="0"/>
      <w:divBdr>
        <w:top w:val="none" w:sz="0" w:space="0" w:color="auto"/>
        <w:left w:val="none" w:sz="0" w:space="0" w:color="auto"/>
        <w:bottom w:val="none" w:sz="0" w:space="0" w:color="auto"/>
        <w:right w:val="none" w:sz="0" w:space="0" w:color="auto"/>
      </w:divBdr>
    </w:div>
    <w:div w:id="1796217836">
      <w:bodyDiv w:val="1"/>
      <w:marLeft w:val="0"/>
      <w:marRight w:val="0"/>
      <w:marTop w:val="0"/>
      <w:marBottom w:val="0"/>
      <w:divBdr>
        <w:top w:val="none" w:sz="0" w:space="0" w:color="auto"/>
        <w:left w:val="none" w:sz="0" w:space="0" w:color="auto"/>
        <w:bottom w:val="none" w:sz="0" w:space="0" w:color="auto"/>
        <w:right w:val="none" w:sz="0" w:space="0" w:color="auto"/>
      </w:divBdr>
      <w:divsChild>
        <w:div w:id="329794747">
          <w:marLeft w:val="0"/>
          <w:marRight w:val="0"/>
          <w:marTop w:val="0"/>
          <w:marBottom w:val="0"/>
          <w:divBdr>
            <w:top w:val="none" w:sz="0" w:space="0" w:color="auto"/>
            <w:left w:val="none" w:sz="0" w:space="0" w:color="auto"/>
            <w:bottom w:val="none" w:sz="0" w:space="0" w:color="auto"/>
            <w:right w:val="none" w:sz="0" w:space="0" w:color="auto"/>
          </w:divBdr>
        </w:div>
        <w:div w:id="809129085">
          <w:marLeft w:val="0"/>
          <w:marRight w:val="0"/>
          <w:marTop w:val="0"/>
          <w:marBottom w:val="0"/>
          <w:divBdr>
            <w:top w:val="none" w:sz="0" w:space="0" w:color="auto"/>
            <w:left w:val="none" w:sz="0" w:space="0" w:color="auto"/>
            <w:bottom w:val="none" w:sz="0" w:space="0" w:color="auto"/>
            <w:right w:val="none" w:sz="0" w:space="0" w:color="auto"/>
          </w:divBdr>
        </w:div>
        <w:div w:id="1017467047">
          <w:marLeft w:val="0"/>
          <w:marRight w:val="0"/>
          <w:marTop w:val="0"/>
          <w:marBottom w:val="0"/>
          <w:divBdr>
            <w:top w:val="none" w:sz="0" w:space="0" w:color="auto"/>
            <w:left w:val="none" w:sz="0" w:space="0" w:color="auto"/>
            <w:bottom w:val="none" w:sz="0" w:space="0" w:color="auto"/>
            <w:right w:val="none" w:sz="0" w:space="0" w:color="auto"/>
          </w:divBdr>
        </w:div>
        <w:div w:id="1168057640">
          <w:marLeft w:val="0"/>
          <w:marRight w:val="0"/>
          <w:marTop w:val="0"/>
          <w:marBottom w:val="0"/>
          <w:divBdr>
            <w:top w:val="none" w:sz="0" w:space="0" w:color="auto"/>
            <w:left w:val="none" w:sz="0" w:space="0" w:color="auto"/>
            <w:bottom w:val="none" w:sz="0" w:space="0" w:color="auto"/>
            <w:right w:val="none" w:sz="0" w:space="0" w:color="auto"/>
          </w:divBdr>
        </w:div>
        <w:div w:id="1317032655">
          <w:marLeft w:val="0"/>
          <w:marRight w:val="0"/>
          <w:marTop w:val="0"/>
          <w:marBottom w:val="0"/>
          <w:divBdr>
            <w:top w:val="none" w:sz="0" w:space="0" w:color="auto"/>
            <w:left w:val="none" w:sz="0" w:space="0" w:color="auto"/>
            <w:bottom w:val="none" w:sz="0" w:space="0" w:color="auto"/>
            <w:right w:val="none" w:sz="0" w:space="0" w:color="auto"/>
          </w:divBdr>
        </w:div>
        <w:div w:id="1523400563">
          <w:marLeft w:val="0"/>
          <w:marRight w:val="0"/>
          <w:marTop w:val="0"/>
          <w:marBottom w:val="0"/>
          <w:divBdr>
            <w:top w:val="none" w:sz="0" w:space="0" w:color="auto"/>
            <w:left w:val="none" w:sz="0" w:space="0" w:color="auto"/>
            <w:bottom w:val="none" w:sz="0" w:space="0" w:color="auto"/>
            <w:right w:val="none" w:sz="0" w:space="0" w:color="auto"/>
          </w:divBdr>
        </w:div>
        <w:div w:id="1847818681">
          <w:marLeft w:val="0"/>
          <w:marRight w:val="0"/>
          <w:marTop w:val="0"/>
          <w:marBottom w:val="0"/>
          <w:divBdr>
            <w:top w:val="none" w:sz="0" w:space="0" w:color="auto"/>
            <w:left w:val="none" w:sz="0" w:space="0" w:color="auto"/>
            <w:bottom w:val="none" w:sz="0" w:space="0" w:color="auto"/>
            <w:right w:val="none" w:sz="0" w:space="0" w:color="auto"/>
          </w:divBdr>
        </w:div>
        <w:div w:id="1880050832">
          <w:marLeft w:val="0"/>
          <w:marRight w:val="0"/>
          <w:marTop w:val="0"/>
          <w:marBottom w:val="0"/>
          <w:divBdr>
            <w:top w:val="none" w:sz="0" w:space="0" w:color="auto"/>
            <w:left w:val="none" w:sz="0" w:space="0" w:color="auto"/>
            <w:bottom w:val="none" w:sz="0" w:space="0" w:color="auto"/>
            <w:right w:val="none" w:sz="0" w:space="0" w:color="auto"/>
          </w:divBdr>
        </w:div>
      </w:divsChild>
    </w:div>
    <w:div w:id="1815174271">
      <w:bodyDiv w:val="1"/>
      <w:marLeft w:val="0"/>
      <w:marRight w:val="0"/>
      <w:marTop w:val="0"/>
      <w:marBottom w:val="0"/>
      <w:divBdr>
        <w:top w:val="none" w:sz="0" w:space="0" w:color="auto"/>
        <w:left w:val="none" w:sz="0" w:space="0" w:color="auto"/>
        <w:bottom w:val="none" w:sz="0" w:space="0" w:color="auto"/>
        <w:right w:val="none" w:sz="0" w:space="0" w:color="auto"/>
      </w:divBdr>
      <w:divsChild>
        <w:div w:id="591165034">
          <w:marLeft w:val="0"/>
          <w:marRight w:val="0"/>
          <w:marTop w:val="0"/>
          <w:marBottom w:val="0"/>
          <w:divBdr>
            <w:top w:val="none" w:sz="0" w:space="0" w:color="auto"/>
            <w:left w:val="none" w:sz="0" w:space="0" w:color="auto"/>
            <w:bottom w:val="none" w:sz="0" w:space="0" w:color="auto"/>
            <w:right w:val="none" w:sz="0" w:space="0" w:color="auto"/>
          </w:divBdr>
        </w:div>
        <w:div w:id="985084841">
          <w:marLeft w:val="0"/>
          <w:marRight w:val="0"/>
          <w:marTop w:val="0"/>
          <w:marBottom w:val="0"/>
          <w:divBdr>
            <w:top w:val="none" w:sz="0" w:space="0" w:color="auto"/>
            <w:left w:val="none" w:sz="0" w:space="0" w:color="auto"/>
            <w:bottom w:val="none" w:sz="0" w:space="0" w:color="auto"/>
            <w:right w:val="none" w:sz="0" w:space="0" w:color="auto"/>
          </w:divBdr>
        </w:div>
        <w:div w:id="1065031744">
          <w:marLeft w:val="0"/>
          <w:marRight w:val="0"/>
          <w:marTop w:val="0"/>
          <w:marBottom w:val="0"/>
          <w:divBdr>
            <w:top w:val="none" w:sz="0" w:space="0" w:color="auto"/>
            <w:left w:val="none" w:sz="0" w:space="0" w:color="auto"/>
            <w:bottom w:val="none" w:sz="0" w:space="0" w:color="auto"/>
            <w:right w:val="none" w:sz="0" w:space="0" w:color="auto"/>
          </w:divBdr>
        </w:div>
        <w:div w:id="1067073059">
          <w:marLeft w:val="0"/>
          <w:marRight w:val="0"/>
          <w:marTop w:val="0"/>
          <w:marBottom w:val="0"/>
          <w:divBdr>
            <w:top w:val="none" w:sz="0" w:space="0" w:color="auto"/>
            <w:left w:val="none" w:sz="0" w:space="0" w:color="auto"/>
            <w:bottom w:val="none" w:sz="0" w:space="0" w:color="auto"/>
            <w:right w:val="none" w:sz="0" w:space="0" w:color="auto"/>
          </w:divBdr>
        </w:div>
        <w:div w:id="1432700995">
          <w:marLeft w:val="0"/>
          <w:marRight w:val="0"/>
          <w:marTop w:val="0"/>
          <w:marBottom w:val="0"/>
          <w:divBdr>
            <w:top w:val="none" w:sz="0" w:space="0" w:color="auto"/>
            <w:left w:val="none" w:sz="0" w:space="0" w:color="auto"/>
            <w:bottom w:val="none" w:sz="0" w:space="0" w:color="auto"/>
            <w:right w:val="none" w:sz="0" w:space="0" w:color="auto"/>
          </w:divBdr>
        </w:div>
        <w:div w:id="1434395162">
          <w:marLeft w:val="0"/>
          <w:marRight w:val="0"/>
          <w:marTop w:val="0"/>
          <w:marBottom w:val="0"/>
          <w:divBdr>
            <w:top w:val="none" w:sz="0" w:space="0" w:color="auto"/>
            <w:left w:val="none" w:sz="0" w:space="0" w:color="auto"/>
            <w:bottom w:val="none" w:sz="0" w:space="0" w:color="auto"/>
            <w:right w:val="none" w:sz="0" w:space="0" w:color="auto"/>
          </w:divBdr>
        </w:div>
        <w:div w:id="1604877412">
          <w:marLeft w:val="0"/>
          <w:marRight w:val="0"/>
          <w:marTop w:val="0"/>
          <w:marBottom w:val="0"/>
          <w:divBdr>
            <w:top w:val="none" w:sz="0" w:space="0" w:color="auto"/>
            <w:left w:val="none" w:sz="0" w:space="0" w:color="auto"/>
            <w:bottom w:val="none" w:sz="0" w:space="0" w:color="auto"/>
            <w:right w:val="none" w:sz="0" w:space="0" w:color="auto"/>
          </w:divBdr>
        </w:div>
        <w:div w:id="1821192851">
          <w:marLeft w:val="0"/>
          <w:marRight w:val="0"/>
          <w:marTop w:val="0"/>
          <w:marBottom w:val="0"/>
          <w:divBdr>
            <w:top w:val="none" w:sz="0" w:space="0" w:color="auto"/>
            <w:left w:val="none" w:sz="0" w:space="0" w:color="auto"/>
            <w:bottom w:val="none" w:sz="0" w:space="0" w:color="auto"/>
            <w:right w:val="none" w:sz="0" w:space="0" w:color="auto"/>
          </w:divBdr>
        </w:div>
        <w:div w:id="1851290004">
          <w:marLeft w:val="0"/>
          <w:marRight w:val="0"/>
          <w:marTop w:val="0"/>
          <w:marBottom w:val="0"/>
          <w:divBdr>
            <w:top w:val="none" w:sz="0" w:space="0" w:color="auto"/>
            <w:left w:val="none" w:sz="0" w:space="0" w:color="auto"/>
            <w:bottom w:val="none" w:sz="0" w:space="0" w:color="auto"/>
            <w:right w:val="none" w:sz="0" w:space="0" w:color="auto"/>
          </w:divBdr>
        </w:div>
      </w:divsChild>
    </w:div>
    <w:div w:id="1875077423">
      <w:bodyDiv w:val="1"/>
      <w:marLeft w:val="0"/>
      <w:marRight w:val="0"/>
      <w:marTop w:val="0"/>
      <w:marBottom w:val="0"/>
      <w:divBdr>
        <w:top w:val="none" w:sz="0" w:space="0" w:color="auto"/>
        <w:left w:val="none" w:sz="0" w:space="0" w:color="auto"/>
        <w:bottom w:val="none" w:sz="0" w:space="0" w:color="auto"/>
        <w:right w:val="none" w:sz="0" w:space="0" w:color="auto"/>
      </w:divBdr>
      <w:divsChild>
        <w:div w:id="499733096">
          <w:marLeft w:val="0"/>
          <w:marRight w:val="0"/>
          <w:marTop w:val="0"/>
          <w:marBottom w:val="0"/>
          <w:divBdr>
            <w:top w:val="none" w:sz="0" w:space="0" w:color="auto"/>
            <w:left w:val="none" w:sz="0" w:space="0" w:color="auto"/>
            <w:bottom w:val="none" w:sz="0" w:space="0" w:color="auto"/>
            <w:right w:val="none" w:sz="0" w:space="0" w:color="auto"/>
          </w:divBdr>
        </w:div>
        <w:div w:id="580718301">
          <w:marLeft w:val="0"/>
          <w:marRight w:val="0"/>
          <w:marTop w:val="0"/>
          <w:marBottom w:val="0"/>
          <w:divBdr>
            <w:top w:val="none" w:sz="0" w:space="0" w:color="auto"/>
            <w:left w:val="none" w:sz="0" w:space="0" w:color="auto"/>
            <w:bottom w:val="none" w:sz="0" w:space="0" w:color="auto"/>
            <w:right w:val="none" w:sz="0" w:space="0" w:color="auto"/>
          </w:divBdr>
        </w:div>
        <w:div w:id="858006992">
          <w:marLeft w:val="0"/>
          <w:marRight w:val="0"/>
          <w:marTop w:val="0"/>
          <w:marBottom w:val="0"/>
          <w:divBdr>
            <w:top w:val="none" w:sz="0" w:space="0" w:color="auto"/>
            <w:left w:val="none" w:sz="0" w:space="0" w:color="auto"/>
            <w:bottom w:val="none" w:sz="0" w:space="0" w:color="auto"/>
            <w:right w:val="none" w:sz="0" w:space="0" w:color="auto"/>
          </w:divBdr>
        </w:div>
        <w:div w:id="989213313">
          <w:marLeft w:val="0"/>
          <w:marRight w:val="0"/>
          <w:marTop w:val="0"/>
          <w:marBottom w:val="0"/>
          <w:divBdr>
            <w:top w:val="none" w:sz="0" w:space="0" w:color="auto"/>
            <w:left w:val="none" w:sz="0" w:space="0" w:color="auto"/>
            <w:bottom w:val="none" w:sz="0" w:space="0" w:color="auto"/>
            <w:right w:val="none" w:sz="0" w:space="0" w:color="auto"/>
          </w:divBdr>
        </w:div>
        <w:div w:id="1252936313">
          <w:marLeft w:val="0"/>
          <w:marRight w:val="0"/>
          <w:marTop w:val="0"/>
          <w:marBottom w:val="0"/>
          <w:divBdr>
            <w:top w:val="none" w:sz="0" w:space="0" w:color="auto"/>
            <w:left w:val="none" w:sz="0" w:space="0" w:color="auto"/>
            <w:bottom w:val="none" w:sz="0" w:space="0" w:color="auto"/>
            <w:right w:val="none" w:sz="0" w:space="0" w:color="auto"/>
          </w:divBdr>
        </w:div>
      </w:divsChild>
    </w:div>
    <w:div w:id="203530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122F1-8267-473C-AF94-3B449F3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286</Words>
  <Characters>1632</Characters>
  <Application>Microsoft Office Word</Application>
  <DocSecurity>0</DocSecurity>
  <Lines>13</Lines>
  <Paragraphs>3</Paragraphs>
  <ScaleCrop>false</ScaleCrop>
  <Company/>
  <LinksUpToDate>false</LinksUpToDate>
  <CharactersWithSpaces>1915</CharactersWithSpaces>
  <SharedDoc>false</SharedDoc>
  <HLinks>
    <vt:vector size="48" baseType="variant">
      <vt:variant>
        <vt:i4>1114160</vt:i4>
      </vt:variant>
      <vt:variant>
        <vt:i4>44</vt:i4>
      </vt:variant>
      <vt:variant>
        <vt:i4>0</vt:i4>
      </vt:variant>
      <vt:variant>
        <vt:i4>5</vt:i4>
      </vt:variant>
      <vt:variant>
        <vt:lpwstr/>
      </vt:variant>
      <vt:variant>
        <vt:lpwstr>_Toc181689815</vt:lpwstr>
      </vt:variant>
      <vt:variant>
        <vt:i4>1114160</vt:i4>
      </vt:variant>
      <vt:variant>
        <vt:i4>38</vt:i4>
      </vt:variant>
      <vt:variant>
        <vt:i4>0</vt:i4>
      </vt:variant>
      <vt:variant>
        <vt:i4>5</vt:i4>
      </vt:variant>
      <vt:variant>
        <vt:lpwstr/>
      </vt:variant>
      <vt:variant>
        <vt:lpwstr>_Toc181689814</vt:lpwstr>
      </vt:variant>
      <vt:variant>
        <vt:i4>1114160</vt:i4>
      </vt:variant>
      <vt:variant>
        <vt:i4>32</vt:i4>
      </vt:variant>
      <vt:variant>
        <vt:i4>0</vt:i4>
      </vt:variant>
      <vt:variant>
        <vt:i4>5</vt:i4>
      </vt:variant>
      <vt:variant>
        <vt:lpwstr/>
      </vt:variant>
      <vt:variant>
        <vt:lpwstr>_Toc181689813</vt:lpwstr>
      </vt:variant>
      <vt:variant>
        <vt:i4>1114160</vt:i4>
      </vt:variant>
      <vt:variant>
        <vt:i4>26</vt:i4>
      </vt:variant>
      <vt:variant>
        <vt:i4>0</vt:i4>
      </vt:variant>
      <vt:variant>
        <vt:i4>5</vt:i4>
      </vt:variant>
      <vt:variant>
        <vt:lpwstr/>
      </vt:variant>
      <vt:variant>
        <vt:lpwstr>_Toc181689812</vt:lpwstr>
      </vt:variant>
      <vt:variant>
        <vt:i4>1114160</vt:i4>
      </vt:variant>
      <vt:variant>
        <vt:i4>20</vt:i4>
      </vt:variant>
      <vt:variant>
        <vt:i4>0</vt:i4>
      </vt:variant>
      <vt:variant>
        <vt:i4>5</vt:i4>
      </vt:variant>
      <vt:variant>
        <vt:lpwstr/>
      </vt:variant>
      <vt:variant>
        <vt:lpwstr>_Toc181689811</vt:lpwstr>
      </vt:variant>
      <vt:variant>
        <vt:i4>1114160</vt:i4>
      </vt:variant>
      <vt:variant>
        <vt:i4>14</vt:i4>
      </vt:variant>
      <vt:variant>
        <vt:i4>0</vt:i4>
      </vt:variant>
      <vt:variant>
        <vt:i4>5</vt:i4>
      </vt:variant>
      <vt:variant>
        <vt:lpwstr/>
      </vt:variant>
      <vt:variant>
        <vt:lpwstr>_Toc181689810</vt:lpwstr>
      </vt:variant>
      <vt:variant>
        <vt:i4>1048624</vt:i4>
      </vt:variant>
      <vt:variant>
        <vt:i4>8</vt:i4>
      </vt:variant>
      <vt:variant>
        <vt:i4>0</vt:i4>
      </vt:variant>
      <vt:variant>
        <vt:i4>5</vt:i4>
      </vt:variant>
      <vt:variant>
        <vt:lpwstr/>
      </vt:variant>
      <vt:variant>
        <vt:lpwstr>_Toc181689809</vt:lpwstr>
      </vt:variant>
      <vt:variant>
        <vt:i4>1048624</vt:i4>
      </vt:variant>
      <vt:variant>
        <vt:i4>2</vt:i4>
      </vt:variant>
      <vt:variant>
        <vt:i4>0</vt:i4>
      </vt:variant>
      <vt:variant>
        <vt:i4>5</vt:i4>
      </vt:variant>
      <vt:variant>
        <vt:lpwstr/>
      </vt:variant>
      <vt:variant>
        <vt:lpwstr>_Toc181689808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2024-11-05T01:13:00Z</cp:lastPrinted>
  <dcterms:created xsi:type="dcterms:W3CDTF">2024-11-05T06:19:00Z</dcterms:created>
  <dcterms:modified xsi:type="dcterms:W3CDTF">2024-11-05T06:19:00Z</dcterms:modified>
</cp:coreProperties>
</file>