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F551CC" w:rsidRPr="009C3256" w:rsidRDefault="00B801A7" w:rsidP="00F551CC">
      <w:pPr>
        <w:pStyle w:val="14"/>
        <w:ind w:left="567" w:hanging="567"/>
        <w:rPr>
          <w:strike/>
        </w:rPr>
      </w:pPr>
      <w:bookmarkStart w:id="1" w:name="_Toc141782227"/>
      <w:bookmarkStart w:id="2" w:name="OLE_LINK1"/>
      <w:bookmarkStart w:id="3" w:name="_Toc181344012"/>
      <w:r w:rsidRPr="009C3256">
        <w:rPr>
          <w:rFonts w:hint="eastAsia"/>
        </w:rPr>
        <w:t>三</w:t>
      </w:r>
      <w:r w:rsidR="003C65BB" w:rsidRPr="009C3256">
        <w:rPr>
          <w:rFonts w:hint="eastAsia"/>
        </w:rPr>
        <w:t>、</w:t>
      </w:r>
      <w:bookmarkEnd w:id="2"/>
      <w:r w:rsidR="008F36A5" w:rsidRPr="009C3256">
        <w:rPr>
          <w:rFonts w:hint="eastAsia"/>
        </w:rPr>
        <w:t>目前來臺旅客以鄰近國家為主，允宜持續瞭解旅客偏好及動態，適時調整觀光措施，俾提升來臺旅客人數及增加觀光外匯收入</w:t>
      </w:r>
      <w:bookmarkEnd w:id="3"/>
    </w:p>
    <w:bookmarkEnd w:id="1"/>
    <w:p w:rsidR="00F551CC" w:rsidRPr="009C3256" w:rsidRDefault="00F551CC" w:rsidP="004B5371">
      <w:pPr>
        <w:ind w:left="566" w:firstLine="566"/>
      </w:pPr>
      <w:r w:rsidRPr="009C3256">
        <w:rPr>
          <w:rFonts w:hint="eastAsia"/>
        </w:rPr>
        <w:t>觀光署11</w:t>
      </w:r>
      <w:r w:rsidR="00CD1A8D" w:rsidRPr="009C3256">
        <w:rPr>
          <w:rFonts w:hint="eastAsia"/>
        </w:rPr>
        <w:t>4</w:t>
      </w:r>
      <w:r w:rsidRPr="009C3256">
        <w:rPr>
          <w:rFonts w:hint="eastAsia"/>
        </w:rPr>
        <w:t>年度</w:t>
      </w:r>
      <w:r w:rsidR="00400273" w:rsidRPr="009C3256">
        <w:rPr>
          <w:rFonts w:hint="eastAsia"/>
        </w:rPr>
        <w:t>於「觀光業務」工作計畫項下編列</w:t>
      </w:r>
      <w:r w:rsidR="00CD1A8D" w:rsidRPr="009C3256">
        <w:rPr>
          <w:rFonts w:hint="eastAsia"/>
        </w:rPr>
        <w:t>11</w:t>
      </w:r>
      <w:r w:rsidR="00400273" w:rsidRPr="009C3256">
        <w:rPr>
          <w:rFonts w:hint="eastAsia"/>
        </w:rPr>
        <w:t>億</w:t>
      </w:r>
      <w:r w:rsidR="00CD1A8D" w:rsidRPr="009C3256">
        <w:rPr>
          <w:rFonts w:hint="eastAsia"/>
        </w:rPr>
        <w:t>2</w:t>
      </w:r>
      <w:r w:rsidR="00400273" w:rsidRPr="009C3256">
        <w:t>,</w:t>
      </w:r>
      <w:r w:rsidR="00CD1A8D" w:rsidRPr="009C3256">
        <w:rPr>
          <w:rFonts w:hint="eastAsia"/>
        </w:rPr>
        <w:t>20</w:t>
      </w:r>
      <w:r w:rsidR="00400273" w:rsidRPr="009C3256">
        <w:rPr>
          <w:rFonts w:hint="eastAsia"/>
        </w:rPr>
        <w:t>9萬</w:t>
      </w:r>
      <w:r w:rsidR="00CD1A8D" w:rsidRPr="009C3256">
        <w:rPr>
          <w:rFonts w:hint="eastAsia"/>
        </w:rPr>
        <w:t>1</w:t>
      </w:r>
      <w:r w:rsidR="00400273" w:rsidRPr="009C3256">
        <w:rPr>
          <w:rFonts w:hint="eastAsia"/>
        </w:rPr>
        <w:t>千元，辦理各項觀光業務所需經費，以推動我國觀光資源，爭取旅客來</w:t>
      </w:r>
      <w:r w:rsidR="00383E6F" w:rsidRPr="009C3256">
        <w:rPr>
          <w:rFonts w:hint="eastAsia"/>
        </w:rPr>
        <w:t>臺</w:t>
      </w:r>
      <w:r w:rsidR="00400273" w:rsidRPr="009C3256">
        <w:rPr>
          <w:rFonts w:hint="eastAsia"/>
        </w:rPr>
        <w:t>觀光</w:t>
      </w:r>
      <w:r w:rsidR="00BE3AD1" w:rsidRPr="009C3256">
        <w:rPr>
          <w:rFonts w:hint="eastAsia"/>
        </w:rPr>
        <w:t>，</w:t>
      </w:r>
      <w:r w:rsidR="00400273" w:rsidRPr="009C3256">
        <w:rPr>
          <w:rFonts w:hint="eastAsia"/>
        </w:rPr>
        <w:t>增加外匯收入，加強國內外旅客服務，並提升我國在國際間形象</w:t>
      </w:r>
      <w:r w:rsidR="004B5371" w:rsidRPr="009C3256">
        <w:rPr>
          <w:rFonts w:hint="eastAsia"/>
        </w:rPr>
        <w:t>，</w:t>
      </w:r>
      <w:r w:rsidRPr="009C3256">
        <w:rPr>
          <w:rFonts w:hint="eastAsia"/>
        </w:rPr>
        <w:t>以拓展來臺觀光人次及收入。經查：</w:t>
      </w:r>
    </w:p>
    <w:p w:rsidR="00F551CC" w:rsidRPr="009C3256" w:rsidRDefault="00F551CC" w:rsidP="00F551CC">
      <w:pPr>
        <w:pStyle w:val="a7"/>
        <w:ind w:left="849" w:hanging="283"/>
        <w:rPr>
          <w:b/>
        </w:rPr>
      </w:pPr>
      <w:r w:rsidRPr="009C3256">
        <w:rPr>
          <w:b/>
        </w:rPr>
        <w:t>(</w:t>
      </w:r>
      <w:r w:rsidRPr="009C3256">
        <w:rPr>
          <w:rFonts w:hint="eastAsia"/>
          <w:b/>
        </w:rPr>
        <w:t>一)</w:t>
      </w:r>
      <w:r w:rsidR="009702F1" w:rsidRPr="009C3256">
        <w:rPr>
          <w:rFonts w:hint="eastAsia"/>
          <w:b/>
        </w:rPr>
        <w:t>112年度</w:t>
      </w:r>
      <w:r w:rsidR="006A3293" w:rsidRPr="009C3256">
        <w:rPr>
          <w:rFonts w:hint="eastAsia"/>
          <w:b/>
        </w:rPr>
        <w:t>我國</w:t>
      </w:r>
      <w:r w:rsidR="006A3293" w:rsidRPr="009C3256">
        <w:rPr>
          <w:rFonts w:hAnsi="標楷體" w:hint="eastAsia"/>
          <w:b/>
          <w:lang w:eastAsia="zh-HK"/>
        </w:rPr>
        <w:t>來臺旅客數</w:t>
      </w:r>
      <w:r w:rsidR="006A3293" w:rsidRPr="009C3256">
        <w:rPr>
          <w:rFonts w:hint="eastAsia"/>
          <w:b/>
        </w:rPr>
        <w:t>648.70萬</w:t>
      </w:r>
      <w:r w:rsidR="006A3293" w:rsidRPr="009C3256">
        <w:rPr>
          <w:b/>
        </w:rPr>
        <w:t>人</w:t>
      </w:r>
      <w:r w:rsidR="007F222F" w:rsidRPr="009C3256">
        <w:rPr>
          <w:rFonts w:hint="eastAsia"/>
          <w:b/>
        </w:rPr>
        <w:t>次</w:t>
      </w:r>
      <w:r w:rsidR="006A3293" w:rsidRPr="009C3256">
        <w:rPr>
          <w:rFonts w:hint="eastAsia"/>
          <w:b/>
        </w:rPr>
        <w:t>已達觀光署</w:t>
      </w:r>
      <w:r w:rsidR="00547E20" w:rsidRPr="009C3256">
        <w:rPr>
          <w:rFonts w:hint="eastAsia"/>
          <w:b/>
        </w:rPr>
        <w:t>所訂</w:t>
      </w:r>
      <w:r w:rsidR="006A3293" w:rsidRPr="009C3256">
        <w:rPr>
          <w:rFonts w:hint="eastAsia"/>
          <w:b/>
        </w:rPr>
        <w:t>目標，惟</w:t>
      </w:r>
      <w:r w:rsidR="006A3293" w:rsidRPr="009C3256">
        <w:rPr>
          <w:rFonts w:hAnsi="標楷體" w:hint="eastAsia"/>
          <w:b/>
          <w:lang w:eastAsia="zh-HK"/>
        </w:rPr>
        <w:t>與國際趨勢相比</w:t>
      </w:r>
      <w:r w:rsidR="0059643A" w:rsidRPr="009C3256">
        <w:rPr>
          <w:rFonts w:hAnsi="標楷體" w:hint="eastAsia"/>
          <w:b/>
          <w:lang w:eastAsia="zh-HK"/>
        </w:rPr>
        <w:t>回復</w:t>
      </w:r>
      <w:r w:rsidR="006A3293" w:rsidRPr="009C3256">
        <w:rPr>
          <w:rFonts w:hAnsi="標楷體" w:hint="eastAsia"/>
          <w:b/>
          <w:lang w:eastAsia="zh-HK"/>
        </w:rPr>
        <w:t>仍較為緩慢</w:t>
      </w:r>
    </w:p>
    <w:p w:rsidR="00B9205A" w:rsidRPr="009C3256" w:rsidRDefault="000352F6" w:rsidP="0059643A">
      <w:pPr>
        <w:pStyle w:val="21"/>
        <w:ind w:left="850" w:firstLine="566"/>
      </w:pPr>
      <w:r w:rsidRPr="009C3256">
        <w:rPr>
          <w:rFonts w:hint="eastAsia"/>
        </w:rPr>
        <w:t>我國因受</w:t>
      </w:r>
      <w:r w:rsidR="0059643A" w:rsidRPr="009C3256">
        <w:rPr>
          <w:rFonts w:hint="eastAsia"/>
        </w:rPr>
        <w:t>Co</w:t>
      </w:r>
      <w:r w:rsidR="0059643A" w:rsidRPr="009C3256">
        <w:t>vid-19</w:t>
      </w:r>
      <w:r w:rsidRPr="009C3256">
        <w:rPr>
          <w:rFonts w:hint="eastAsia"/>
        </w:rPr>
        <w:t>疫情影響並自111年10月13日起始開放國境</w:t>
      </w:r>
      <w:r w:rsidRPr="009C3256">
        <w:rPr>
          <w:rStyle w:val="afe"/>
        </w:rPr>
        <w:footnoteReference w:id="1"/>
      </w:r>
      <w:r w:rsidRPr="009C3256">
        <w:rPr>
          <w:rFonts w:hint="eastAsia"/>
        </w:rPr>
        <w:t>，</w:t>
      </w:r>
      <w:r w:rsidR="00B9205A" w:rsidRPr="009C3256">
        <w:rPr>
          <w:rFonts w:hint="eastAsia"/>
        </w:rPr>
        <w:t>致</w:t>
      </w:r>
      <w:r w:rsidRPr="009C3256">
        <w:rPr>
          <w:rFonts w:hint="eastAsia"/>
        </w:rPr>
        <w:t>109至111年度來臺旅客</w:t>
      </w:r>
      <w:r w:rsidR="00B9205A" w:rsidRPr="009C3256">
        <w:rPr>
          <w:rFonts w:hint="eastAsia"/>
        </w:rPr>
        <w:t>數</w:t>
      </w:r>
      <w:r w:rsidRPr="009C3256">
        <w:rPr>
          <w:rFonts w:hint="eastAsia"/>
        </w:rPr>
        <w:t>大幅減少，</w:t>
      </w:r>
      <w:r w:rsidR="00F551CC" w:rsidRPr="009C3256">
        <w:rPr>
          <w:rFonts w:hint="eastAsia"/>
        </w:rPr>
        <w:t>據觀光</w:t>
      </w:r>
      <w:r w:rsidR="00B9205A" w:rsidRPr="009C3256">
        <w:rPr>
          <w:rFonts w:hint="eastAsia"/>
        </w:rPr>
        <w:t>統計</w:t>
      </w:r>
      <w:r w:rsidRPr="009C3256">
        <w:rPr>
          <w:rFonts w:hint="eastAsia"/>
        </w:rPr>
        <w:t>，</w:t>
      </w:r>
      <w:r w:rsidR="00B9205A" w:rsidRPr="009C3256">
        <w:rPr>
          <w:rFonts w:hint="eastAsia"/>
        </w:rPr>
        <w:t>112年度來臺旅客數648.70萬</w:t>
      </w:r>
      <w:r w:rsidR="00B9205A" w:rsidRPr="009C3256">
        <w:t>人</w:t>
      </w:r>
      <w:r w:rsidR="00B9205A" w:rsidRPr="009C3256">
        <w:rPr>
          <w:rFonts w:hint="eastAsia"/>
        </w:rPr>
        <w:t>，已達觀光署所訂112年度600萬人次之目標，</w:t>
      </w:r>
      <w:r w:rsidR="0059643A" w:rsidRPr="009C3256">
        <w:rPr>
          <w:rFonts w:hint="eastAsia"/>
        </w:rPr>
        <w:t>惟</w:t>
      </w:r>
      <w:r w:rsidR="00B9205A" w:rsidRPr="009C3256">
        <w:rPr>
          <w:rFonts w:hint="eastAsia"/>
        </w:rPr>
        <w:t>僅達</w:t>
      </w:r>
      <w:r w:rsidR="005B66FD" w:rsidRPr="009C3256">
        <w:rPr>
          <w:rFonts w:hint="eastAsia"/>
        </w:rPr>
        <w:t>疫情前</w:t>
      </w:r>
      <w:r w:rsidR="00F551CC" w:rsidRPr="009C3256">
        <w:rPr>
          <w:rFonts w:hint="eastAsia"/>
        </w:rPr>
        <w:t>1</w:t>
      </w:r>
      <w:r w:rsidR="00F551CC" w:rsidRPr="009C3256">
        <w:t>08</w:t>
      </w:r>
      <w:r w:rsidR="00F551CC" w:rsidRPr="009C3256">
        <w:rPr>
          <w:rFonts w:hint="eastAsia"/>
        </w:rPr>
        <w:t>年度</w:t>
      </w:r>
      <w:r w:rsidR="00F551CC" w:rsidRPr="009C3256">
        <w:rPr>
          <w:rStyle w:val="afe"/>
        </w:rPr>
        <w:footnoteReference w:id="2"/>
      </w:r>
      <w:r w:rsidR="00B9205A" w:rsidRPr="009C3256">
        <w:rPr>
          <w:rFonts w:hint="eastAsia"/>
        </w:rPr>
        <w:t>1</w:t>
      </w:r>
      <w:r w:rsidR="00B9205A" w:rsidRPr="009C3256">
        <w:t>,186.41</w:t>
      </w:r>
      <w:r w:rsidR="00B9205A" w:rsidRPr="009C3256">
        <w:rPr>
          <w:rFonts w:hint="eastAsia"/>
        </w:rPr>
        <w:t>萬人次之5</w:t>
      </w:r>
      <w:r w:rsidR="00B9205A" w:rsidRPr="009C3256">
        <w:t>4</w:t>
      </w:r>
      <w:r w:rsidR="00B9205A" w:rsidRPr="009C3256">
        <w:rPr>
          <w:rFonts w:hint="eastAsia"/>
        </w:rPr>
        <w:t>.</w:t>
      </w:r>
      <w:r w:rsidR="00B9205A" w:rsidRPr="009C3256">
        <w:t>68</w:t>
      </w:r>
      <w:r w:rsidR="00B9205A" w:rsidRPr="009C3256">
        <w:rPr>
          <w:rFonts w:hint="eastAsia"/>
        </w:rPr>
        <w:t>%</w:t>
      </w:r>
      <w:r w:rsidR="003F3EA3" w:rsidRPr="009C3256">
        <w:rPr>
          <w:rFonts w:hint="eastAsia"/>
        </w:rPr>
        <w:t xml:space="preserve"> </w:t>
      </w:r>
      <w:r w:rsidR="00F551CC" w:rsidRPr="009C3256">
        <w:rPr>
          <w:rFonts w:hint="eastAsia"/>
        </w:rPr>
        <w:t>(詳</w:t>
      </w:r>
      <w:r w:rsidR="00B9205A" w:rsidRPr="009C3256">
        <w:rPr>
          <w:rFonts w:hint="eastAsia"/>
        </w:rPr>
        <w:t>表1)，</w:t>
      </w:r>
      <w:r w:rsidR="0059643A" w:rsidRPr="009C3256">
        <w:rPr>
          <w:rFonts w:hint="eastAsia"/>
        </w:rPr>
        <w:t>故</w:t>
      </w:r>
      <w:r w:rsidR="00B9205A" w:rsidRPr="009C3256">
        <w:rPr>
          <w:rFonts w:hint="eastAsia"/>
        </w:rPr>
        <w:t>112年度來臺</w:t>
      </w:r>
      <w:r w:rsidR="00FE6877" w:rsidRPr="009C3256">
        <w:rPr>
          <w:rFonts w:hint="eastAsia"/>
        </w:rPr>
        <w:t>旅</w:t>
      </w:r>
      <w:r w:rsidR="00B9205A" w:rsidRPr="009C3256">
        <w:rPr>
          <w:rFonts w:hint="eastAsia"/>
        </w:rPr>
        <w:t>客數僅回復至疫情前5成水準。</w:t>
      </w:r>
    </w:p>
    <w:p w:rsidR="00B9205A" w:rsidRPr="009C3256" w:rsidRDefault="00B9205A" w:rsidP="0059643A">
      <w:pPr>
        <w:pStyle w:val="21"/>
        <w:ind w:left="850" w:firstLine="566"/>
        <w:rPr>
          <w:strike/>
          <w:lang w:eastAsia="zh-HK"/>
        </w:rPr>
      </w:pPr>
      <w:r w:rsidRPr="009C3256">
        <w:rPr>
          <w:rFonts w:hint="eastAsia"/>
          <w:lang w:eastAsia="zh-HK"/>
        </w:rPr>
        <w:t>112年度來臺旅客觀光支出為86</w:t>
      </w:r>
      <w:r w:rsidRPr="009C3256">
        <w:rPr>
          <w:lang w:eastAsia="zh-HK"/>
        </w:rPr>
        <w:t>.61</w:t>
      </w:r>
      <w:r w:rsidRPr="009C3256">
        <w:rPr>
          <w:rFonts w:hint="eastAsia"/>
          <w:lang w:eastAsia="zh-HK"/>
        </w:rPr>
        <w:t>億美元，為疫情前108年度144.11億</w:t>
      </w:r>
      <w:r w:rsidR="009C0EC2" w:rsidRPr="009C3256">
        <w:rPr>
          <w:rFonts w:hint="eastAsia"/>
          <w:lang w:eastAsia="zh-HK"/>
        </w:rPr>
        <w:t>美元</w:t>
      </w:r>
      <w:r w:rsidRPr="009C3256">
        <w:rPr>
          <w:rFonts w:hint="eastAsia"/>
          <w:lang w:eastAsia="zh-HK"/>
        </w:rPr>
        <w:t>之60.10%</w:t>
      </w:r>
      <w:r w:rsidR="005B66FD" w:rsidRPr="009C3256">
        <w:rPr>
          <w:rFonts w:hint="eastAsia"/>
          <w:lang w:eastAsia="zh-HK"/>
        </w:rPr>
        <w:t>；</w:t>
      </w:r>
      <w:r w:rsidRPr="009C3256">
        <w:rPr>
          <w:rFonts w:hint="eastAsia"/>
          <w:lang w:eastAsia="zh-HK"/>
        </w:rPr>
        <w:t>112年度每一旅客平均在臺消費額1,335.15美元，為疫情前108年度1</w:t>
      </w:r>
      <w:r w:rsidRPr="009C3256">
        <w:rPr>
          <w:lang w:eastAsia="zh-HK"/>
        </w:rPr>
        <w:t>,214.64</w:t>
      </w:r>
      <w:r w:rsidRPr="009C3256">
        <w:rPr>
          <w:rFonts w:hint="eastAsia"/>
          <w:lang w:eastAsia="zh-HK"/>
        </w:rPr>
        <w:t>美元之109.92%</w:t>
      </w:r>
      <w:r w:rsidR="005B66FD" w:rsidRPr="009C3256">
        <w:rPr>
          <w:rFonts w:hint="eastAsia"/>
          <w:lang w:eastAsia="zh-HK"/>
        </w:rPr>
        <w:t>，</w:t>
      </w:r>
      <w:r w:rsidR="00952FA7" w:rsidRPr="009C3256">
        <w:rPr>
          <w:rFonts w:hint="eastAsia"/>
        </w:rPr>
        <w:t>112</w:t>
      </w:r>
      <w:r w:rsidR="00952FA7" w:rsidRPr="009C3256">
        <w:rPr>
          <w:rFonts w:hint="eastAsia"/>
          <w:lang w:eastAsia="zh-HK"/>
        </w:rPr>
        <w:t>年度來臺旅客平均停留夜數</w:t>
      </w:r>
      <w:r w:rsidR="00952FA7" w:rsidRPr="009C3256">
        <w:rPr>
          <w:rFonts w:hint="eastAsia"/>
        </w:rPr>
        <w:t>7.39天，為疫情前108年度6.20天之119.19%</w:t>
      </w:r>
      <w:r w:rsidR="005B66FD" w:rsidRPr="009C3256">
        <w:rPr>
          <w:rFonts w:hint="eastAsia"/>
          <w:lang w:eastAsia="zh-HK"/>
        </w:rPr>
        <w:t>，</w:t>
      </w:r>
      <w:r w:rsidR="00FE6877" w:rsidRPr="009C3256">
        <w:rPr>
          <w:rFonts w:hint="eastAsia"/>
          <w:lang w:eastAsia="zh-HK"/>
        </w:rPr>
        <w:t>且</w:t>
      </w:r>
      <w:r w:rsidR="00952FA7" w:rsidRPr="009C3256">
        <w:rPr>
          <w:rFonts w:hint="eastAsia"/>
          <w:lang w:eastAsia="zh-HK"/>
        </w:rPr>
        <w:t>每一旅客平均在臺消費額及來臺旅客平均停留天數均係近</w:t>
      </w:r>
      <w:r w:rsidR="00952FA7" w:rsidRPr="009C3256">
        <w:rPr>
          <w:rFonts w:hint="eastAsia"/>
        </w:rPr>
        <w:t>5</w:t>
      </w:r>
      <w:r w:rsidR="00952FA7" w:rsidRPr="009C3256">
        <w:rPr>
          <w:rFonts w:hint="eastAsia"/>
          <w:lang w:eastAsia="zh-HK"/>
        </w:rPr>
        <w:t>年以來</w:t>
      </w:r>
      <w:r w:rsidRPr="009C3256">
        <w:rPr>
          <w:rFonts w:hint="eastAsia"/>
          <w:lang w:eastAsia="zh-HK"/>
        </w:rPr>
        <w:t>最高</w:t>
      </w:r>
      <w:r w:rsidRPr="009C3256">
        <w:t>(109</w:t>
      </w:r>
      <w:r w:rsidR="009C0EC2" w:rsidRPr="009C3256">
        <w:rPr>
          <w:rFonts w:hint="eastAsia"/>
        </w:rPr>
        <w:t>至</w:t>
      </w:r>
      <w:r w:rsidRPr="009C3256">
        <w:rPr>
          <w:rFonts w:hint="eastAsia"/>
        </w:rPr>
        <w:t>11</w:t>
      </w:r>
      <w:r w:rsidR="009C0EC2" w:rsidRPr="009C3256">
        <w:rPr>
          <w:rFonts w:hint="eastAsia"/>
        </w:rPr>
        <w:t>1</w:t>
      </w:r>
      <w:r w:rsidRPr="009C3256">
        <w:rPr>
          <w:rFonts w:hint="eastAsia"/>
        </w:rPr>
        <w:t>年</w:t>
      </w:r>
      <w:r w:rsidR="00FE6877" w:rsidRPr="009C3256">
        <w:rPr>
          <w:rFonts w:hint="eastAsia"/>
        </w:rPr>
        <w:t>度</w:t>
      </w:r>
      <w:r w:rsidRPr="009C3256">
        <w:rPr>
          <w:rFonts w:hint="eastAsia"/>
        </w:rPr>
        <w:t>不</w:t>
      </w:r>
      <w:r w:rsidR="00952FA7" w:rsidRPr="009C3256">
        <w:rPr>
          <w:rFonts w:hint="eastAsia"/>
        </w:rPr>
        <w:t>納入</w:t>
      </w:r>
      <w:r w:rsidRPr="009C3256">
        <w:rPr>
          <w:rFonts w:hint="eastAsia"/>
        </w:rPr>
        <w:t>觀察期間</w:t>
      </w:r>
      <w:r w:rsidRPr="009C3256">
        <w:rPr>
          <w:rStyle w:val="afe"/>
        </w:rPr>
        <w:footnoteReference w:id="3"/>
      </w:r>
      <w:r w:rsidRPr="009C3256">
        <w:rPr>
          <w:rFonts w:hint="eastAsia"/>
        </w:rPr>
        <w:t>)</w:t>
      </w:r>
      <w:r w:rsidR="00952FA7" w:rsidRPr="009C3256">
        <w:rPr>
          <w:rFonts w:hint="eastAsia"/>
          <w:lang w:eastAsia="zh-HK"/>
        </w:rPr>
        <w:t>，</w:t>
      </w:r>
      <w:r w:rsidR="00952FA7" w:rsidRPr="009C3256">
        <w:rPr>
          <w:rFonts w:cs="新細明體" w:hint="eastAsia"/>
          <w:lang w:eastAsia="zh-HK"/>
        </w:rPr>
        <w:t>惟</w:t>
      </w:r>
      <w:r w:rsidR="005B66FD" w:rsidRPr="009C3256">
        <w:rPr>
          <w:rFonts w:cs="新細明體" w:hint="eastAsia"/>
          <w:lang w:eastAsia="zh-HK"/>
        </w:rPr>
        <w:t>因</w:t>
      </w:r>
      <w:r w:rsidR="00952FA7" w:rsidRPr="009C3256">
        <w:rPr>
          <w:rFonts w:cs="新細明體" w:hint="eastAsia"/>
          <w:lang w:eastAsia="zh-HK"/>
        </w:rPr>
        <w:t>來</w:t>
      </w:r>
      <w:r w:rsidR="005B66FD" w:rsidRPr="009C3256">
        <w:rPr>
          <w:rFonts w:cs="新細明體" w:hint="eastAsia"/>
          <w:lang w:eastAsia="zh-HK"/>
        </w:rPr>
        <w:t>臺</w:t>
      </w:r>
      <w:r w:rsidR="00952FA7" w:rsidRPr="009C3256">
        <w:rPr>
          <w:rFonts w:cs="新細明體" w:hint="eastAsia"/>
          <w:lang w:eastAsia="zh-HK"/>
        </w:rPr>
        <w:t>旅</w:t>
      </w:r>
      <w:r w:rsidRPr="009C3256">
        <w:rPr>
          <w:rFonts w:cs="新細明體" w:hint="eastAsia"/>
          <w:lang w:eastAsia="zh-HK"/>
        </w:rPr>
        <w:t>客數</w:t>
      </w:r>
      <w:r w:rsidR="00952FA7" w:rsidRPr="009C3256">
        <w:rPr>
          <w:rFonts w:cs="新細明體" w:hint="eastAsia"/>
          <w:lang w:eastAsia="zh-HK"/>
        </w:rPr>
        <w:t>仍大幅減少</w:t>
      </w:r>
      <w:r w:rsidRPr="009C3256">
        <w:rPr>
          <w:rFonts w:cs="新細明體" w:hint="eastAsia"/>
          <w:lang w:eastAsia="zh-HK"/>
        </w:rPr>
        <w:t>，</w:t>
      </w:r>
      <w:r w:rsidRPr="009C3256">
        <w:rPr>
          <w:rFonts w:hint="eastAsia"/>
          <w:lang w:eastAsia="zh-HK"/>
        </w:rPr>
        <w:t>致來臺旅客整體觀</w:t>
      </w:r>
      <w:r w:rsidRPr="009C3256">
        <w:rPr>
          <w:rFonts w:hint="eastAsia"/>
          <w:lang w:eastAsia="zh-HK"/>
        </w:rPr>
        <w:lastRenderedPageBreak/>
        <w:t>光支出僅回復至</w:t>
      </w:r>
      <w:r w:rsidR="00952FA7" w:rsidRPr="009C3256">
        <w:rPr>
          <w:rFonts w:hint="eastAsia"/>
          <w:lang w:eastAsia="zh-HK"/>
        </w:rPr>
        <w:t>疫情前</w:t>
      </w:r>
      <w:r w:rsidRPr="009C3256">
        <w:rPr>
          <w:rFonts w:hint="eastAsia"/>
        </w:rPr>
        <w:t>6</w:t>
      </w:r>
      <w:r w:rsidRPr="009C3256">
        <w:rPr>
          <w:rFonts w:hint="eastAsia"/>
          <w:lang w:eastAsia="zh-HK"/>
        </w:rPr>
        <w:t>成</w:t>
      </w:r>
      <w:r w:rsidR="00952FA7" w:rsidRPr="009C3256">
        <w:rPr>
          <w:rFonts w:hint="eastAsia"/>
          <w:lang w:eastAsia="zh-HK"/>
        </w:rPr>
        <w:t>水準</w:t>
      </w:r>
      <w:r w:rsidRPr="009C3256">
        <w:rPr>
          <w:rFonts w:hint="eastAsia"/>
          <w:lang w:eastAsia="zh-HK"/>
        </w:rPr>
        <w:t>，對照</w:t>
      </w:r>
      <w:r w:rsidR="005B66FD" w:rsidRPr="009C3256">
        <w:rPr>
          <w:rFonts w:hint="eastAsia"/>
        </w:rPr>
        <w:t>112</w:t>
      </w:r>
      <w:r w:rsidRPr="009C3256">
        <w:rPr>
          <w:rFonts w:hint="eastAsia"/>
          <w:lang w:eastAsia="zh-HK"/>
        </w:rPr>
        <w:t>年</w:t>
      </w:r>
      <w:r w:rsidR="00FE6877" w:rsidRPr="009C3256">
        <w:rPr>
          <w:rFonts w:hint="eastAsia"/>
          <w:lang w:eastAsia="zh-HK"/>
        </w:rPr>
        <w:t>度</w:t>
      </w:r>
      <w:r w:rsidRPr="009C3256">
        <w:rPr>
          <w:rFonts w:hint="eastAsia"/>
          <w:lang w:eastAsia="zh-HK"/>
        </w:rPr>
        <w:t>國際觀光收入</w:t>
      </w:r>
      <w:r w:rsidR="00952FA7" w:rsidRPr="009C3256">
        <w:rPr>
          <w:rFonts w:hint="eastAsia"/>
          <w:lang w:eastAsia="zh-HK"/>
        </w:rPr>
        <w:t>已</w:t>
      </w:r>
      <w:r w:rsidRPr="009C3256">
        <w:rPr>
          <w:rFonts w:hint="eastAsia"/>
          <w:lang w:eastAsia="zh-HK"/>
        </w:rPr>
        <w:t>完全恢復</w:t>
      </w:r>
      <w:r w:rsidR="005B66FD" w:rsidRPr="009C3256">
        <w:rPr>
          <w:rFonts w:hint="eastAsia"/>
          <w:lang w:eastAsia="zh-HK"/>
        </w:rPr>
        <w:t>到</w:t>
      </w:r>
      <w:r w:rsidRPr="009C3256">
        <w:rPr>
          <w:rFonts w:hint="eastAsia"/>
          <w:lang w:eastAsia="zh-HK"/>
        </w:rPr>
        <w:t>疫情前水準</w:t>
      </w:r>
      <w:r w:rsidR="00D15FAD" w:rsidRPr="009C3256">
        <w:rPr>
          <w:rFonts w:hint="eastAsia"/>
          <w:lang w:eastAsia="zh-HK"/>
        </w:rPr>
        <w:t>，</w:t>
      </w:r>
      <w:r w:rsidRPr="009C3256">
        <w:rPr>
          <w:rFonts w:hint="eastAsia"/>
          <w:lang w:eastAsia="zh-HK"/>
        </w:rPr>
        <w:t>及亞太地區入境收入達疫情前78%</w:t>
      </w:r>
      <w:r w:rsidR="00D15FAD" w:rsidRPr="009C3256">
        <w:rPr>
          <w:rFonts w:hint="eastAsia"/>
          <w:lang w:eastAsia="zh-HK"/>
        </w:rPr>
        <w:t>之情</w:t>
      </w:r>
      <w:r w:rsidR="00952FA7" w:rsidRPr="009C3256">
        <w:rPr>
          <w:rFonts w:hint="eastAsia"/>
          <w:lang w:eastAsia="zh-HK"/>
        </w:rPr>
        <w:t>況</w:t>
      </w:r>
      <w:r w:rsidRPr="009C3256">
        <w:rPr>
          <w:vertAlign w:val="superscript"/>
          <w:lang w:eastAsia="zh-HK"/>
        </w:rPr>
        <w:footnoteReference w:id="4"/>
      </w:r>
      <w:r w:rsidRPr="009C3256">
        <w:rPr>
          <w:rFonts w:hint="eastAsia"/>
          <w:lang w:eastAsia="zh-HK"/>
        </w:rPr>
        <w:t>，</w:t>
      </w:r>
      <w:bookmarkStart w:id="4" w:name="_Hlk176436468"/>
      <w:r w:rsidR="00F4315E" w:rsidRPr="009C3256">
        <w:rPr>
          <w:rFonts w:hint="eastAsia"/>
          <w:lang w:eastAsia="zh-HK"/>
        </w:rPr>
        <w:t>我國賺取來臺旅客觀光收入</w:t>
      </w:r>
      <w:r w:rsidRPr="009C3256">
        <w:rPr>
          <w:rFonts w:hint="eastAsia"/>
          <w:lang w:eastAsia="zh-HK"/>
        </w:rPr>
        <w:t>復</w:t>
      </w:r>
      <w:r w:rsidR="005B66FD" w:rsidRPr="009C3256">
        <w:rPr>
          <w:rFonts w:hint="eastAsia"/>
          <w:lang w:eastAsia="zh-HK"/>
        </w:rPr>
        <w:t>原</w:t>
      </w:r>
      <w:r w:rsidRPr="009C3256">
        <w:rPr>
          <w:rFonts w:hint="eastAsia"/>
          <w:lang w:eastAsia="zh-HK"/>
        </w:rPr>
        <w:t>速度與國際趨勢相比較為緩慢</w:t>
      </w:r>
      <w:bookmarkEnd w:id="4"/>
      <w:r w:rsidRPr="009C3256">
        <w:rPr>
          <w:rFonts w:hint="eastAsia"/>
          <w:lang w:eastAsia="zh-HK"/>
        </w:rPr>
        <w:t>。</w:t>
      </w:r>
    </w:p>
    <w:p w:rsidR="00F551CC" w:rsidRPr="009C3256" w:rsidRDefault="00F551CC" w:rsidP="007F222F">
      <w:pPr>
        <w:ind w:leftChars="0" w:firstLineChars="0" w:hanging="200"/>
        <w:rPr>
          <w:sz w:val="24"/>
          <w:szCs w:val="24"/>
        </w:rPr>
      </w:pPr>
      <w:r w:rsidRPr="009C3256">
        <w:rPr>
          <w:rFonts w:hint="eastAsia"/>
          <w:b/>
        </w:rPr>
        <w:t>表</w:t>
      </w:r>
      <w:r w:rsidR="004B5371" w:rsidRPr="009C3256">
        <w:rPr>
          <w:rFonts w:hint="eastAsia"/>
          <w:b/>
        </w:rPr>
        <w:t>1</w:t>
      </w:r>
      <w:r w:rsidRPr="009C3256">
        <w:rPr>
          <w:rFonts w:hint="eastAsia"/>
          <w:b/>
        </w:rPr>
        <w:t xml:space="preserve">　</w:t>
      </w:r>
      <w:r w:rsidR="0059643A" w:rsidRPr="009C3256">
        <w:rPr>
          <w:rFonts w:hint="eastAsia"/>
          <w:b/>
        </w:rPr>
        <w:t>近年</w:t>
      </w:r>
      <w:r w:rsidRPr="009C3256">
        <w:rPr>
          <w:rFonts w:hint="eastAsia"/>
          <w:b/>
          <w:lang w:eastAsia="zh-HK"/>
        </w:rPr>
        <w:t>來臺旅客觀光支出統計表</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276"/>
        <w:gridCol w:w="1559"/>
        <w:gridCol w:w="1518"/>
        <w:gridCol w:w="1639"/>
        <w:gridCol w:w="1810"/>
      </w:tblGrid>
      <w:tr w:rsidR="00ED23C4" w:rsidRPr="009C3256" w:rsidTr="00952FA7">
        <w:trPr>
          <w:trHeight w:val="20"/>
          <w:tblHeader/>
        </w:trPr>
        <w:tc>
          <w:tcPr>
            <w:tcW w:w="709"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年度</w:t>
            </w:r>
          </w:p>
        </w:tc>
        <w:tc>
          <w:tcPr>
            <w:tcW w:w="1276"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來臺人次</w:t>
            </w:r>
          </w:p>
        </w:tc>
        <w:tc>
          <w:tcPr>
            <w:tcW w:w="1559" w:type="dxa"/>
            <w:shd w:val="clear" w:color="auto" w:fill="auto"/>
            <w:vAlign w:val="center"/>
            <w:hideMark/>
          </w:tcPr>
          <w:p w:rsidR="00E0783F" w:rsidRPr="009C3256" w:rsidRDefault="00F551CC" w:rsidP="000B6D40">
            <w:pPr>
              <w:pStyle w:val="142"/>
              <w:jc w:val="distribute"/>
              <w:rPr>
                <w:bCs/>
                <w:snapToGrid/>
              </w:rPr>
            </w:pPr>
            <w:r w:rsidRPr="009C3256">
              <w:rPr>
                <w:rFonts w:hint="eastAsia"/>
                <w:bCs/>
                <w:snapToGrid/>
              </w:rPr>
              <w:t>來臺旅客觀光支出</w:t>
            </w:r>
          </w:p>
          <w:p w:rsidR="00F551CC" w:rsidRPr="009C3256" w:rsidRDefault="00F551CC" w:rsidP="000B6D40">
            <w:pPr>
              <w:pStyle w:val="142"/>
              <w:jc w:val="distribute"/>
              <w:rPr>
                <w:rFonts w:hint="eastAsia"/>
                <w:bCs/>
                <w:snapToGrid/>
              </w:rPr>
            </w:pPr>
            <w:r w:rsidRPr="009C3256">
              <w:rPr>
                <w:rFonts w:hint="eastAsia"/>
                <w:bCs/>
                <w:snapToGrid/>
              </w:rPr>
              <w:t>(億美元)</w:t>
            </w:r>
          </w:p>
        </w:tc>
        <w:tc>
          <w:tcPr>
            <w:tcW w:w="1518" w:type="dxa"/>
            <w:vAlign w:val="center"/>
          </w:tcPr>
          <w:p w:rsidR="00F551CC" w:rsidRPr="009C3256" w:rsidRDefault="00F551CC" w:rsidP="000B6D40">
            <w:pPr>
              <w:pStyle w:val="142"/>
              <w:jc w:val="distribute"/>
              <w:rPr>
                <w:rFonts w:hint="eastAsia"/>
                <w:bCs/>
                <w:snapToGrid/>
              </w:rPr>
            </w:pPr>
            <w:r w:rsidRPr="009C3256">
              <w:rPr>
                <w:rFonts w:hint="eastAsia"/>
                <w:bCs/>
                <w:snapToGrid/>
              </w:rPr>
              <w:t>每一旅客每日平均消費額(美元)</w:t>
            </w:r>
          </w:p>
        </w:tc>
        <w:tc>
          <w:tcPr>
            <w:tcW w:w="1639"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每一旅客</w:t>
            </w:r>
            <w:r w:rsidRPr="009C3256">
              <w:rPr>
                <w:rFonts w:hint="eastAsia"/>
                <w:bCs/>
                <w:snapToGrid/>
              </w:rPr>
              <w:br/>
              <w:t>平均在臺</w:t>
            </w:r>
            <w:r w:rsidRPr="009C3256">
              <w:rPr>
                <w:rFonts w:hint="eastAsia"/>
                <w:bCs/>
                <w:snapToGrid/>
              </w:rPr>
              <w:br/>
              <w:t>消費額(美元)</w:t>
            </w:r>
          </w:p>
        </w:tc>
        <w:tc>
          <w:tcPr>
            <w:tcW w:w="1810"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每一旅客</w:t>
            </w:r>
            <w:r w:rsidRPr="009C3256">
              <w:rPr>
                <w:rFonts w:hint="eastAsia"/>
                <w:bCs/>
                <w:snapToGrid/>
              </w:rPr>
              <w:br/>
              <w:t>平均在臺</w:t>
            </w:r>
            <w:r w:rsidRPr="009C3256">
              <w:rPr>
                <w:rFonts w:hint="eastAsia"/>
                <w:bCs/>
                <w:snapToGrid/>
              </w:rPr>
              <w:br/>
              <w:t>停留夜數</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104</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10,439,785</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143.88</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207.87</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1,378.18</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6.63</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105</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10,690,279</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133.74</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192.77</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1,251.08</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6.49</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106</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10,739,601</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123.15</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179.45</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1,146.69</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6.39</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107</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11,066,707</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137.05</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191.70</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1,238.38</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6.46</w:t>
            </w:r>
          </w:p>
        </w:tc>
      </w:tr>
      <w:tr w:rsidR="00ED23C4" w:rsidRPr="009C3256" w:rsidTr="00952FA7">
        <w:trPr>
          <w:trHeight w:val="20"/>
        </w:trPr>
        <w:tc>
          <w:tcPr>
            <w:tcW w:w="709" w:type="dxa"/>
            <w:tcBorders>
              <w:bottom w:val="double" w:sz="4" w:space="0" w:color="auto"/>
            </w:tcBorders>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108</w:t>
            </w:r>
          </w:p>
        </w:tc>
        <w:tc>
          <w:tcPr>
            <w:tcW w:w="1276"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11,864,105</w:t>
            </w:r>
          </w:p>
        </w:tc>
        <w:tc>
          <w:tcPr>
            <w:tcW w:w="1559"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144.11</w:t>
            </w:r>
          </w:p>
        </w:tc>
        <w:tc>
          <w:tcPr>
            <w:tcW w:w="1518" w:type="dxa"/>
            <w:tcBorders>
              <w:bottom w:val="double" w:sz="4" w:space="0" w:color="auto"/>
            </w:tcBorders>
            <w:vAlign w:val="bottom"/>
          </w:tcPr>
          <w:p w:rsidR="00F551CC" w:rsidRPr="009C3256" w:rsidRDefault="00F551CC" w:rsidP="000B6D40">
            <w:pPr>
              <w:pStyle w:val="142"/>
              <w:jc w:val="right"/>
              <w:rPr>
                <w:rFonts w:hint="eastAsia"/>
                <w:snapToGrid/>
              </w:rPr>
            </w:pPr>
            <w:r w:rsidRPr="009C3256">
              <w:rPr>
                <w:rFonts w:hint="eastAsia"/>
                <w:snapToGrid/>
              </w:rPr>
              <w:t>195.91</w:t>
            </w:r>
          </w:p>
        </w:tc>
        <w:tc>
          <w:tcPr>
            <w:tcW w:w="1639"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1,214.64</w:t>
            </w:r>
          </w:p>
        </w:tc>
        <w:tc>
          <w:tcPr>
            <w:tcW w:w="1810"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6.20</w:t>
            </w:r>
          </w:p>
        </w:tc>
      </w:tr>
      <w:tr w:rsidR="00ED23C4" w:rsidRPr="009C3256" w:rsidTr="00952FA7">
        <w:trPr>
          <w:trHeight w:val="20"/>
        </w:trPr>
        <w:tc>
          <w:tcPr>
            <w:tcW w:w="709" w:type="dxa"/>
            <w:tcBorders>
              <w:top w:val="double" w:sz="4" w:space="0" w:color="auto"/>
              <w:bottom w:val="single" w:sz="6" w:space="0" w:color="auto"/>
            </w:tcBorders>
            <w:shd w:val="clear" w:color="auto" w:fill="auto"/>
            <w:noWrap/>
            <w:vAlign w:val="center"/>
          </w:tcPr>
          <w:p w:rsidR="00A27204" w:rsidRPr="009C3256" w:rsidRDefault="00A27204" w:rsidP="00A27204">
            <w:pPr>
              <w:pStyle w:val="142"/>
              <w:rPr>
                <w:rFonts w:hint="eastAsia"/>
                <w:snapToGrid/>
              </w:rPr>
            </w:pPr>
            <w:r w:rsidRPr="009C3256">
              <w:rPr>
                <w:rFonts w:hint="eastAsia"/>
                <w:snapToGrid/>
              </w:rPr>
              <w:t>110</w:t>
            </w:r>
          </w:p>
        </w:tc>
        <w:tc>
          <w:tcPr>
            <w:tcW w:w="1276"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140,479</w:t>
            </w:r>
          </w:p>
        </w:tc>
        <w:tc>
          <w:tcPr>
            <w:tcW w:w="1559"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7.45</w:t>
            </w:r>
          </w:p>
        </w:tc>
        <w:tc>
          <w:tcPr>
            <w:tcW w:w="1518" w:type="dxa"/>
            <w:tcBorders>
              <w:top w:val="double" w:sz="4" w:space="0" w:color="auto"/>
              <w:bottom w:val="single" w:sz="6" w:space="0" w:color="auto"/>
            </w:tcBorders>
            <w:vAlign w:val="bottom"/>
          </w:tcPr>
          <w:p w:rsidR="00A27204" w:rsidRPr="009C3256" w:rsidRDefault="00A27204" w:rsidP="00A27204">
            <w:pPr>
              <w:pStyle w:val="142"/>
              <w:jc w:val="right"/>
              <w:rPr>
                <w:rFonts w:hint="eastAsia"/>
                <w:snapToGrid/>
              </w:rPr>
            </w:pPr>
            <w:r w:rsidRPr="009C3256">
              <w:rPr>
                <w:rFonts w:hint="eastAsia"/>
                <w:snapToGrid/>
              </w:rPr>
              <w:t>90.54</w:t>
            </w:r>
          </w:p>
        </w:tc>
        <w:tc>
          <w:tcPr>
            <w:tcW w:w="1639"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5,301.12</w:t>
            </w:r>
          </w:p>
        </w:tc>
        <w:tc>
          <w:tcPr>
            <w:tcW w:w="1810"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58.55</w:t>
            </w:r>
          </w:p>
        </w:tc>
      </w:tr>
      <w:tr w:rsidR="00ED23C4" w:rsidRPr="009C3256" w:rsidTr="00952FA7">
        <w:trPr>
          <w:trHeight w:val="20"/>
        </w:trPr>
        <w:tc>
          <w:tcPr>
            <w:tcW w:w="709" w:type="dxa"/>
            <w:tcBorders>
              <w:top w:val="single" w:sz="6" w:space="0" w:color="auto"/>
              <w:bottom w:val="single" w:sz="6" w:space="0" w:color="auto"/>
            </w:tcBorders>
            <w:shd w:val="clear" w:color="auto" w:fill="auto"/>
            <w:noWrap/>
            <w:vAlign w:val="center"/>
          </w:tcPr>
          <w:p w:rsidR="00A27204" w:rsidRPr="009C3256" w:rsidRDefault="00A27204" w:rsidP="00A27204">
            <w:pPr>
              <w:pStyle w:val="142"/>
              <w:rPr>
                <w:rFonts w:hint="eastAsia"/>
                <w:snapToGrid/>
              </w:rPr>
            </w:pPr>
            <w:r w:rsidRPr="009C3256">
              <w:rPr>
                <w:rFonts w:hint="eastAsia"/>
                <w:snapToGrid/>
              </w:rPr>
              <w:t>111</w:t>
            </w:r>
          </w:p>
        </w:tc>
        <w:tc>
          <w:tcPr>
            <w:tcW w:w="1276"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895,962</w:t>
            </w:r>
          </w:p>
        </w:tc>
        <w:tc>
          <w:tcPr>
            <w:tcW w:w="1559"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17.81</w:t>
            </w:r>
          </w:p>
        </w:tc>
        <w:tc>
          <w:tcPr>
            <w:tcW w:w="1518" w:type="dxa"/>
            <w:tcBorders>
              <w:top w:val="single" w:sz="6" w:space="0" w:color="auto"/>
              <w:bottom w:val="single" w:sz="6" w:space="0" w:color="auto"/>
            </w:tcBorders>
          </w:tcPr>
          <w:p w:rsidR="00A27204" w:rsidRPr="009C3256" w:rsidRDefault="00A27204" w:rsidP="00A27204">
            <w:pPr>
              <w:pStyle w:val="142"/>
              <w:jc w:val="right"/>
              <w:rPr>
                <w:rFonts w:hint="eastAsia"/>
                <w:snapToGrid/>
              </w:rPr>
            </w:pPr>
            <w:r w:rsidRPr="009C3256">
              <w:rPr>
                <w:rFonts w:hint="eastAsia"/>
                <w:snapToGrid/>
              </w:rPr>
              <w:t>95.09</w:t>
            </w:r>
          </w:p>
        </w:tc>
        <w:tc>
          <w:tcPr>
            <w:tcW w:w="1639"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1,9</w:t>
            </w:r>
            <w:r w:rsidR="00B40943" w:rsidRPr="009C3256">
              <w:rPr>
                <w:snapToGrid/>
              </w:rPr>
              <w:t>88</w:t>
            </w:r>
            <w:r w:rsidRPr="009C3256">
              <w:rPr>
                <w:rFonts w:hint="eastAsia"/>
                <w:snapToGrid/>
              </w:rPr>
              <w:t>.</w:t>
            </w:r>
            <w:r w:rsidR="00B40943" w:rsidRPr="009C3256">
              <w:rPr>
                <w:snapToGrid/>
              </w:rPr>
              <w:t>33</w:t>
            </w:r>
          </w:p>
        </w:tc>
        <w:tc>
          <w:tcPr>
            <w:tcW w:w="1810"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20.91</w:t>
            </w:r>
          </w:p>
        </w:tc>
      </w:tr>
      <w:tr w:rsidR="00ED23C4" w:rsidRPr="009C3256" w:rsidTr="00952FA7">
        <w:trPr>
          <w:trHeight w:val="20"/>
        </w:trPr>
        <w:tc>
          <w:tcPr>
            <w:tcW w:w="709" w:type="dxa"/>
            <w:tcBorders>
              <w:top w:val="single" w:sz="6" w:space="0" w:color="auto"/>
              <w:bottom w:val="single" w:sz="6" w:space="0" w:color="auto"/>
            </w:tcBorders>
            <w:shd w:val="clear" w:color="auto" w:fill="auto"/>
            <w:noWrap/>
            <w:vAlign w:val="center"/>
          </w:tcPr>
          <w:p w:rsidR="00B40943" w:rsidRPr="009C3256" w:rsidRDefault="00B40943" w:rsidP="00A27204">
            <w:pPr>
              <w:pStyle w:val="142"/>
              <w:rPr>
                <w:rFonts w:hint="eastAsia"/>
                <w:snapToGrid/>
              </w:rPr>
            </w:pPr>
            <w:r w:rsidRPr="009C3256">
              <w:rPr>
                <w:rFonts w:hint="eastAsia"/>
                <w:snapToGrid/>
              </w:rPr>
              <w:t>1</w:t>
            </w:r>
            <w:r w:rsidRPr="009C3256">
              <w:rPr>
                <w:snapToGrid/>
              </w:rPr>
              <w:t>12</w:t>
            </w:r>
          </w:p>
        </w:tc>
        <w:tc>
          <w:tcPr>
            <w:tcW w:w="1276" w:type="dxa"/>
            <w:tcBorders>
              <w:top w:val="single" w:sz="6" w:space="0" w:color="auto"/>
              <w:bottom w:val="single" w:sz="6" w:space="0" w:color="auto"/>
            </w:tcBorders>
            <w:shd w:val="clear" w:color="auto" w:fill="auto"/>
          </w:tcPr>
          <w:p w:rsidR="00B40943" w:rsidRPr="009C3256" w:rsidRDefault="00B40943" w:rsidP="003F3EA3">
            <w:pPr>
              <w:pStyle w:val="142"/>
              <w:jc w:val="right"/>
              <w:rPr>
                <w:rFonts w:hint="eastAsia"/>
                <w:snapToGrid/>
              </w:rPr>
            </w:pPr>
            <w:r w:rsidRPr="009C3256">
              <w:rPr>
                <w:rFonts w:hint="eastAsia"/>
                <w:snapToGrid/>
              </w:rPr>
              <w:t>6</w:t>
            </w:r>
            <w:r w:rsidRPr="009C3256">
              <w:rPr>
                <w:snapToGrid/>
              </w:rPr>
              <w:t>,486,951</w:t>
            </w:r>
          </w:p>
        </w:tc>
        <w:tc>
          <w:tcPr>
            <w:tcW w:w="1559" w:type="dxa"/>
            <w:tcBorders>
              <w:top w:val="single" w:sz="6" w:space="0" w:color="auto"/>
              <w:bottom w:val="single" w:sz="6" w:space="0" w:color="auto"/>
            </w:tcBorders>
            <w:shd w:val="clear" w:color="auto" w:fill="auto"/>
          </w:tcPr>
          <w:p w:rsidR="00B40943" w:rsidRPr="009C3256" w:rsidRDefault="00B40943" w:rsidP="00A27204">
            <w:pPr>
              <w:pStyle w:val="142"/>
              <w:jc w:val="right"/>
              <w:rPr>
                <w:rFonts w:hint="eastAsia"/>
                <w:snapToGrid/>
              </w:rPr>
            </w:pPr>
            <w:r w:rsidRPr="009C3256">
              <w:rPr>
                <w:rFonts w:hint="eastAsia"/>
                <w:snapToGrid/>
              </w:rPr>
              <w:t>8</w:t>
            </w:r>
            <w:r w:rsidRPr="009C3256">
              <w:rPr>
                <w:snapToGrid/>
              </w:rPr>
              <w:t>6.61</w:t>
            </w:r>
          </w:p>
        </w:tc>
        <w:tc>
          <w:tcPr>
            <w:tcW w:w="1518" w:type="dxa"/>
            <w:tcBorders>
              <w:top w:val="single" w:sz="6" w:space="0" w:color="auto"/>
              <w:bottom w:val="single" w:sz="6" w:space="0" w:color="auto"/>
            </w:tcBorders>
          </w:tcPr>
          <w:p w:rsidR="00B40943" w:rsidRPr="009C3256" w:rsidRDefault="009C669A" w:rsidP="00A27204">
            <w:pPr>
              <w:pStyle w:val="142"/>
              <w:jc w:val="right"/>
              <w:rPr>
                <w:rFonts w:hint="eastAsia"/>
                <w:snapToGrid/>
              </w:rPr>
            </w:pPr>
            <w:r w:rsidRPr="009C3256">
              <w:rPr>
                <w:rFonts w:hint="eastAsia"/>
                <w:snapToGrid/>
              </w:rPr>
              <w:t>1</w:t>
            </w:r>
            <w:r w:rsidRPr="009C3256">
              <w:rPr>
                <w:snapToGrid/>
              </w:rPr>
              <w:t>80.67</w:t>
            </w:r>
          </w:p>
        </w:tc>
        <w:tc>
          <w:tcPr>
            <w:tcW w:w="1639" w:type="dxa"/>
            <w:tcBorders>
              <w:top w:val="single" w:sz="6" w:space="0" w:color="auto"/>
              <w:bottom w:val="single" w:sz="6" w:space="0" w:color="auto"/>
            </w:tcBorders>
            <w:shd w:val="clear" w:color="auto" w:fill="auto"/>
          </w:tcPr>
          <w:p w:rsidR="00B40943" w:rsidRPr="009C3256" w:rsidRDefault="009C669A" w:rsidP="00A27204">
            <w:pPr>
              <w:pStyle w:val="142"/>
              <w:jc w:val="right"/>
              <w:rPr>
                <w:rFonts w:hint="eastAsia"/>
                <w:b/>
                <w:bCs/>
                <w:snapToGrid/>
              </w:rPr>
            </w:pPr>
            <w:r w:rsidRPr="009C3256">
              <w:rPr>
                <w:rFonts w:hint="eastAsia"/>
                <w:b/>
                <w:bCs/>
                <w:snapToGrid/>
              </w:rPr>
              <w:t>1</w:t>
            </w:r>
            <w:r w:rsidRPr="009C3256">
              <w:rPr>
                <w:b/>
                <w:bCs/>
                <w:snapToGrid/>
              </w:rPr>
              <w:t>,335,15</w:t>
            </w:r>
          </w:p>
        </w:tc>
        <w:tc>
          <w:tcPr>
            <w:tcW w:w="1810" w:type="dxa"/>
            <w:tcBorders>
              <w:top w:val="single" w:sz="6" w:space="0" w:color="auto"/>
              <w:bottom w:val="single" w:sz="6" w:space="0" w:color="auto"/>
            </w:tcBorders>
            <w:shd w:val="clear" w:color="auto" w:fill="auto"/>
          </w:tcPr>
          <w:p w:rsidR="00B40943" w:rsidRPr="009C3256" w:rsidRDefault="009C669A" w:rsidP="00A27204">
            <w:pPr>
              <w:pStyle w:val="142"/>
              <w:jc w:val="right"/>
              <w:rPr>
                <w:rFonts w:hint="eastAsia"/>
                <w:b/>
                <w:bCs/>
                <w:snapToGrid/>
              </w:rPr>
            </w:pPr>
            <w:r w:rsidRPr="009C3256">
              <w:rPr>
                <w:rFonts w:hint="eastAsia"/>
                <w:b/>
                <w:bCs/>
                <w:snapToGrid/>
              </w:rPr>
              <w:t>7</w:t>
            </w:r>
            <w:r w:rsidRPr="009C3256">
              <w:rPr>
                <w:b/>
                <w:bCs/>
                <w:snapToGrid/>
              </w:rPr>
              <w:t>.39</w:t>
            </w:r>
          </w:p>
        </w:tc>
      </w:tr>
      <w:tr w:rsidR="00ED23C4" w:rsidRPr="009C3256" w:rsidTr="00952FA7">
        <w:trPr>
          <w:trHeight w:val="20"/>
        </w:trPr>
        <w:tc>
          <w:tcPr>
            <w:tcW w:w="709" w:type="dxa"/>
            <w:tcBorders>
              <w:top w:val="single" w:sz="6" w:space="0" w:color="auto"/>
            </w:tcBorders>
            <w:shd w:val="clear" w:color="auto" w:fill="auto"/>
            <w:noWrap/>
            <w:vAlign w:val="center"/>
          </w:tcPr>
          <w:p w:rsidR="00BC0E45" w:rsidRPr="009C3256" w:rsidRDefault="0089441A" w:rsidP="00A27204">
            <w:pPr>
              <w:pStyle w:val="142"/>
              <w:rPr>
                <w:rFonts w:hint="eastAsia"/>
                <w:snapToGrid/>
              </w:rPr>
            </w:pPr>
            <w:r w:rsidRPr="009C3256">
              <w:rPr>
                <w:rFonts w:hint="eastAsia"/>
                <w:snapToGrid/>
              </w:rPr>
              <w:t>回</w:t>
            </w:r>
            <w:r w:rsidR="00DC3583" w:rsidRPr="009C3256">
              <w:rPr>
                <w:rFonts w:hint="eastAsia"/>
                <w:snapToGrid/>
              </w:rPr>
              <w:t>復</w:t>
            </w:r>
            <w:r w:rsidRPr="009C3256">
              <w:rPr>
                <w:rFonts w:hint="eastAsia"/>
                <w:snapToGrid/>
              </w:rPr>
              <w:t>水準</w:t>
            </w:r>
          </w:p>
        </w:tc>
        <w:tc>
          <w:tcPr>
            <w:tcW w:w="1276"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54.68%</w:t>
            </w:r>
          </w:p>
        </w:tc>
        <w:tc>
          <w:tcPr>
            <w:tcW w:w="1559"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60.10%</w:t>
            </w:r>
          </w:p>
        </w:tc>
        <w:tc>
          <w:tcPr>
            <w:tcW w:w="1518" w:type="dxa"/>
            <w:tcBorders>
              <w:top w:val="single" w:sz="6" w:space="0" w:color="auto"/>
            </w:tcBorders>
            <w:vAlign w:val="center"/>
          </w:tcPr>
          <w:p w:rsidR="00BC0E45" w:rsidRPr="009C3256" w:rsidRDefault="0089441A" w:rsidP="0089441A">
            <w:pPr>
              <w:pStyle w:val="142"/>
              <w:jc w:val="right"/>
              <w:rPr>
                <w:rFonts w:hint="eastAsia"/>
                <w:snapToGrid/>
              </w:rPr>
            </w:pPr>
            <w:r w:rsidRPr="009C3256">
              <w:rPr>
                <w:rFonts w:hint="eastAsia"/>
                <w:snapToGrid/>
              </w:rPr>
              <w:t>92.22%</w:t>
            </w:r>
          </w:p>
        </w:tc>
        <w:tc>
          <w:tcPr>
            <w:tcW w:w="1639"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109.92%</w:t>
            </w:r>
          </w:p>
        </w:tc>
        <w:tc>
          <w:tcPr>
            <w:tcW w:w="1810"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119.19%</w:t>
            </w:r>
          </w:p>
        </w:tc>
      </w:tr>
    </w:tbl>
    <w:p w:rsidR="00F551CC" w:rsidRPr="009C3256" w:rsidRDefault="00F551CC" w:rsidP="00876A60">
      <w:pPr>
        <w:pStyle w:val="142"/>
      </w:pPr>
      <w:r w:rsidRPr="009C3256">
        <w:rPr>
          <w:rFonts w:hint="eastAsia"/>
        </w:rPr>
        <w:t>說　　明：1.本表之計算或略有出入，係4捨5入之故，以下各表同。</w:t>
      </w:r>
    </w:p>
    <w:p w:rsidR="00876A60" w:rsidRPr="009C3256" w:rsidRDefault="00F551CC" w:rsidP="00952FA7">
      <w:pPr>
        <w:pStyle w:val="142"/>
        <w:ind w:leftChars="421" w:left="1484" w:hangingChars="120" w:hanging="292"/>
        <w:jc w:val="both"/>
      </w:pPr>
      <w:r w:rsidRPr="009C3256">
        <w:rPr>
          <w:rFonts w:hint="eastAsia"/>
        </w:rPr>
        <w:t>2.未將109年調查樣本資料納入比較，係因109年第1季(1-3月)樣本不受疫情影響，仍以「觀光」目的居多，第2季(4-6月)因配合疫情邊境嚴格管制暫停調查，下半年(7-12月)係在我國疫情邊境管制放寬後，尚未開放「觀光」目的旅客來臺，除獲准以「探親或訪友」與「業務」目的來臺為主外，原滯留未歸之來臺旅客獲准停留超過90天，導致1-3月與4-12月之母體結構呈現斷裂不一致，</w:t>
      </w:r>
      <w:r w:rsidR="0087753B" w:rsidRPr="009C3256">
        <w:rPr>
          <w:rFonts w:hint="eastAsia"/>
        </w:rPr>
        <w:t>故未納入本表</w:t>
      </w:r>
      <w:r w:rsidR="00876A60" w:rsidRPr="009C3256">
        <w:rPr>
          <w:rFonts w:hint="eastAsia"/>
        </w:rPr>
        <w:t>。</w:t>
      </w:r>
      <w:r w:rsidR="0089441A" w:rsidRPr="009C3256">
        <w:t xml:space="preserve"> </w:t>
      </w:r>
    </w:p>
    <w:p w:rsidR="0089441A" w:rsidRPr="009C3256" w:rsidRDefault="0089441A" w:rsidP="00952FA7">
      <w:pPr>
        <w:pStyle w:val="142"/>
        <w:ind w:leftChars="435" w:left="1509" w:hangingChars="114" w:hanging="277"/>
        <w:jc w:val="both"/>
        <w:rPr>
          <w:rFonts w:hint="eastAsia"/>
        </w:rPr>
      </w:pPr>
      <w:r w:rsidRPr="009C3256">
        <w:t>3.</w:t>
      </w:r>
      <w:r w:rsidRPr="009C3256">
        <w:rPr>
          <w:rFonts w:hint="eastAsia"/>
        </w:rPr>
        <w:t>本表回</w:t>
      </w:r>
      <w:r w:rsidR="00B624A0" w:rsidRPr="009C3256">
        <w:rPr>
          <w:rFonts w:hint="eastAsia"/>
        </w:rPr>
        <w:t>復</w:t>
      </w:r>
      <w:r w:rsidRPr="009C3256">
        <w:rPr>
          <w:rFonts w:hint="eastAsia"/>
        </w:rPr>
        <w:t>水準</w:t>
      </w:r>
      <w:r w:rsidR="00876A60" w:rsidRPr="009C3256">
        <w:rPr>
          <w:rFonts w:hint="eastAsia"/>
        </w:rPr>
        <w:t>係以</w:t>
      </w:r>
      <w:r w:rsidRPr="009C3256">
        <w:rPr>
          <w:rFonts w:hint="eastAsia"/>
        </w:rPr>
        <w:t>112年度/108年度</w:t>
      </w:r>
      <w:r w:rsidR="00876A60" w:rsidRPr="009C3256">
        <w:rPr>
          <w:rFonts w:hint="eastAsia"/>
        </w:rPr>
        <w:t>之相關</w:t>
      </w:r>
      <w:r w:rsidRPr="009C3256">
        <w:rPr>
          <w:rFonts w:hint="eastAsia"/>
        </w:rPr>
        <w:t>數值</w:t>
      </w:r>
      <w:r w:rsidR="00876A60" w:rsidRPr="009C3256">
        <w:rPr>
          <w:rFonts w:hint="eastAsia"/>
        </w:rPr>
        <w:t>計算</w:t>
      </w:r>
      <w:r w:rsidRPr="009C3256">
        <w:rPr>
          <w:rFonts w:hint="eastAsia"/>
        </w:rPr>
        <w:t>。</w:t>
      </w:r>
    </w:p>
    <w:p w:rsidR="00F551CC" w:rsidRPr="009C3256" w:rsidRDefault="00F551CC" w:rsidP="00952FA7">
      <w:pPr>
        <w:pStyle w:val="142"/>
        <w:ind w:leftChars="10" w:left="1597" w:hangingChars="645" w:hanging="1569"/>
      </w:pPr>
      <w:r w:rsidRPr="009C3256">
        <w:rPr>
          <w:rFonts w:hint="eastAsia"/>
        </w:rPr>
        <w:t>資料來源：</w:t>
      </w:r>
      <w:r w:rsidR="0087753B" w:rsidRPr="009C3256">
        <w:rPr>
          <w:rFonts w:hint="eastAsia"/>
        </w:rPr>
        <w:t>觀光署</w:t>
      </w:r>
      <w:r w:rsidRPr="009C3256">
        <w:rPr>
          <w:rFonts w:hint="eastAsia"/>
          <w:lang w:eastAsia="zh-HK"/>
        </w:rPr>
        <w:t>觀光業務統計</w:t>
      </w:r>
      <w:r w:rsidR="008C7F4E" w:rsidRPr="009C3256">
        <w:rPr>
          <w:rFonts w:hint="eastAsia"/>
          <w:lang w:eastAsia="zh-HK"/>
        </w:rPr>
        <w:t>。</w:t>
      </w:r>
    </w:p>
    <w:p w:rsidR="00F551CC" w:rsidRPr="009C3256" w:rsidRDefault="00F551CC" w:rsidP="00F551CC">
      <w:pPr>
        <w:pStyle w:val="a7"/>
        <w:ind w:left="849" w:hanging="283"/>
        <w:rPr>
          <w:b/>
        </w:rPr>
      </w:pPr>
      <w:bookmarkStart w:id="5" w:name="_Toc138259664"/>
      <w:r w:rsidRPr="009C3256">
        <w:rPr>
          <w:rFonts w:hint="eastAsia"/>
          <w:b/>
        </w:rPr>
        <w:t>(</w:t>
      </w:r>
      <w:r w:rsidR="004B5371" w:rsidRPr="009C3256">
        <w:rPr>
          <w:rFonts w:hint="eastAsia"/>
          <w:b/>
        </w:rPr>
        <w:t>二</w:t>
      </w:r>
      <w:r w:rsidRPr="009C3256">
        <w:rPr>
          <w:rFonts w:hint="eastAsia"/>
          <w:b/>
        </w:rPr>
        <w:t>)</w:t>
      </w:r>
      <w:r w:rsidR="006516D9" w:rsidRPr="009C3256">
        <w:rPr>
          <w:rFonts w:hint="eastAsia"/>
          <w:b/>
        </w:rPr>
        <w:t>112</w:t>
      </w:r>
      <w:r w:rsidR="00CB247B">
        <w:rPr>
          <w:rFonts w:hint="eastAsia"/>
          <w:b/>
        </w:rPr>
        <w:t>年</w:t>
      </w:r>
      <w:r w:rsidR="006516D9" w:rsidRPr="009C3256">
        <w:rPr>
          <w:rFonts w:hint="eastAsia"/>
          <w:b/>
        </w:rPr>
        <w:t>至113年</w:t>
      </w:r>
      <w:r w:rsidR="00857C6A" w:rsidRPr="009C3256">
        <w:rPr>
          <w:b/>
        </w:rPr>
        <w:t>7</w:t>
      </w:r>
      <w:r w:rsidRPr="009C3256">
        <w:rPr>
          <w:rFonts w:hint="eastAsia"/>
          <w:b/>
        </w:rPr>
        <w:t>月</w:t>
      </w:r>
      <w:r w:rsidR="006516D9" w:rsidRPr="009C3256">
        <w:rPr>
          <w:rFonts w:hint="eastAsia"/>
          <w:b/>
        </w:rPr>
        <w:t>底，</w:t>
      </w:r>
      <w:bookmarkEnd w:id="5"/>
      <w:r w:rsidR="007F222F" w:rsidRPr="009C3256">
        <w:rPr>
          <w:rFonts w:hint="eastAsia"/>
          <w:b/>
        </w:rPr>
        <w:t>累計</w:t>
      </w:r>
      <w:r w:rsidR="00E0783F" w:rsidRPr="009C3256">
        <w:rPr>
          <w:rFonts w:hint="eastAsia"/>
          <w:b/>
        </w:rPr>
        <w:t>來臺旅客</w:t>
      </w:r>
      <w:r w:rsidR="007F222F" w:rsidRPr="009C3256">
        <w:rPr>
          <w:rFonts w:hint="eastAsia"/>
          <w:b/>
        </w:rPr>
        <w:t>人次</w:t>
      </w:r>
      <w:r w:rsidR="00E0783F" w:rsidRPr="009C3256">
        <w:rPr>
          <w:rFonts w:hint="eastAsia"/>
          <w:b/>
        </w:rPr>
        <w:t>前三名為香港澳門、日本及韓國</w:t>
      </w:r>
    </w:p>
    <w:p w:rsidR="00F551CC" w:rsidRPr="009C3256" w:rsidRDefault="00C3086B" w:rsidP="00F551CC">
      <w:pPr>
        <w:pStyle w:val="21"/>
        <w:ind w:left="850" w:firstLine="566"/>
      </w:pPr>
      <w:r w:rsidRPr="009C3256">
        <w:rPr>
          <w:rFonts w:hint="eastAsia"/>
        </w:rPr>
        <w:t>經觀</w:t>
      </w:r>
      <w:r w:rsidR="00B624A0" w:rsidRPr="009C3256">
        <w:rPr>
          <w:rFonts w:hint="eastAsia"/>
        </w:rPr>
        <w:t>察</w:t>
      </w:r>
      <w:r w:rsidR="00F551CC" w:rsidRPr="009C3256">
        <w:rPr>
          <w:rFonts w:hint="eastAsia"/>
        </w:rPr>
        <w:t>來臺旅客</w:t>
      </w:r>
      <w:r w:rsidRPr="009C3256">
        <w:rPr>
          <w:rFonts w:hint="eastAsia"/>
        </w:rPr>
        <w:t>居住地之</w:t>
      </w:r>
      <w:r w:rsidR="00F551CC" w:rsidRPr="009C3256">
        <w:rPr>
          <w:rFonts w:hint="eastAsia"/>
        </w:rPr>
        <w:t>排名，由於中國大陸於108年8月1日起禁止</w:t>
      </w:r>
      <w:r w:rsidR="00B624A0" w:rsidRPr="009C3256">
        <w:rPr>
          <w:rFonts w:hint="eastAsia"/>
        </w:rPr>
        <w:t>大陸</w:t>
      </w:r>
      <w:r w:rsidR="00F551CC" w:rsidRPr="009C3256">
        <w:rPr>
          <w:rFonts w:hint="eastAsia"/>
        </w:rPr>
        <w:t>旅客來臺自由行，我國</w:t>
      </w:r>
      <w:r w:rsidRPr="009C3256">
        <w:rPr>
          <w:rFonts w:hint="eastAsia"/>
        </w:rPr>
        <w:t>亦</w:t>
      </w:r>
      <w:r w:rsidR="00F551CC" w:rsidRPr="009C3256">
        <w:rPr>
          <w:rFonts w:hint="eastAsia"/>
        </w:rPr>
        <w:t>因疫情</w:t>
      </w:r>
      <w:r w:rsidR="00ED0506" w:rsidRPr="009C3256">
        <w:rPr>
          <w:rFonts w:hint="eastAsia"/>
        </w:rPr>
        <w:t>發展</w:t>
      </w:r>
      <w:r w:rsidR="00F551CC" w:rsidRPr="009C3256">
        <w:rPr>
          <w:rFonts w:hint="eastAsia"/>
        </w:rPr>
        <w:t>於109年1月24日公告旅行社暫停接待中國大陸觀光團並暫緩受理大</w:t>
      </w:r>
      <w:r w:rsidR="00F551CC" w:rsidRPr="009C3256">
        <w:rPr>
          <w:rFonts w:hint="eastAsia"/>
        </w:rPr>
        <w:lastRenderedPageBreak/>
        <w:t>陸地區人民因觀光事由之來臺停留入境申請</w:t>
      </w:r>
      <w:r w:rsidR="00F551CC" w:rsidRPr="009C3256">
        <w:rPr>
          <w:rStyle w:val="afe"/>
        </w:rPr>
        <w:footnoteReference w:id="5"/>
      </w:r>
      <w:r w:rsidR="00F551CC" w:rsidRPr="009C3256">
        <w:rPr>
          <w:rFonts w:hint="eastAsia"/>
        </w:rPr>
        <w:t>，甫於112年8月28日恢復陸籍人士短期商務活動交流之參展觀展及商務研習(含受訓)，及同年9月1日恢復旅居及留學第三地陸籍人士來臺觀光</w:t>
      </w:r>
      <w:r w:rsidR="00F551CC" w:rsidRPr="009C3256">
        <w:rPr>
          <w:rStyle w:val="afe"/>
        </w:rPr>
        <w:footnoteReference w:id="6"/>
      </w:r>
      <w:r w:rsidR="00F551CC" w:rsidRPr="009C3256">
        <w:rPr>
          <w:rFonts w:hint="eastAsia"/>
        </w:rPr>
        <w:t>，爰112</w:t>
      </w:r>
      <w:r w:rsidR="00B624A0" w:rsidRPr="009C3256">
        <w:rPr>
          <w:rFonts w:hint="eastAsia"/>
        </w:rPr>
        <w:t>年</w:t>
      </w:r>
      <w:r w:rsidR="00D3457F" w:rsidRPr="009C3256">
        <w:rPr>
          <w:rFonts w:hint="eastAsia"/>
        </w:rPr>
        <w:t>至113年</w:t>
      </w:r>
      <w:r w:rsidR="00857C6A" w:rsidRPr="009C3256">
        <w:rPr>
          <w:rFonts w:hint="eastAsia"/>
        </w:rPr>
        <w:t>7</w:t>
      </w:r>
      <w:r w:rsidR="00F551CC" w:rsidRPr="009C3256">
        <w:rPr>
          <w:rFonts w:hint="eastAsia"/>
        </w:rPr>
        <w:t>月</w:t>
      </w:r>
      <w:r w:rsidR="00D3457F" w:rsidRPr="009C3256">
        <w:rPr>
          <w:rFonts w:hint="eastAsia"/>
        </w:rPr>
        <w:t>底</w:t>
      </w:r>
      <w:r w:rsidR="00ED0506" w:rsidRPr="009C3256">
        <w:rPr>
          <w:rFonts w:hint="eastAsia"/>
        </w:rPr>
        <w:t>止</w:t>
      </w:r>
      <w:r w:rsidR="00F551CC" w:rsidRPr="009C3256">
        <w:rPr>
          <w:rFonts w:hint="eastAsia"/>
        </w:rPr>
        <w:t>來臺旅客數由</w:t>
      </w:r>
      <w:r w:rsidR="00ED0506" w:rsidRPr="009C3256">
        <w:rPr>
          <w:rFonts w:hint="eastAsia"/>
        </w:rPr>
        <w:t>疫情前</w:t>
      </w:r>
      <w:r w:rsidR="00F551CC" w:rsidRPr="009C3256">
        <w:rPr>
          <w:rFonts w:hint="eastAsia"/>
        </w:rPr>
        <w:t>108年</w:t>
      </w:r>
      <w:r w:rsidR="00ED0506" w:rsidRPr="009C3256">
        <w:rPr>
          <w:rFonts w:hint="eastAsia"/>
        </w:rPr>
        <w:t>度</w:t>
      </w:r>
      <w:r w:rsidR="00A15ED6" w:rsidRPr="009C3256">
        <w:rPr>
          <w:rFonts w:hint="eastAsia"/>
        </w:rPr>
        <w:t>為</w:t>
      </w:r>
      <w:r w:rsidR="00F551CC" w:rsidRPr="009C3256">
        <w:rPr>
          <w:rFonts w:hint="eastAsia"/>
        </w:rPr>
        <w:t>中國大陸居冠</w:t>
      </w:r>
      <w:r w:rsidR="00DC111C" w:rsidRPr="009C3256">
        <w:rPr>
          <w:rStyle w:val="afe"/>
        </w:rPr>
        <w:footnoteReference w:id="7"/>
      </w:r>
      <w:r w:rsidR="00F551CC" w:rsidRPr="009C3256">
        <w:rPr>
          <w:rFonts w:hint="eastAsia"/>
        </w:rPr>
        <w:t>轉為由香港</w:t>
      </w:r>
      <w:r w:rsidR="00D3457F" w:rsidRPr="009C3256">
        <w:rPr>
          <w:rFonts w:hint="eastAsia"/>
        </w:rPr>
        <w:t>澳門</w:t>
      </w:r>
      <w:r w:rsidR="00F551CC" w:rsidRPr="009C3256">
        <w:rPr>
          <w:rFonts w:hint="eastAsia"/>
        </w:rPr>
        <w:t>領先，日本居次，韓國第3</w:t>
      </w:r>
      <w:r w:rsidR="00ED0506" w:rsidRPr="009C3256">
        <w:rPr>
          <w:rFonts w:hint="eastAsia"/>
        </w:rPr>
        <w:t>之局勢</w:t>
      </w:r>
      <w:r w:rsidR="00F551CC" w:rsidRPr="009C3256">
        <w:rPr>
          <w:rFonts w:hint="eastAsia"/>
        </w:rPr>
        <w:t>，其後依序為美國、</w:t>
      </w:r>
      <w:r w:rsidR="00D3457F" w:rsidRPr="009C3256">
        <w:rPr>
          <w:rFonts w:hint="eastAsia"/>
        </w:rPr>
        <w:t>新加坡、</w:t>
      </w:r>
      <w:r w:rsidR="00F551CC" w:rsidRPr="009C3256">
        <w:rPr>
          <w:rFonts w:hint="eastAsia"/>
        </w:rPr>
        <w:t>馬來西亞、</w:t>
      </w:r>
      <w:r w:rsidR="00D3457F" w:rsidRPr="009C3256">
        <w:rPr>
          <w:rFonts w:hint="eastAsia"/>
        </w:rPr>
        <w:t>泰國、菲律賓及越南</w:t>
      </w:r>
      <w:r w:rsidR="00F551CC" w:rsidRPr="009C3256">
        <w:rPr>
          <w:rFonts w:hint="eastAsia"/>
        </w:rPr>
        <w:t>(詳表</w:t>
      </w:r>
      <w:r w:rsidR="004B5371" w:rsidRPr="009C3256">
        <w:rPr>
          <w:rFonts w:hint="eastAsia"/>
        </w:rPr>
        <w:t>2</w:t>
      </w:r>
      <w:r w:rsidR="00F551CC" w:rsidRPr="009C3256">
        <w:rPr>
          <w:rFonts w:hint="eastAsia"/>
        </w:rPr>
        <w:t>)</w:t>
      </w:r>
      <w:r w:rsidRPr="009C3256">
        <w:rPr>
          <w:rFonts w:hint="eastAsia"/>
        </w:rPr>
        <w:t>。</w:t>
      </w:r>
      <w:r w:rsidRPr="009C3256">
        <w:t xml:space="preserve"> </w:t>
      </w:r>
    </w:p>
    <w:p w:rsidR="004D42C3" w:rsidRPr="009C3256" w:rsidRDefault="00F551CC" w:rsidP="0081478F">
      <w:pPr>
        <w:ind w:leftChars="-14" w:left="-40" w:right="-1" w:firstLineChars="7" w:firstLine="20"/>
        <w:rPr>
          <w:rFonts w:hint="eastAsia"/>
          <w:sz w:val="24"/>
          <w:szCs w:val="24"/>
        </w:rPr>
      </w:pPr>
      <w:r w:rsidRPr="009C3256">
        <w:rPr>
          <w:rFonts w:hint="eastAsia"/>
          <w:b/>
        </w:rPr>
        <w:t>表</w:t>
      </w:r>
      <w:r w:rsidR="004B5371" w:rsidRPr="009C3256">
        <w:rPr>
          <w:rFonts w:hint="eastAsia"/>
          <w:b/>
        </w:rPr>
        <w:t>2</w:t>
      </w:r>
      <w:r w:rsidRPr="009C3256">
        <w:rPr>
          <w:rFonts w:hint="eastAsia"/>
          <w:b/>
        </w:rPr>
        <w:t xml:space="preserve">  11</w:t>
      </w:r>
      <w:r w:rsidR="0081478F" w:rsidRPr="009C3256">
        <w:rPr>
          <w:rFonts w:hint="eastAsia"/>
          <w:b/>
        </w:rPr>
        <w:t>2年至113年</w:t>
      </w:r>
      <w:r w:rsidR="00F64FC2" w:rsidRPr="009C3256">
        <w:rPr>
          <w:rFonts w:hint="eastAsia"/>
          <w:b/>
        </w:rPr>
        <w:t>7</w:t>
      </w:r>
      <w:r w:rsidR="0081478F" w:rsidRPr="009C3256">
        <w:rPr>
          <w:rFonts w:hint="eastAsia"/>
          <w:b/>
        </w:rPr>
        <w:t>月</w:t>
      </w:r>
      <w:r w:rsidRPr="009C3256">
        <w:rPr>
          <w:rFonts w:hint="eastAsia"/>
          <w:b/>
        </w:rPr>
        <w:t>來臺</w:t>
      </w:r>
      <w:r w:rsidR="00052CF5" w:rsidRPr="009C3256">
        <w:rPr>
          <w:rFonts w:hint="eastAsia"/>
          <w:b/>
        </w:rPr>
        <w:t>旅客居住地人次</w:t>
      </w:r>
      <w:r w:rsidRPr="009C3256">
        <w:rPr>
          <w:rFonts w:hint="eastAsia"/>
          <w:b/>
        </w:rPr>
        <w:t>統計</w:t>
      </w:r>
      <w:r w:rsidR="0081478F" w:rsidRPr="009C3256">
        <w:rPr>
          <w:rFonts w:hint="eastAsia"/>
          <w:b/>
        </w:rPr>
        <w:t>表</w:t>
      </w:r>
      <w:r w:rsidRPr="009C3256">
        <w:rPr>
          <w:rFonts w:hint="eastAsia"/>
          <w:b/>
        </w:rPr>
        <w:t xml:space="preserve">      </w:t>
      </w:r>
      <w:r w:rsidRPr="009C3256">
        <w:rPr>
          <w:rFonts w:hint="eastAsia"/>
          <w:sz w:val="24"/>
          <w:szCs w:val="24"/>
        </w:rPr>
        <w:t>單位：人次</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6"/>
        <w:gridCol w:w="1296"/>
        <w:gridCol w:w="1148"/>
        <w:gridCol w:w="1296"/>
        <w:gridCol w:w="1148"/>
        <w:gridCol w:w="1548"/>
        <w:gridCol w:w="1075"/>
      </w:tblGrid>
      <w:tr w:rsidR="00E6720B" w:rsidRPr="009C3256" w:rsidTr="00E6720B">
        <w:trPr>
          <w:tblHeader/>
        </w:trPr>
        <w:tc>
          <w:tcPr>
            <w:tcW w:w="1056" w:type="dxa"/>
            <w:vMerge w:val="restart"/>
            <w:shd w:val="clear" w:color="auto" w:fill="auto"/>
          </w:tcPr>
          <w:p w:rsidR="004D42C3" w:rsidRPr="009C3256" w:rsidRDefault="004D42C3" w:rsidP="00DD661A">
            <w:pPr>
              <w:pStyle w:val="142"/>
              <w:jc w:val="center"/>
            </w:pPr>
            <w:r w:rsidRPr="009C3256">
              <w:rPr>
                <w:rFonts w:hint="eastAsia"/>
              </w:rPr>
              <w:t>旅客</w:t>
            </w:r>
          </w:p>
          <w:p w:rsidR="004D42C3" w:rsidRPr="009C3256" w:rsidRDefault="004D42C3" w:rsidP="00DD661A">
            <w:pPr>
              <w:pStyle w:val="142"/>
              <w:jc w:val="center"/>
              <w:rPr>
                <w:rFonts w:hint="eastAsia"/>
              </w:rPr>
            </w:pPr>
            <w:r w:rsidRPr="009C3256">
              <w:rPr>
                <w:rFonts w:hint="eastAsia"/>
              </w:rPr>
              <w:t>居住地</w:t>
            </w:r>
          </w:p>
        </w:tc>
        <w:tc>
          <w:tcPr>
            <w:tcW w:w="2444" w:type="dxa"/>
            <w:gridSpan w:val="2"/>
            <w:shd w:val="clear" w:color="auto" w:fill="auto"/>
          </w:tcPr>
          <w:p w:rsidR="004D42C3" w:rsidRPr="009C3256" w:rsidRDefault="004D42C3" w:rsidP="00DD661A">
            <w:pPr>
              <w:pStyle w:val="142"/>
              <w:jc w:val="center"/>
            </w:pPr>
            <w:r w:rsidRPr="009C3256">
              <w:rPr>
                <w:rFonts w:hint="eastAsia"/>
              </w:rPr>
              <w:t>112年度</w:t>
            </w:r>
          </w:p>
        </w:tc>
        <w:tc>
          <w:tcPr>
            <w:tcW w:w="2444" w:type="dxa"/>
            <w:gridSpan w:val="2"/>
            <w:shd w:val="clear" w:color="auto" w:fill="auto"/>
          </w:tcPr>
          <w:p w:rsidR="004D42C3" w:rsidRPr="009C3256" w:rsidRDefault="004D42C3" w:rsidP="00DD661A">
            <w:pPr>
              <w:pStyle w:val="142"/>
              <w:jc w:val="center"/>
            </w:pPr>
            <w:r w:rsidRPr="009C3256">
              <w:rPr>
                <w:rFonts w:hint="eastAsia"/>
              </w:rPr>
              <w:t>113年1-</w:t>
            </w:r>
            <w:r w:rsidR="00F64FC2" w:rsidRPr="009C3256">
              <w:rPr>
                <w:rFonts w:hint="eastAsia"/>
              </w:rPr>
              <w:t>7</w:t>
            </w:r>
            <w:r w:rsidRPr="009C3256">
              <w:rPr>
                <w:rFonts w:hint="eastAsia"/>
              </w:rPr>
              <w:t>月</w:t>
            </w:r>
          </w:p>
        </w:tc>
        <w:tc>
          <w:tcPr>
            <w:tcW w:w="2623" w:type="dxa"/>
            <w:gridSpan w:val="2"/>
            <w:shd w:val="clear" w:color="auto" w:fill="auto"/>
          </w:tcPr>
          <w:p w:rsidR="004D42C3" w:rsidRPr="009C3256" w:rsidRDefault="004D42C3" w:rsidP="00DD661A">
            <w:pPr>
              <w:pStyle w:val="142"/>
              <w:jc w:val="center"/>
            </w:pPr>
            <w:r w:rsidRPr="009C3256">
              <w:rPr>
                <w:rFonts w:hint="eastAsia"/>
              </w:rPr>
              <w:t>合計</w:t>
            </w:r>
          </w:p>
        </w:tc>
      </w:tr>
      <w:tr w:rsidR="00E6720B" w:rsidRPr="009C3256" w:rsidTr="00E6720B">
        <w:trPr>
          <w:tblHeader/>
        </w:trPr>
        <w:tc>
          <w:tcPr>
            <w:tcW w:w="1056" w:type="dxa"/>
            <w:vMerge/>
            <w:shd w:val="clear" w:color="auto" w:fill="auto"/>
          </w:tcPr>
          <w:p w:rsidR="004D42C3" w:rsidRPr="009C3256" w:rsidRDefault="004D42C3" w:rsidP="00DD661A">
            <w:pPr>
              <w:pStyle w:val="142"/>
              <w:rPr>
                <w:rFonts w:hint="eastAsia"/>
              </w:rPr>
            </w:pPr>
          </w:p>
        </w:tc>
        <w:tc>
          <w:tcPr>
            <w:tcW w:w="1296" w:type="dxa"/>
            <w:shd w:val="clear" w:color="auto" w:fill="auto"/>
          </w:tcPr>
          <w:p w:rsidR="004D42C3" w:rsidRPr="009C3256" w:rsidRDefault="004D42C3" w:rsidP="00DD661A">
            <w:pPr>
              <w:pStyle w:val="142"/>
              <w:jc w:val="center"/>
            </w:pPr>
            <w:r w:rsidRPr="009C3256">
              <w:rPr>
                <w:rFonts w:hint="eastAsia"/>
              </w:rPr>
              <w:t>人次</w:t>
            </w:r>
          </w:p>
        </w:tc>
        <w:tc>
          <w:tcPr>
            <w:tcW w:w="1148" w:type="dxa"/>
            <w:shd w:val="clear" w:color="auto" w:fill="auto"/>
          </w:tcPr>
          <w:p w:rsidR="004D42C3" w:rsidRPr="009C3256" w:rsidRDefault="004D42C3" w:rsidP="00DD661A">
            <w:pPr>
              <w:pStyle w:val="142"/>
              <w:jc w:val="center"/>
            </w:pPr>
            <w:r w:rsidRPr="009C3256">
              <w:rPr>
                <w:rFonts w:hint="eastAsia"/>
              </w:rPr>
              <w:t>比重</w:t>
            </w:r>
          </w:p>
        </w:tc>
        <w:tc>
          <w:tcPr>
            <w:tcW w:w="1296" w:type="dxa"/>
            <w:shd w:val="clear" w:color="auto" w:fill="auto"/>
          </w:tcPr>
          <w:p w:rsidR="004D42C3" w:rsidRPr="009C3256" w:rsidRDefault="004D42C3" w:rsidP="00DD661A">
            <w:pPr>
              <w:pStyle w:val="142"/>
              <w:jc w:val="center"/>
              <w:rPr>
                <w:rFonts w:hint="eastAsia"/>
              </w:rPr>
            </w:pPr>
            <w:r w:rsidRPr="009C3256">
              <w:rPr>
                <w:rFonts w:hint="eastAsia"/>
              </w:rPr>
              <w:t>人次</w:t>
            </w:r>
          </w:p>
        </w:tc>
        <w:tc>
          <w:tcPr>
            <w:tcW w:w="1148" w:type="dxa"/>
            <w:shd w:val="clear" w:color="auto" w:fill="auto"/>
          </w:tcPr>
          <w:p w:rsidR="004D42C3" w:rsidRPr="009C3256" w:rsidRDefault="004D42C3" w:rsidP="00DD661A">
            <w:pPr>
              <w:pStyle w:val="142"/>
              <w:jc w:val="center"/>
            </w:pPr>
            <w:r w:rsidRPr="009C3256">
              <w:rPr>
                <w:rFonts w:hint="eastAsia"/>
              </w:rPr>
              <w:t>比重</w:t>
            </w:r>
          </w:p>
        </w:tc>
        <w:tc>
          <w:tcPr>
            <w:tcW w:w="1548" w:type="dxa"/>
            <w:shd w:val="clear" w:color="auto" w:fill="auto"/>
          </w:tcPr>
          <w:p w:rsidR="004D42C3" w:rsidRPr="009C3256" w:rsidRDefault="004D42C3" w:rsidP="00DD661A">
            <w:pPr>
              <w:pStyle w:val="142"/>
              <w:jc w:val="center"/>
            </w:pPr>
            <w:r w:rsidRPr="009C3256">
              <w:rPr>
                <w:rFonts w:hint="eastAsia"/>
              </w:rPr>
              <w:t>人次</w:t>
            </w:r>
          </w:p>
        </w:tc>
        <w:tc>
          <w:tcPr>
            <w:tcW w:w="1075" w:type="dxa"/>
            <w:shd w:val="clear" w:color="auto" w:fill="auto"/>
          </w:tcPr>
          <w:p w:rsidR="004D42C3" w:rsidRPr="009C3256" w:rsidRDefault="004D42C3" w:rsidP="00DD661A">
            <w:pPr>
              <w:pStyle w:val="142"/>
              <w:jc w:val="center"/>
            </w:pPr>
            <w:r w:rsidRPr="009C3256">
              <w:rPr>
                <w:rFonts w:hint="eastAsia"/>
              </w:rPr>
              <w:t>比重</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香港澳門</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1,199,572 </w:t>
            </w:r>
          </w:p>
        </w:tc>
        <w:tc>
          <w:tcPr>
            <w:tcW w:w="1148" w:type="dxa"/>
            <w:shd w:val="clear" w:color="auto" w:fill="auto"/>
          </w:tcPr>
          <w:p w:rsidR="00F64FC2" w:rsidRPr="009C3256" w:rsidRDefault="00F64FC2" w:rsidP="00F64FC2">
            <w:pPr>
              <w:pStyle w:val="142"/>
              <w:jc w:val="right"/>
              <w:rPr>
                <w:spacing w:val="-20"/>
              </w:rPr>
            </w:pPr>
            <w:r w:rsidRPr="009C3256">
              <w:rPr>
                <w:spacing w:val="-20"/>
              </w:rPr>
              <w:t>18.49%</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734,153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16.87%</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1,933,725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17.84%</w:t>
            </w:r>
          </w:p>
        </w:tc>
      </w:tr>
      <w:tr w:rsidR="00F64FC2" w:rsidRPr="009C3256" w:rsidTr="00E0783F">
        <w:tc>
          <w:tcPr>
            <w:tcW w:w="1056" w:type="dxa"/>
            <w:shd w:val="clear" w:color="auto" w:fill="auto"/>
          </w:tcPr>
          <w:p w:rsidR="00F64FC2" w:rsidRPr="009C3256" w:rsidRDefault="00F64FC2" w:rsidP="00F64FC2">
            <w:pPr>
              <w:pStyle w:val="142"/>
              <w:jc w:val="both"/>
              <w:rPr>
                <w:spacing w:val="-20"/>
              </w:rPr>
            </w:pPr>
            <w:r w:rsidRPr="009C3256">
              <w:rPr>
                <w:rFonts w:hint="eastAsia"/>
                <w:spacing w:val="-20"/>
              </w:rPr>
              <w:t>日本</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928,235 </w:t>
            </w:r>
          </w:p>
        </w:tc>
        <w:tc>
          <w:tcPr>
            <w:tcW w:w="1148" w:type="dxa"/>
            <w:shd w:val="clear" w:color="auto" w:fill="auto"/>
          </w:tcPr>
          <w:p w:rsidR="00F64FC2" w:rsidRPr="009C3256" w:rsidRDefault="00F64FC2" w:rsidP="00F64FC2">
            <w:pPr>
              <w:pStyle w:val="142"/>
              <w:jc w:val="right"/>
              <w:rPr>
                <w:spacing w:val="-20"/>
              </w:rPr>
            </w:pPr>
            <w:r w:rsidRPr="009C3256">
              <w:rPr>
                <w:spacing w:val="-20"/>
              </w:rPr>
              <w:t>14.31%</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683,526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15.70%</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1,611,761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14.87%</w:t>
            </w:r>
          </w:p>
        </w:tc>
      </w:tr>
      <w:tr w:rsidR="00F64FC2" w:rsidRPr="009C3256" w:rsidTr="00E0783F">
        <w:tc>
          <w:tcPr>
            <w:tcW w:w="1056" w:type="dxa"/>
            <w:shd w:val="clear" w:color="auto" w:fill="auto"/>
          </w:tcPr>
          <w:p w:rsidR="00F64FC2" w:rsidRPr="009C3256" w:rsidRDefault="00F64FC2" w:rsidP="00F64FC2">
            <w:pPr>
              <w:pStyle w:val="142"/>
              <w:jc w:val="both"/>
              <w:rPr>
                <w:spacing w:val="-20"/>
              </w:rPr>
            </w:pPr>
            <w:r w:rsidRPr="009C3256">
              <w:rPr>
                <w:rFonts w:hint="eastAsia"/>
                <w:spacing w:val="-20"/>
              </w:rPr>
              <w:t>韓國</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744,727 </w:t>
            </w:r>
          </w:p>
        </w:tc>
        <w:tc>
          <w:tcPr>
            <w:tcW w:w="1148" w:type="dxa"/>
            <w:shd w:val="clear" w:color="auto" w:fill="auto"/>
          </w:tcPr>
          <w:p w:rsidR="00F64FC2" w:rsidRPr="009C3256" w:rsidRDefault="00F64FC2" w:rsidP="00F64FC2">
            <w:pPr>
              <w:pStyle w:val="142"/>
              <w:jc w:val="right"/>
              <w:rPr>
                <w:spacing w:val="-20"/>
              </w:rPr>
            </w:pPr>
            <w:r w:rsidRPr="009C3256">
              <w:rPr>
                <w:spacing w:val="-20"/>
              </w:rPr>
              <w:t>11.48%</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560,339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12.87%</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1,305,066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12.04%</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美國</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529,532 </w:t>
            </w:r>
          </w:p>
        </w:tc>
        <w:tc>
          <w:tcPr>
            <w:tcW w:w="1148" w:type="dxa"/>
            <w:shd w:val="clear" w:color="auto" w:fill="auto"/>
          </w:tcPr>
          <w:p w:rsidR="00F64FC2" w:rsidRPr="009C3256" w:rsidRDefault="00F64FC2" w:rsidP="00F64FC2">
            <w:pPr>
              <w:pStyle w:val="142"/>
              <w:jc w:val="right"/>
              <w:rPr>
                <w:spacing w:val="-20"/>
              </w:rPr>
            </w:pPr>
            <w:r w:rsidRPr="009C3256">
              <w:rPr>
                <w:spacing w:val="-20"/>
              </w:rPr>
              <w:t>8.16%</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372,589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8.56%</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902,121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8.32%</w:t>
            </w:r>
          </w:p>
        </w:tc>
      </w:tr>
      <w:tr w:rsidR="00F64FC2" w:rsidRPr="009C3256" w:rsidTr="00E0783F">
        <w:tc>
          <w:tcPr>
            <w:tcW w:w="1056" w:type="dxa"/>
            <w:shd w:val="clear" w:color="auto" w:fill="auto"/>
          </w:tcPr>
          <w:p w:rsidR="00F64FC2" w:rsidRPr="009C3256" w:rsidRDefault="00F64FC2" w:rsidP="00F64FC2">
            <w:pPr>
              <w:pStyle w:val="142"/>
              <w:jc w:val="both"/>
              <w:rPr>
                <w:spacing w:val="-20"/>
              </w:rPr>
            </w:pPr>
            <w:r w:rsidRPr="009C3256">
              <w:rPr>
                <w:rFonts w:hint="eastAsia"/>
                <w:spacing w:val="-20"/>
              </w:rPr>
              <w:t>新加坡</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463,893 </w:t>
            </w:r>
          </w:p>
        </w:tc>
        <w:tc>
          <w:tcPr>
            <w:tcW w:w="1148" w:type="dxa"/>
            <w:shd w:val="clear" w:color="auto" w:fill="auto"/>
          </w:tcPr>
          <w:p w:rsidR="00F64FC2" w:rsidRPr="009C3256" w:rsidRDefault="00F64FC2" w:rsidP="00F64FC2">
            <w:pPr>
              <w:pStyle w:val="142"/>
              <w:jc w:val="right"/>
              <w:rPr>
                <w:spacing w:val="-20"/>
              </w:rPr>
            </w:pPr>
            <w:r w:rsidRPr="009C3256">
              <w:rPr>
                <w:spacing w:val="-20"/>
              </w:rPr>
              <w:t>7.15%</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235,298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5.41%</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699,191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6.45%</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馬來西亞</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437,491 </w:t>
            </w:r>
          </w:p>
        </w:tc>
        <w:tc>
          <w:tcPr>
            <w:tcW w:w="1148" w:type="dxa"/>
            <w:shd w:val="clear" w:color="auto" w:fill="auto"/>
          </w:tcPr>
          <w:p w:rsidR="00F64FC2" w:rsidRPr="009C3256" w:rsidRDefault="00F64FC2" w:rsidP="00F64FC2">
            <w:pPr>
              <w:pStyle w:val="142"/>
              <w:jc w:val="right"/>
              <w:rPr>
                <w:spacing w:val="-20"/>
              </w:rPr>
            </w:pPr>
            <w:r w:rsidRPr="009C3256">
              <w:rPr>
                <w:spacing w:val="-20"/>
              </w:rPr>
              <w:t>6.74%</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253,069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5.81%</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690,560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6.37%</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泰國</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394,688 </w:t>
            </w:r>
          </w:p>
        </w:tc>
        <w:tc>
          <w:tcPr>
            <w:tcW w:w="1148" w:type="dxa"/>
            <w:shd w:val="clear" w:color="auto" w:fill="auto"/>
          </w:tcPr>
          <w:p w:rsidR="00F64FC2" w:rsidRPr="009C3256" w:rsidRDefault="00F64FC2" w:rsidP="00F64FC2">
            <w:pPr>
              <w:pStyle w:val="142"/>
              <w:jc w:val="right"/>
              <w:rPr>
                <w:spacing w:val="-20"/>
              </w:rPr>
            </w:pPr>
            <w:r w:rsidRPr="009C3256">
              <w:rPr>
                <w:spacing w:val="-20"/>
              </w:rPr>
              <w:t>6.08%</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239,098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5.49%</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633,786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5.85%</w:t>
            </w:r>
          </w:p>
        </w:tc>
      </w:tr>
      <w:tr w:rsidR="00F64FC2" w:rsidRPr="009C3256" w:rsidTr="00E0783F">
        <w:tc>
          <w:tcPr>
            <w:tcW w:w="1056" w:type="dxa"/>
            <w:shd w:val="clear" w:color="auto" w:fill="auto"/>
          </w:tcPr>
          <w:p w:rsidR="00F64FC2" w:rsidRPr="009C3256" w:rsidRDefault="00F64FC2" w:rsidP="00F64FC2">
            <w:pPr>
              <w:pStyle w:val="142"/>
              <w:rPr>
                <w:spacing w:val="-20"/>
              </w:rPr>
            </w:pPr>
            <w:r w:rsidRPr="009C3256">
              <w:rPr>
                <w:rFonts w:hint="eastAsia"/>
                <w:spacing w:val="-20"/>
              </w:rPr>
              <w:lastRenderedPageBreak/>
              <w:t>菲律賓</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350,487 </w:t>
            </w:r>
          </w:p>
        </w:tc>
        <w:tc>
          <w:tcPr>
            <w:tcW w:w="1148" w:type="dxa"/>
            <w:shd w:val="clear" w:color="auto" w:fill="auto"/>
          </w:tcPr>
          <w:p w:rsidR="00F64FC2" w:rsidRPr="009C3256" w:rsidRDefault="00F64FC2" w:rsidP="00F64FC2">
            <w:pPr>
              <w:pStyle w:val="142"/>
              <w:jc w:val="right"/>
              <w:rPr>
                <w:spacing w:val="-20"/>
              </w:rPr>
            </w:pPr>
            <w:r w:rsidRPr="009C3256">
              <w:rPr>
                <w:spacing w:val="-20"/>
              </w:rPr>
              <w:t>5.40%</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264,821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6.08%</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615,308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5.68%</w:t>
            </w:r>
          </w:p>
        </w:tc>
      </w:tr>
      <w:tr w:rsidR="00F64FC2" w:rsidRPr="009C3256" w:rsidTr="00E0783F">
        <w:tc>
          <w:tcPr>
            <w:tcW w:w="1056" w:type="dxa"/>
            <w:shd w:val="clear" w:color="auto" w:fill="auto"/>
          </w:tcPr>
          <w:p w:rsidR="00F64FC2" w:rsidRPr="009C3256" w:rsidRDefault="00F64FC2" w:rsidP="00F64FC2">
            <w:pPr>
              <w:pStyle w:val="142"/>
              <w:rPr>
                <w:spacing w:val="-20"/>
              </w:rPr>
            </w:pPr>
            <w:r w:rsidRPr="009C3256">
              <w:rPr>
                <w:rFonts w:hint="eastAsia"/>
                <w:spacing w:val="-20"/>
              </w:rPr>
              <w:t>越南</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382,529 </w:t>
            </w:r>
          </w:p>
        </w:tc>
        <w:tc>
          <w:tcPr>
            <w:tcW w:w="1148" w:type="dxa"/>
            <w:shd w:val="clear" w:color="auto" w:fill="auto"/>
          </w:tcPr>
          <w:p w:rsidR="00F64FC2" w:rsidRPr="009C3256" w:rsidRDefault="00F64FC2" w:rsidP="00F64FC2">
            <w:pPr>
              <w:pStyle w:val="142"/>
              <w:jc w:val="right"/>
              <w:rPr>
                <w:spacing w:val="-20"/>
              </w:rPr>
            </w:pPr>
            <w:r w:rsidRPr="009C3256">
              <w:rPr>
                <w:spacing w:val="-20"/>
              </w:rPr>
              <w:t>5.90%</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220,897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5.07%</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603,426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5.57%</w:t>
            </w:r>
          </w:p>
        </w:tc>
      </w:tr>
      <w:tr w:rsidR="00F64FC2" w:rsidRPr="009C3256" w:rsidTr="00E0783F">
        <w:tc>
          <w:tcPr>
            <w:tcW w:w="1056" w:type="dxa"/>
            <w:shd w:val="clear" w:color="auto" w:fill="auto"/>
          </w:tcPr>
          <w:p w:rsidR="00F64FC2" w:rsidRPr="009C3256" w:rsidRDefault="00F64FC2" w:rsidP="00F64FC2">
            <w:pPr>
              <w:pStyle w:val="142"/>
              <w:rPr>
                <w:rFonts w:hint="eastAsia"/>
                <w:spacing w:val="-20"/>
              </w:rPr>
            </w:pPr>
            <w:r w:rsidRPr="009C3256">
              <w:rPr>
                <w:rFonts w:hint="eastAsia"/>
                <w:spacing w:val="-20"/>
              </w:rPr>
              <w:t>來臺旅客總人次</w:t>
            </w:r>
          </w:p>
        </w:tc>
        <w:tc>
          <w:tcPr>
            <w:tcW w:w="1296" w:type="dxa"/>
            <w:shd w:val="clear" w:color="auto" w:fill="auto"/>
            <w:vAlign w:val="center"/>
          </w:tcPr>
          <w:p w:rsidR="00F64FC2" w:rsidRPr="009C3256" w:rsidRDefault="00F64FC2" w:rsidP="00F64FC2">
            <w:pPr>
              <w:pStyle w:val="142"/>
              <w:jc w:val="center"/>
              <w:rPr>
                <w:spacing w:val="-20"/>
              </w:rPr>
            </w:pPr>
            <w:r w:rsidRPr="009C3256">
              <w:rPr>
                <w:spacing w:val="-20"/>
              </w:rPr>
              <w:t>6,486,951</w:t>
            </w:r>
          </w:p>
        </w:tc>
        <w:tc>
          <w:tcPr>
            <w:tcW w:w="1148" w:type="dxa"/>
            <w:shd w:val="clear" w:color="auto" w:fill="auto"/>
            <w:vAlign w:val="center"/>
          </w:tcPr>
          <w:p w:rsidR="00F64FC2" w:rsidRPr="009C3256" w:rsidRDefault="00F64FC2" w:rsidP="00F64FC2">
            <w:pPr>
              <w:pStyle w:val="142"/>
              <w:jc w:val="center"/>
              <w:rPr>
                <w:spacing w:val="-20"/>
              </w:rPr>
            </w:pPr>
            <w:r w:rsidRPr="009C3256">
              <w:rPr>
                <w:spacing w:val="-20"/>
              </w:rPr>
              <w:t>100.00%</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4</w:t>
            </w:r>
            <w:r w:rsidRPr="009C3256">
              <w:rPr>
                <w:spacing w:val="-20"/>
              </w:rPr>
              <w:t>,</w:t>
            </w:r>
            <w:r w:rsidRPr="009C3256">
              <w:rPr>
                <w:rFonts w:hint="eastAsia"/>
                <w:spacing w:val="-20"/>
              </w:rPr>
              <w:t>352</w:t>
            </w:r>
            <w:r w:rsidRPr="009C3256">
              <w:rPr>
                <w:spacing w:val="-20"/>
              </w:rPr>
              <w:t>,</w:t>
            </w:r>
            <w:r w:rsidRPr="009C3256">
              <w:rPr>
                <w:rFonts w:hint="eastAsia"/>
                <w:spacing w:val="-20"/>
              </w:rPr>
              <w:t>775</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100.00%</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10,839,726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100.00%</w:t>
            </w:r>
          </w:p>
        </w:tc>
      </w:tr>
    </w:tbl>
    <w:p w:rsidR="00F81A84" w:rsidRPr="009C3256" w:rsidRDefault="00F81A84" w:rsidP="00E0783F">
      <w:pPr>
        <w:pStyle w:val="142"/>
        <w:ind w:leftChars="-54" w:left="1277" w:hangingChars="588" w:hanging="1430"/>
        <w:rPr>
          <w:rFonts w:hint="eastAsia"/>
        </w:rPr>
      </w:pPr>
      <w:r w:rsidRPr="009C3256">
        <w:rPr>
          <w:rFonts w:hint="eastAsia"/>
        </w:rPr>
        <w:t>說    明：1.表內「來臺旅客總人次」為各時期來臺旅客總人次，並非表內</w:t>
      </w:r>
      <w:r w:rsidR="00D3457F" w:rsidRPr="009C3256">
        <w:rPr>
          <w:rFonts w:hint="eastAsia"/>
        </w:rPr>
        <w:t>9</w:t>
      </w:r>
      <w:r w:rsidRPr="009C3256">
        <w:rPr>
          <w:rFonts w:hint="eastAsia"/>
        </w:rPr>
        <w:t>國之總和。</w:t>
      </w:r>
    </w:p>
    <w:p w:rsidR="00F81A84" w:rsidRPr="009C3256" w:rsidRDefault="00F81A84" w:rsidP="00E0783F">
      <w:pPr>
        <w:pStyle w:val="142"/>
        <w:ind w:leftChars="366" w:left="1037"/>
      </w:pPr>
      <w:r w:rsidRPr="009C3256">
        <w:rPr>
          <w:rFonts w:hint="eastAsia"/>
        </w:rPr>
        <w:t>2.表內「比重」係各地區來臺總人次/來臺旅客總人次。</w:t>
      </w:r>
    </w:p>
    <w:p w:rsidR="00F81A84" w:rsidRPr="009C3256" w:rsidRDefault="00F81A84" w:rsidP="00E0783F">
      <w:pPr>
        <w:pStyle w:val="142"/>
        <w:ind w:leftChars="-44" w:left="-125"/>
      </w:pPr>
      <w:r w:rsidRPr="009C3256">
        <w:rPr>
          <w:rFonts w:hint="eastAsia"/>
        </w:rPr>
        <w:t>資料來源：觀光署觀光統計資料庫</w:t>
      </w:r>
      <w:r w:rsidR="003F22BE" w:rsidRPr="009C3256">
        <w:rPr>
          <w:rFonts w:hint="eastAsia"/>
        </w:rPr>
        <w:t>。</w:t>
      </w:r>
    </w:p>
    <w:p w:rsidR="00F551CC" w:rsidRPr="009C3256" w:rsidRDefault="00F551CC" w:rsidP="00AB36D7">
      <w:pPr>
        <w:ind w:left="566" w:firstLine="566"/>
        <w:rPr>
          <w:rFonts w:hAnsi="標楷體"/>
        </w:rPr>
      </w:pPr>
      <w:r w:rsidRPr="009C3256">
        <w:rPr>
          <w:rFonts w:hAnsi="標楷體" w:hint="eastAsia"/>
        </w:rPr>
        <w:t>綜上，</w:t>
      </w:r>
      <w:r w:rsidR="00B3057E" w:rsidRPr="009C3256">
        <w:rPr>
          <w:rFonts w:hAnsi="標楷體" w:hint="eastAsia"/>
        </w:rPr>
        <w:t>我國</w:t>
      </w:r>
      <w:r w:rsidR="00512114" w:rsidRPr="009C3256">
        <w:rPr>
          <w:rFonts w:hAnsi="標楷體" w:hint="eastAsia"/>
        </w:rPr>
        <w:t>112年度每一</w:t>
      </w:r>
      <w:r w:rsidR="008B4FBA" w:rsidRPr="009C3256">
        <w:rPr>
          <w:rFonts w:hAnsi="標楷體" w:hint="eastAsia"/>
        </w:rPr>
        <w:t>來臺</w:t>
      </w:r>
      <w:r w:rsidR="00956826" w:rsidRPr="009C3256">
        <w:rPr>
          <w:rFonts w:hAnsi="標楷體" w:hint="eastAsia"/>
        </w:rPr>
        <w:t>旅客平均在</w:t>
      </w:r>
      <w:r w:rsidR="00DD779C" w:rsidRPr="009C3256">
        <w:rPr>
          <w:rFonts w:hAnsi="標楷體" w:hint="eastAsia"/>
        </w:rPr>
        <w:t>臺</w:t>
      </w:r>
      <w:r w:rsidR="00956826" w:rsidRPr="009C3256">
        <w:rPr>
          <w:rFonts w:hAnsi="標楷體" w:hint="eastAsia"/>
        </w:rPr>
        <w:t>消費金額及平均停留夜數</w:t>
      </w:r>
      <w:r w:rsidR="00512114" w:rsidRPr="009C3256">
        <w:rPr>
          <w:rFonts w:hAnsi="標楷體" w:hint="eastAsia"/>
        </w:rPr>
        <w:t>均較疫情前增加</w:t>
      </w:r>
      <w:r w:rsidR="00F4315E" w:rsidRPr="009C3256">
        <w:rPr>
          <w:rFonts w:hAnsi="標楷體" w:hint="eastAsia"/>
        </w:rPr>
        <w:t>，惟來</w:t>
      </w:r>
      <w:r w:rsidR="00F4315E" w:rsidRPr="009C3256">
        <w:rPr>
          <w:rFonts w:hAnsi="標楷體" w:hint="eastAsia"/>
          <w:lang w:eastAsia="zh-HK"/>
        </w:rPr>
        <w:t>臺旅客整體觀光支出僅回復至疫情前</w:t>
      </w:r>
      <w:r w:rsidR="00F4315E" w:rsidRPr="009C3256">
        <w:rPr>
          <w:rFonts w:hAnsi="標楷體" w:hint="eastAsia"/>
        </w:rPr>
        <w:t>6</w:t>
      </w:r>
      <w:r w:rsidR="00F4315E" w:rsidRPr="009C3256">
        <w:rPr>
          <w:rFonts w:hAnsi="標楷體" w:hint="eastAsia"/>
          <w:lang w:eastAsia="zh-HK"/>
        </w:rPr>
        <w:t>成水準，</w:t>
      </w:r>
      <w:r w:rsidR="00AB36D7" w:rsidRPr="009C3256">
        <w:rPr>
          <w:rFonts w:hAnsi="標楷體" w:hint="eastAsia"/>
          <w:lang w:eastAsia="zh-HK"/>
        </w:rPr>
        <w:t>與</w:t>
      </w:r>
      <w:r w:rsidR="00F4315E" w:rsidRPr="009C3256">
        <w:rPr>
          <w:rFonts w:hAnsi="標楷體" w:hint="eastAsia"/>
          <w:lang w:eastAsia="zh-HK"/>
        </w:rPr>
        <w:t>2023年亞太地區旅客入境收入</w:t>
      </w:r>
      <w:r w:rsidR="00B3057E" w:rsidRPr="009C3256">
        <w:rPr>
          <w:rFonts w:hAnsi="標楷體" w:hint="eastAsia"/>
          <w:lang w:eastAsia="zh-HK"/>
        </w:rPr>
        <w:t>已</w:t>
      </w:r>
      <w:r w:rsidR="00F4315E" w:rsidRPr="009C3256">
        <w:rPr>
          <w:rFonts w:hAnsi="標楷體" w:hint="eastAsia"/>
          <w:lang w:eastAsia="zh-HK"/>
        </w:rPr>
        <w:t>達疫情前78%</w:t>
      </w:r>
      <w:r w:rsidR="00E0783F" w:rsidRPr="009C3256">
        <w:rPr>
          <w:rFonts w:hAnsi="標楷體" w:hint="eastAsia"/>
          <w:lang w:eastAsia="zh-HK"/>
        </w:rPr>
        <w:t>水準</w:t>
      </w:r>
      <w:r w:rsidR="007F222F" w:rsidRPr="009C3256">
        <w:rPr>
          <w:rFonts w:hAnsi="標楷體" w:hint="eastAsia"/>
          <w:lang w:eastAsia="zh-HK"/>
        </w:rPr>
        <w:t>之</w:t>
      </w:r>
      <w:r w:rsidR="00F4315E" w:rsidRPr="009C3256">
        <w:rPr>
          <w:rFonts w:hAnsi="標楷體" w:hint="eastAsia"/>
          <w:lang w:eastAsia="zh-HK"/>
        </w:rPr>
        <w:t>國際趨勢相比，我國</w:t>
      </w:r>
      <w:r w:rsidR="00B3057E" w:rsidRPr="009C3256">
        <w:rPr>
          <w:rFonts w:hAnsi="標楷體" w:hint="eastAsia"/>
          <w:lang w:eastAsia="zh-HK"/>
        </w:rPr>
        <w:t>回</w:t>
      </w:r>
      <w:r w:rsidR="00F4315E" w:rsidRPr="009C3256">
        <w:rPr>
          <w:rFonts w:hAnsi="標楷體" w:hint="eastAsia"/>
          <w:lang w:eastAsia="zh-HK"/>
        </w:rPr>
        <w:t>復較為</w:t>
      </w:r>
      <w:r w:rsidR="00512114" w:rsidRPr="009C3256">
        <w:rPr>
          <w:rFonts w:hAnsi="標楷體" w:hint="eastAsia"/>
          <w:lang w:eastAsia="zh-HK"/>
        </w:rPr>
        <w:t>緩慢</w:t>
      </w:r>
      <w:r w:rsidR="00AB36D7" w:rsidRPr="009C3256">
        <w:rPr>
          <w:rFonts w:hAnsi="標楷體" w:hint="eastAsia"/>
          <w:lang w:eastAsia="zh-HK"/>
        </w:rPr>
        <w:t>，鑒於</w:t>
      </w:r>
      <w:r w:rsidR="008F36A5" w:rsidRPr="009C3256">
        <w:rPr>
          <w:rFonts w:hAnsi="標楷體" w:hint="eastAsia"/>
          <w:lang w:eastAsia="zh-HK"/>
        </w:rPr>
        <w:t>兩</w:t>
      </w:r>
      <w:r w:rsidR="00AB36D7" w:rsidRPr="009C3256">
        <w:rPr>
          <w:rFonts w:hAnsi="標楷體" w:hint="eastAsia"/>
          <w:lang w:eastAsia="zh-HK"/>
        </w:rPr>
        <w:t>岸關係不確定性</w:t>
      </w:r>
      <w:r w:rsidR="00B3057E" w:rsidRPr="009C3256">
        <w:rPr>
          <w:rFonts w:hAnsi="標楷體" w:hint="eastAsia"/>
        </w:rPr>
        <w:t>及</w:t>
      </w:r>
      <w:bookmarkStart w:id="6" w:name="_Hlk179972651"/>
      <w:bookmarkStart w:id="7" w:name="_Hlk179972839"/>
      <w:r w:rsidR="00B3057E" w:rsidRPr="009C3256">
        <w:rPr>
          <w:rFonts w:hAnsi="標楷體" w:hint="eastAsia"/>
        </w:rPr>
        <w:t>目前來臺旅客</w:t>
      </w:r>
      <w:r w:rsidR="00F56E75" w:rsidRPr="009C3256">
        <w:rPr>
          <w:rFonts w:hAnsi="標楷體" w:hint="eastAsia"/>
        </w:rPr>
        <w:t>前三名為</w:t>
      </w:r>
      <w:r w:rsidR="00AB36D7" w:rsidRPr="009C3256">
        <w:rPr>
          <w:rFonts w:hAnsi="標楷體" w:hint="eastAsia"/>
        </w:rPr>
        <w:t>鄰近國家</w:t>
      </w:r>
      <w:r w:rsidR="00B3057E" w:rsidRPr="009C3256">
        <w:rPr>
          <w:rFonts w:hAnsi="標楷體" w:hint="eastAsia"/>
        </w:rPr>
        <w:t>(地區)</w:t>
      </w:r>
      <w:r w:rsidR="003F3EA3" w:rsidRPr="009C3256">
        <w:rPr>
          <w:rFonts w:hAnsi="標楷體" w:hint="eastAsia"/>
        </w:rPr>
        <w:t>香港</w:t>
      </w:r>
      <w:r w:rsidR="00AB36D7" w:rsidRPr="009C3256">
        <w:rPr>
          <w:rFonts w:hAnsi="標楷體" w:hint="eastAsia"/>
        </w:rPr>
        <w:t>澳門、日本</w:t>
      </w:r>
      <w:r w:rsidR="003F3EA3" w:rsidRPr="009C3256">
        <w:rPr>
          <w:rFonts w:hAnsi="標楷體" w:hint="eastAsia"/>
        </w:rPr>
        <w:t>及</w:t>
      </w:r>
      <w:r w:rsidRPr="009C3256">
        <w:rPr>
          <w:rFonts w:hAnsi="標楷體" w:hint="eastAsia"/>
        </w:rPr>
        <w:t>韓</w:t>
      </w:r>
      <w:r w:rsidR="003F3EA3" w:rsidRPr="009C3256">
        <w:rPr>
          <w:rFonts w:hAnsi="標楷體" w:hint="eastAsia"/>
        </w:rPr>
        <w:t>國</w:t>
      </w:r>
      <w:bookmarkEnd w:id="7"/>
      <w:r w:rsidRPr="009C3256">
        <w:rPr>
          <w:rFonts w:hAnsi="標楷體" w:hint="eastAsia"/>
        </w:rPr>
        <w:t>，</w:t>
      </w:r>
      <w:r w:rsidR="00956826" w:rsidRPr="009C3256">
        <w:rPr>
          <w:rFonts w:hAnsi="標楷體" w:hint="eastAsia"/>
        </w:rPr>
        <w:t>允宜</w:t>
      </w:r>
      <w:r w:rsidR="00AB36D7" w:rsidRPr="009C3256">
        <w:rPr>
          <w:rFonts w:hAnsi="標楷體" w:hint="eastAsia"/>
        </w:rPr>
        <w:t>持續瞭解該等</w:t>
      </w:r>
      <w:r w:rsidR="00B3057E" w:rsidRPr="009C3256">
        <w:rPr>
          <w:rFonts w:hAnsi="標楷體" w:hint="eastAsia"/>
        </w:rPr>
        <w:t>國家(</w:t>
      </w:r>
      <w:r w:rsidR="00AB36D7" w:rsidRPr="009C3256">
        <w:rPr>
          <w:rFonts w:hAnsi="標楷體" w:hint="eastAsia"/>
        </w:rPr>
        <w:t>地區</w:t>
      </w:r>
      <w:r w:rsidR="00B3057E" w:rsidRPr="009C3256">
        <w:rPr>
          <w:rFonts w:hAnsi="標楷體" w:hint="eastAsia"/>
        </w:rPr>
        <w:t>)</w:t>
      </w:r>
      <w:r w:rsidR="00AB36D7" w:rsidRPr="009C3256">
        <w:rPr>
          <w:rFonts w:hAnsi="標楷體" w:hint="eastAsia"/>
        </w:rPr>
        <w:t>旅客偏好及動態，適時</w:t>
      </w:r>
      <w:r w:rsidR="00AB36D7" w:rsidRPr="009C3256">
        <w:rPr>
          <w:rFonts w:hAnsi="標楷體" w:cs="新細明體" w:hint="eastAsia"/>
        </w:rPr>
        <w:t>調整</w:t>
      </w:r>
      <w:r w:rsidRPr="009C3256">
        <w:rPr>
          <w:rFonts w:hAnsi="標楷體" w:hint="eastAsia"/>
        </w:rPr>
        <w:t>各項觀光</w:t>
      </w:r>
      <w:r w:rsidR="00ED23C4" w:rsidRPr="009C3256">
        <w:rPr>
          <w:rFonts w:hAnsi="標楷體" w:hint="eastAsia"/>
        </w:rPr>
        <w:t>措施</w:t>
      </w:r>
      <w:r w:rsidRPr="009C3256">
        <w:rPr>
          <w:rFonts w:hAnsi="標楷體" w:hint="eastAsia"/>
        </w:rPr>
        <w:t>，俾提升</w:t>
      </w:r>
      <w:r w:rsidR="00AB36D7" w:rsidRPr="009C3256">
        <w:rPr>
          <w:rFonts w:hAnsi="標楷體" w:hint="eastAsia"/>
        </w:rPr>
        <w:t>來</w:t>
      </w:r>
      <w:r w:rsidR="00B3057E" w:rsidRPr="009C3256">
        <w:rPr>
          <w:rFonts w:hAnsi="標楷體" w:hint="eastAsia"/>
        </w:rPr>
        <w:t>臺</w:t>
      </w:r>
      <w:r w:rsidR="00AB36D7" w:rsidRPr="009C3256">
        <w:rPr>
          <w:rFonts w:hAnsi="標楷體" w:hint="eastAsia"/>
        </w:rPr>
        <w:t>旅客</w:t>
      </w:r>
      <w:r w:rsidRPr="009C3256">
        <w:rPr>
          <w:rFonts w:hAnsi="標楷體" w:hint="eastAsia"/>
        </w:rPr>
        <w:t>人</w:t>
      </w:r>
      <w:r w:rsidR="00ED23C4" w:rsidRPr="009C3256">
        <w:rPr>
          <w:rFonts w:hAnsi="標楷體" w:hint="eastAsia"/>
        </w:rPr>
        <w:t>數</w:t>
      </w:r>
      <w:r w:rsidRPr="009C3256">
        <w:rPr>
          <w:rFonts w:hAnsi="標楷體" w:hint="eastAsia"/>
        </w:rPr>
        <w:t>及</w:t>
      </w:r>
      <w:r w:rsidR="00ED23C4" w:rsidRPr="009C3256">
        <w:rPr>
          <w:rFonts w:hAnsi="標楷體" w:hint="eastAsia"/>
        </w:rPr>
        <w:t>增加我國觀光外匯</w:t>
      </w:r>
      <w:r w:rsidRPr="009C3256">
        <w:rPr>
          <w:rFonts w:hAnsi="標楷體" w:hint="eastAsia"/>
        </w:rPr>
        <w:t>收</w:t>
      </w:r>
      <w:r w:rsidR="00B3057E" w:rsidRPr="009C3256">
        <w:rPr>
          <w:rFonts w:hAnsi="標楷體" w:hint="eastAsia"/>
        </w:rPr>
        <w:t>入</w:t>
      </w:r>
      <w:r w:rsidRPr="009C3256">
        <w:rPr>
          <w:rFonts w:hAnsi="標楷體" w:hint="eastAsia"/>
        </w:rPr>
        <w:t>。</w:t>
      </w:r>
    </w:p>
    <w:bookmarkEnd w:id="6"/>
    <w:sectPr w:rsidR="00F551CC"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FB2BEC" w:rsidRPr="00FB2BEC">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0352F6" w:rsidRPr="00A33406" w:rsidRDefault="000352F6" w:rsidP="000352F6">
      <w:pPr>
        <w:pStyle w:val="142"/>
        <w:ind w:left="170" w:hangingChars="70" w:hanging="170"/>
        <w:jc w:val="both"/>
        <w:rPr>
          <w:rFonts w:hint="eastAsia"/>
        </w:rPr>
      </w:pPr>
      <w:r>
        <w:rPr>
          <w:rStyle w:val="afe"/>
        </w:rPr>
        <w:footnoteRef/>
      </w:r>
      <w:r>
        <w:rPr>
          <w:rFonts w:hint="eastAsia"/>
        </w:rPr>
        <w:t>「邊境穩健開放，自10月13日</w:t>
      </w:r>
      <w:r w:rsidRPr="000430E3">
        <w:rPr>
          <w:rFonts w:hAnsi="標楷體" w:hint="eastAsia"/>
        </w:rPr>
        <w:t>起入境</w:t>
      </w:r>
      <w:r w:rsidRPr="004C4D80">
        <w:rPr>
          <w:rFonts w:hint="eastAsia"/>
        </w:rPr>
        <w:t>人員</w:t>
      </w:r>
      <w:r w:rsidRPr="000430E3">
        <w:rPr>
          <w:rFonts w:hAnsi="標楷體" w:hint="eastAsia"/>
        </w:rPr>
        <w:t>免除居家檢疫，改須7天自主防疫。</w:t>
      </w:r>
      <w:r w:rsidRPr="000430E3">
        <w:rPr>
          <w:rFonts w:hAnsi="標楷體"/>
        </w:rPr>
        <w:t>…</w:t>
      </w:r>
      <w:r w:rsidRPr="000430E3">
        <w:rPr>
          <w:rFonts w:hAnsi="標楷體" w:hint="eastAsia"/>
        </w:rPr>
        <w:t>，並開放相關邊境管制措施，</w:t>
      </w:r>
      <w:r>
        <w:rPr>
          <w:rFonts w:hint="eastAsia"/>
        </w:rPr>
        <w:t>以兼顧防疫、經濟、維持社會運作及國際交流之需求。」</w:t>
      </w:r>
      <w:r w:rsidR="00331270">
        <w:rPr>
          <w:rFonts w:hint="eastAsia"/>
        </w:rPr>
        <w:t>，衛生福利部疾病管制署，111年9月29日新聞稿。</w:t>
      </w:r>
    </w:p>
  </w:footnote>
  <w:footnote w:id="2">
    <w:p w:rsidR="00F551CC" w:rsidRPr="004A4B90" w:rsidRDefault="00F551CC" w:rsidP="00F551CC">
      <w:pPr>
        <w:pStyle w:val="142"/>
        <w:ind w:left="170" w:hangingChars="70" w:hanging="170"/>
        <w:jc w:val="both"/>
        <w:rPr>
          <w:rFonts w:hint="eastAsia"/>
          <w:strike/>
        </w:rPr>
      </w:pPr>
      <w:r w:rsidRPr="00101AE3">
        <w:rPr>
          <w:rStyle w:val="afe"/>
        </w:rPr>
        <w:footnoteRef/>
      </w:r>
      <w:r>
        <w:rPr>
          <w:rFonts w:hint="eastAsia"/>
        </w:rPr>
        <w:t xml:space="preserve"> 因108年度為</w:t>
      </w:r>
      <w:r w:rsidR="00EB20C8" w:rsidRPr="00EB20C8">
        <w:rPr>
          <w:rFonts w:hint="eastAsia"/>
        </w:rPr>
        <w:t>Covid-19疫情</w:t>
      </w:r>
      <w:r w:rsidR="00331270">
        <w:rPr>
          <w:rFonts w:hint="eastAsia"/>
        </w:rPr>
        <w:t>前</w:t>
      </w:r>
      <w:r>
        <w:rPr>
          <w:rFonts w:hint="eastAsia"/>
        </w:rPr>
        <w:t>之最近年度，故以該年作為比較基準；以下同。</w:t>
      </w:r>
    </w:p>
  </w:footnote>
  <w:footnote w:id="3">
    <w:p w:rsidR="00B9205A" w:rsidRPr="00813E48" w:rsidRDefault="00B9205A" w:rsidP="00B9205A">
      <w:pPr>
        <w:pStyle w:val="aff"/>
        <w:jc w:val="both"/>
        <w:rPr>
          <w:rFonts w:hint="eastAsia"/>
        </w:rPr>
      </w:pPr>
      <w:r>
        <w:rPr>
          <w:rStyle w:val="afe"/>
        </w:rPr>
        <w:footnoteRef/>
      </w:r>
      <w:r>
        <w:t xml:space="preserve"> </w:t>
      </w:r>
      <w:r w:rsidRPr="00B63422">
        <w:rPr>
          <w:rFonts w:hint="eastAsia"/>
        </w:rPr>
        <w:t>受</w:t>
      </w:r>
      <w:r>
        <w:rPr>
          <w:rFonts w:hint="eastAsia"/>
        </w:rPr>
        <w:t>疫情</w:t>
      </w:r>
      <w:r w:rsidRPr="00B63422">
        <w:rPr>
          <w:rFonts w:hint="eastAsia"/>
        </w:rPr>
        <w:t>影響</w:t>
      </w:r>
      <w:r w:rsidRPr="00B63422">
        <w:t>109</w:t>
      </w:r>
      <w:r w:rsidRPr="00B63422">
        <w:rPr>
          <w:rFonts w:hint="eastAsia"/>
        </w:rPr>
        <w:t>年至</w:t>
      </w:r>
      <w:r w:rsidRPr="00B63422">
        <w:t>111</w:t>
      </w:r>
      <w:r w:rsidRPr="00B63422">
        <w:rPr>
          <w:rFonts w:hint="eastAsia"/>
        </w:rPr>
        <w:t>年入境旅客人次遽減，且邊境管制期間未開放旅客來臺旅遊，</w:t>
      </w:r>
      <w:r w:rsidRPr="00813E48">
        <w:rPr>
          <w:rFonts w:hint="eastAsia"/>
        </w:rPr>
        <w:t>爰不分析，數據比較以108年度(含)以前及112</w:t>
      </w:r>
      <w:r>
        <w:rPr>
          <w:rFonts w:hint="eastAsia"/>
        </w:rPr>
        <w:t>年已過期間為準，以下同。</w:t>
      </w:r>
    </w:p>
  </w:footnote>
  <w:footnote w:id="4">
    <w:p w:rsidR="00B9205A" w:rsidRPr="0014432B" w:rsidRDefault="00B9205A" w:rsidP="00F965C1">
      <w:pPr>
        <w:pStyle w:val="aff"/>
        <w:ind w:leftChars="-1" w:left="223" w:hangingChars="93" w:hanging="226"/>
        <w:rPr>
          <w:rFonts w:hint="eastAsia"/>
        </w:rPr>
      </w:pPr>
      <w:r w:rsidRPr="002F6248">
        <w:rPr>
          <w:rStyle w:val="afe"/>
          <w:szCs w:val="24"/>
        </w:rPr>
        <w:footnoteRef/>
      </w:r>
      <w:r w:rsidR="00F965C1">
        <w:rPr>
          <w:rFonts w:hint="eastAsia"/>
        </w:rPr>
        <w:t xml:space="preserve"> </w:t>
      </w:r>
      <w:r w:rsidRPr="0014432B">
        <w:rPr>
          <w:rFonts w:hAnsi="標楷體"/>
        </w:rPr>
        <w:t>UNWTO</w:t>
      </w:r>
      <w:r w:rsidR="00D15FAD" w:rsidRPr="0014432B">
        <w:rPr>
          <w:rFonts w:hAnsi="標楷體" w:hint="eastAsia"/>
        </w:rPr>
        <w:t>，</w:t>
      </w:r>
      <w:r w:rsidR="0014432B" w:rsidRPr="0014432B">
        <w:rPr>
          <w:rFonts w:hAnsi="標楷體"/>
          <w:b/>
        </w:rPr>
        <w:fldChar w:fldCharType="begin"/>
      </w:r>
      <w:r w:rsidR="0014432B" w:rsidRPr="0014432B">
        <w:rPr>
          <w:rFonts w:hAnsi="標楷體"/>
          <w:b/>
        </w:rPr>
        <w:instrText xml:space="preserve"> HYPERLINK "https://www.unwto.org/news/international-tourism-reached-97</w:instrText>
      </w:r>
      <w:r w:rsidR="0014432B" w:rsidRPr="0014432B">
        <w:rPr>
          <w:rFonts w:hAnsi="標楷體"/>
          <w:b/>
        </w:rPr>
        <w:br/>
        <w:instrText>-of-pre-pandemic-levels-in-the-first-quarter-of-2024(最後</w:instrText>
      </w:r>
      <w:r w:rsidR="0014432B" w:rsidRPr="0014432B">
        <w:rPr>
          <w:rFonts w:hAnsi="標楷體" w:hint="eastAsia"/>
          <w:b/>
        </w:rPr>
        <w:instrText>瀏覽日113年10月16</w:instrText>
      </w:r>
      <w:r w:rsidR="0014432B" w:rsidRPr="0014432B">
        <w:rPr>
          <w:rFonts w:hAnsi="標楷體"/>
          <w:b/>
        </w:rPr>
        <w:instrText xml:space="preserve">" </w:instrText>
      </w:r>
      <w:r w:rsidR="0014432B" w:rsidRPr="0014432B">
        <w:rPr>
          <w:rFonts w:hAnsi="標楷體"/>
          <w:b/>
        </w:rPr>
        <w:fldChar w:fldCharType="separate"/>
      </w:r>
      <w:r w:rsidR="0014432B" w:rsidRPr="0014432B">
        <w:rPr>
          <w:rStyle w:val="af6"/>
          <w:rFonts w:hAnsi="標楷體"/>
          <w:b w:val="0"/>
          <w:color w:val="auto"/>
          <w:u w:val="none"/>
        </w:rPr>
        <w:t>https://www.unwto.org/news/international-tourism-reached-97</w:t>
      </w:r>
      <w:r w:rsidR="0014432B" w:rsidRPr="0014432B">
        <w:rPr>
          <w:rStyle w:val="af6"/>
          <w:rFonts w:hAnsi="標楷體"/>
          <w:b w:val="0"/>
          <w:color w:val="auto"/>
          <w:u w:val="none"/>
        </w:rPr>
        <w:br/>
        <w:t>-of-pre-pandemic-levels-in-the-first-quarter-of-2024(最後</w:t>
      </w:r>
      <w:r w:rsidR="0014432B" w:rsidRPr="0014432B">
        <w:rPr>
          <w:rStyle w:val="af6"/>
          <w:rFonts w:hAnsi="標楷體" w:hint="eastAsia"/>
          <w:b w:val="0"/>
          <w:color w:val="auto"/>
          <w:u w:val="none"/>
        </w:rPr>
        <w:t>瀏覽日113年10月16</w:t>
      </w:r>
      <w:r w:rsidR="0014432B" w:rsidRPr="0014432B">
        <w:rPr>
          <w:rFonts w:hAnsi="標楷體"/>
          <w:b/>
        </w:rPr>
        <w:fldChar w:fldCharType="end"/>
      </w:r>
      <w:r w:rsidR="0014432B" w:rsidRPr="0014432B">
        <w:rPr>
          <w:rFonts w:hAnsi="標楷體" w:hint="eastAsia"/>
        </w:rPr>
        <w:t>日</w:t>
      </w:r>
      <w:r w:rsidRPr="0014432B">
        <w:rPr>
          <w:rFonts w:hAnsi="標楷體" w:hint="eastAsia"/>
        </w:rPr>
        <w:t>。</w:t>
      </w:r>
      <w:r w:rsidR="0014432B" w:rsidRPr="0014432B">
        <w:rPr>
          <w:rFonts w:hAnsi="標楷體" w:hint="eastAsia"/>
        </w:rPr>
        <w:t>)</w:t>
      </w:r>
    </w:p>
  </w:footnote>
  <w:footnote w:id="5">
    <w:p w:rsidR="00F551CC" w:rsidRPr="00F965C1" w:rsidRDefault="00F551CC" w:rsidP="00F965C1">
      <w:pPr>
        <w:pStyle w:val="142"/>
        <w:ind w:leftChars="-4" w:left="210" w:hangingChars="91" w:hanging="221"/>
        <w:jc w:val="both"/>
        <w:rPr>
          <w:rFonts w:hint="eastAsia"/>
        </w:rPr>
      </w:pPr>
      <w:r w:rsidRPr="00F965C1">
        <w:rPr>
          <w:rStyle w:val="afe"/>
        </w:rPr>
        <w:footnoteRef/>
      </w:r>
      <w:r w:rsidR="00CE1D01" w:rsidRPr="00F965C1">
        <w:rPr>
          <w:rFonts w:hint="eastAsia"/>
        </w:rPr>
        <w:t xml:space="preserve"> </w:t>
      </w:r>
      <w:r w:rsidRPr="00F965C1">
        <w:rPr>
          <w:rFonts w:hint="eastAsia"/>
        </w:rPr>
        <w:t>交通部112年5月10日於立法院第10屆第7會期交通委員會第9次全體委員會議「小三通常態化、全面開放陸客來臺團體交流觀光、國人赴陸團體觀光及開放陸客金馬澎自由行」之專題報告：「</w:t>
      </w:r>
      <w:r w:rsidRPr="00F965C1">
        <w:t>…</w:t>
      </w:r>
      <w:r w:rsidRPr="00F965C1">
        <w:rPr>
          <w:rFonts w:hint="eastAsia"/>
        </w:rPr>
        <w:t>，為配合防疫工作，本部觀光局109年1月24日公告旅行社暫停接待大陸觀光團及組團赴陸旅遊，內政部移民署亦全面暫緩受理大陸地區人民來臺停留入境之觀光事由；後隨疫情等級調降，111年10月13日起開放臺灣旅行業組團赴國外及接待國外旅行團業務(不含大陸及港澳)，111年11月7日開放港澳入境團體，大陸委員會後宣布112年2月20日起取消港澳旅客入境管制。」</w:t>
      </w:r>
      <w:r w:rsidR="00B21400" w:rsidRPr="00F965C1">
        <w:rPr>
          <w:rFonts w:hAnsi="標楷體" w:hint="eastAsia"/>
        </w:rPr>
        <w:t>。</w:t>
      </w:r>
    </w:p>
  </w:footnote>
  <w:footnote w:id="6">
    <w:p w:rsidR="00F551CC" w:rsidRPr="00F965C1" w:rsidRDefault="00F551CC" w:rsidP="00A80AA0">
      <w:pPr>
        <w:pStyle w:val="142"/>
        <w:ind w:leftChars="-8" w:left="210" w:hangingChars="96" w:hanging="233"/>
        <w:jc w:val="both"/>
        <w:rPr>
          <w:rFonts w:hAnsi="標楷體" w:hint="eastAsia"/>
          <w:szCs w:val="24"/>
          <w:shd w:val="clear" w:color="auto" w:fill="FFFFFF"/>
        </w:rPr>
      </w:pPr>
      <w:r w:rsidRPr="00F965C1">
        <w:rPr>
          <w:rStyle w:val="afe"/>
        </w:rPr>
        <w:footnoteRef/>
      </w:r>
      <w:r w:rsidR="00300322">
        <w:rPr>
          <w:rFonts w:hAnsi="標楷體" w:hint="eastAsia"/>
          <w:szCs w:val="24"/>
        </w:rPr>
        <w:t xml:space="preserve"> </w:t>
      </w:r>
      <w:r w:rsidR="00CA3AAD" w:rsidRPr="00F965C1">
        <w:rPr>
          <w:rFonts w:hAnsi="標楷體" w:hint="eastAsia"/>
          <w:szCs w:val="24"/>
        </w:rPr>
        <w:t>大陸委員會112年8月24日新聞稿</w:t>
      </w:r>
      <w:r w:rsidR="00563E87">
        <w:rPr>
          <w:rFonts w:hAnsi="標楷體" w:hint="eastAsia"/>
          <w:szCs w:val="24"/>
        </w:rPr>
        <w:t>略以</w:t>
      </w:r>
      <w:r w:rsidR="00CA3AAD">
        <w:rPr>
          <w:rFonts w:hAnsi="標楷體" w:hint="eastAsia"/>
          <w:szCs w:val="24"/>
        </w:rPr>
        <w:t>，</w:t>
      </w:r>
      <w:r w:rsidRPr="00F965C1">
        <w:rPr>
          <w:rFonts w:hAnsi="標楷體" w:hint="eastAsia"/>
          <w:szCs w:val="24"/>
        </w:rPr>
        <w:t>陸委會公布恢復兩岸觀光旅遊及放寬陸籍人士來臺商務交流之相關規劃</w:t>
      </w:r>
      <w:r w:rsidR="00CA3AAD">
        <w:rPr>
          <w:rFonts w:hAnsi="標楷體" w:hint="eastAsia"/>
          <w:szCs w:val="24"/>
        </w:rPr>
        <w:t>，</w:t>
      </w:r>
      <w:r w:rsidR="00563E87">
        <w:rPr>
          <w:rFonts w:hAnsi="標楷體" w:hint="eastAsia"/>
          <w:szCs w:val="24"/>
        </w:rPr>
        <w:t>其中</w:t>
      </w:r>
      <w:r w:rsidRPr="00F965C1">
        <w:rPr>
          <w:rFonts w:hAnsi="標楷體" w:hint="eastAsia"/>
          <w:szCs w:val="24"/>
        </w:rPr>
        <w:t>恢復兩岸團體旅遊(初期以每日2千人次為原則)，自宣布之日(112年8月24日)起，以1個月為準備期，並視陸方回應，再確定實施日期</w:t>
      </w:r>
      <w:r w:rsidR="009C5E08" w:rsidRPr="00F965C1">
        <w:rPr>
          <w:rFonts w:hAnsi="標楷體" w:hint="eastAsia"/>
          <w:szCs w:val="24"/>
        </w:rPr>
        <w:t>；</w:t>
      </w:r>
      <w:r w:rsidR="00B21400" w:rsidRPr="00F965C1">
        <w:rPr>
          <w:rFonts w:hAnsi="標楷體" w:hint="eastAsia"/>
          <w:szCs w:val="24"/>
        </w:rPr>
        <w:t>觀光署113年2月7日新聞稿</w:t>
      </w:r>
      <w:r w:rsidR="00563E87">
        <w:rPr>
          <w:rFonts w:hAnsi="標楷體" w:hint="eastAsia"/>
          <w:szCs w:val="24"/>
        </w:rPr>
        <w:t>略以</w:t>
      </w:r>
      <w:r w:rsidR="00B21400" w:rsidRPr="00F965C1">
        <w:rPr>
          <w:rFonts w:hAnsi="標楷體" w:hint="eastAsia"/>
          <w:szCs w:val="24"/>
        </w:rPr>
        <w:t>，為循序推動恢復兩岸團體旅遊，政府已完成相關準備，原規劃於113年春節後恢復國人赴陸團體旅遊，然環顧當前情勢，不利於國人赴陸，尚非恢復我方旅行社組團赴陸之時機，</w:t>
      </w:r>
      <w:r w:rsidR="00B21400" w:rsidRPr="00F965C1">
        <w:rPr>
          <w:rFonts w:hAnsi="標楷體" w:hint="eastAsia"/>
          <w:szCs w:val="24"/>
          <w:shd w:val="clear" w:color="auto" w:fill="FFFFFF"/>
        </w:rPr>
        <w:t>請旅行業即日(2月7日)起停止招攬前往中國大陸之旅行團，6月1日之後的團體不能出團，請旅行社切勿再攬客，</w:t>
      </w:r>
      <w:r w:rsidR="00B21400" w:rsidRPr="00F965C1">
        <w:rPr>
          <w:rFonts w:hAnsi="標楷體" w:hint="eastAsia"/>
          <w:szCs w:val="24"/>
        </w:rPr>
        <w:t>惟112年8月24日大陸委員會同交通部公布之相關規劃，迄未改變；</w:t>
      </w:r>
      <w:r w:rsidR="009C5E08" w:rsidRPr="00F965C1">
        <w:rPr>
          <w:rFonts w:hAnsi="標楷體" w:hint="eastAsia"/>
          <w:szCs w:val="24"/>
        </w:rPr>
        <w:t>大陸委員會113年4月28日新聞稿</w:t>
      </w:r>
      <w:r w:rsidR="00563E87">
        <w:rPr>
          <w:rFonts w:hAnsi="標楷體" w:hint="eastAsia"/>
          <w:szCs w:val="24"/>
        </w:rPr>
        <w:t>略以</w:t>
      </w:r>
      <w:r w:rsidR="009C5E08" w:rsidRPr="00F965C1">
        <w:rPr>
          <w:rFonts w:hAnsi="標楷體" w:hint="eastAsia"/>
          <w:szCs w:val="24"/>
        </w:rPr>
        <w:t>，針對中國大陸文旅部宣布，將率先恢復福建居民到馬祖旅遊，並在平</w:t>
      </w:r>
      <w:r w:rsidR="0093069A" w:rsidRPr="00F965C1">
        <w:rPr>
          <w:rFonts w:hAnsi="標楷體" w:hint="eastAsia"/>
          <w:szCs w:val="24"/>
        </w:rPr>
        <w:t>潭</w:t>
      </w:r>
      <w:r w:rsidR="009C5E08" w:rsidRPr="00F965C1">
        <w:rPr>
          <w:rFonts w:hAnsi="標楷體" w:hint="eastAsia"/>
          <w:szCs w:val="24"/>
        </w:rPr>
        <w:t>到臺灣海上客運恢復直航後，恢復福建居民赴</w:t>
      </w:r>
      <w:r w:rsidR="009C5E08" w:rsidRPr="00F965C1">
        <w:rPr>
          <w:rFonts w:hAnsi="標楷體" w:cs="新細明體" w:hint="eastAsia"/>
          <w:szCs w:val="24"/>
        </w:rPr>
        <w:t>台團體旅遊一事表示，對於陸方以附加條件的方式，回應我方全面恢復兩岸觀光客組團雙向交流之建議，</w:t>
      </w:r>
      <w:r w:rsidR="0093069A" w:rsidRPr="00F965C1">
        <w:rPr>
          <w:rFonts w:hAnsi="標楷體" w:cs="新細明體" w:hint="eastAsia"/>
          <w:szCs w:val="24"/>
        </w:rPr>
        <w:t>不符合對等開放原則。</w:t>
      </w:r>
    </w:p>
  </w:footnote>
  <w:footnote w:id="7">
    <w:p w:rsidR="00DC111C" w:rsidRPr="004A4560" w:rsidRDefault="00DC111C" w:rsidP="004A4560">
      <w:pPr>
        <w:pStyle w:val="afc"/>
        <w:spacing w:line="280" w:lineRule="exact"/>
        <w:ind w:leftChars="0" w:left="224" w:hangingChars="92" w:hanging="224"/>
        <w:rPr>
          <w:rFonts w:hint="eastAsia"/>
          <w:sz w:val="24"/>
          <w:szCs w:val="24"/>
        </w:rPr>
      </w:pPr>
      <w:r w:rsidRPr="00F965C1">
        <w:rPr>
          <w:rStyle w:val="afe"/>
          <w:sz w:val="24"/>
          <w:szCs w:val="24"/>
        </w:rPr>
        <w:footnoteRef/>
      </w:r>
      <w:r w:rsidR="004A4560" w:rsidRPr="00F965C1">
        <w:rPr>
          <w:rFonts w:hint="eastAsia"/>
          <w:sz w:val="24"/>
          <w:szCs w:val="24"/>
        </w:rPr>
        <w:t xml:space="preserve"> 據</w:t>
      </w:r>
      <w:r w:rsidRPr="00F965C1">
        <w:rPr>
          <w:rFonts w:hint="eastAsia"/>
          <w:sz w:val="24"/>
          <w:szCs w:val="24"/>
        </w:rPr>
        <w:t>觀光署</w:t>
      </w:r>
      <w:r w:rsidR="004A4560" w:rsidRPr="00F965C1">
        <w:rPr>
          <w:rFonts w:hint="eastAsia"/>
          <w:sz w:val="24"/>
          <w:szCs w:val="24"/>
        </w:rPr>
        <w:t>觀光統計資料庫-</w:t>
      </w:r>
      <w:r w:rsidRPr="00F965C1">
        <w:rPr>
          <w:rFonts w:hint="eastAsia"/>
          <w:sz w:val="24"/>
          <w:szCs w:val="24"/>
        </w:rPr>
        <w:t>歷年來臺客觀光支出統計月報，118年度大陸地區來臺旅客數為271.41萬人，占當年度所有來臺旅客數之比重為</w:t>
      </w:r>
      <w:r w:rsidR="004A4560" w:rsidRPr="00F965C1">
        <w:rPr>
          <w:rFonts w:hint="eastAsia"/>
          <w:sz w:val="24"/>
          <w:szCs w:val="24"/>
        </w:rPr>
        <w:t>22.88%。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2BEC"/>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3C3055-01C0-4A3B-A0C6-92B22AAB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39AC7-C16C-4119-B4CC-6331C92AB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