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5E49BC" w:rsidRDefault="001D35CD" w:rsidP="005E49BC">
      <w:pPr>
        <w:pStyle w:val="14"/>
        <w:ind w:left="567" w:hanging="567"/>
      </w:pPr>
      <w:bookmarkStart w:id="1" w:name="_Toc181900920"/>
      <w:r>
        <w:rPr>
          <w:rFonts w:hAnsi="標楷體" w:hint="eastAsia"/>
        </w:rPr>
        <w:t>一</w:t>
      </w:r>
      <w:r w:rsidRPr="00482687">
        <w:rPr>
          <w:rFonts w:hAnsi="標楷體" w:hint="eastAsia"/>
        </w:rPr>
        <w:t>、</w:t>
      </w:r>
      <w:r w:rsidR="005E49BC">
        <w:rPr>
          <w:rFonts w:hint="eastAsia"/>
        </w:rPr>
        <w:t>截至113年9月底止，中央政府一年以上公共債務未償餘額實際數較去年同期增加442億元，</w:t>
      </w:r>
      <w:r w:rsidR="005E49BC" w:rsidRPr="002E38C8">
        <w:rPr>
          <w:rFonts w:hint="eastAsia"/>
        </w:rPr>
        <w:t>允宜</w:t>
      </w:r>
      <w:r w:rsidR="005E49BC">
        <w:rPr>
          <w:rFonts w:hint="eastAsia"/>
        </w:rPr>
        <w:t>妥為</w:t>
      </w:r>
      <w:r w:rsidR="005E49BC" w:rsidRPr="002E38C8">
        <w:rPr>
          <w:rFonts w:hint="eastAsia"/>
        </w:rPr>
        <w:t>控</w:t>
      </w:r>
      <w:r w:rsidR="005E49BC">
        <w:rPr>
          <w:rFonts w:hint="eastAsia"/>
        </w:rPr>
        <w:t>管</w:t>
      </w:r>
      <w:r w:rsidR="005E49BC" w:rsidRPr="002E38C8">
        <w:rPr>
          <w:rFonts w:hint="eastAsia"/>
        </w:rPr>
        <w:t>，以維財政健全</w:t>
      </w:r>
      <w:bookmarkEnd w:id="1"/>
    </w:p>
    <w:p w:rsidR="005E49BC" w:rsidRDefault="005E49BC" w:rsidP="005E49BC">
      <w:pPr>
        <w:ind w:left="566" w:firstLine="566"/>
      </w:pPr>
      <w:r w:rsidRPr="006F2FF7">
        <w:rPr>
          <w:rFonts w:hint="eastAsia"/>
        </w:rPr>
        <w:t>中央政府</w:t>
      </w:r>
      <w:r w:rsidR="00FF4A55">
        <w:rPr>
          <w:rFonts w:hint="eastAsia"/>
        </w:rPr>
        <w:t>109</w:t>
      </w:r>
      <w:r>
        <w:rPr>
          <w:rFonts w:hint="eastAsia"/>
        </w:rPr>
        <w:t>至11</w:t>
      </w:r>
      <w:r w:rsidR="008E118B">
        <w:rPr>
          <w:rFonts w:hint="eastAsia"/>
        </w:rPr>
        <w:t>2</w:t>
      </w:r>
      <w:r>
        <w:rPr>
          <w:rFonts w:hint="eastAsia"/>
        </w:rPr>
        <w:t>年度</w:t>
      </w:r>
      <w:r w:rsidRPr="00297177">
        <w:rPr>
          <w:rFonts w:hint="eastAsia"/>
        </w:rPr>
        <w:t>稅課收入</w:t>
      </w:r>
      <w:r>
        <w:rPr>
          <w:rFonts w:hint="eastAsia"/>
        </w:rPr>
        <w:t>決算數從1</w:t>
      </w:r>
      <w:r w:rsidR="00FF4A55">
        <w:rPr>
          <w:rFonts w:hint="eastAsia"/>
        </w:rPr>
        <w:t>09</w:t>
      </w:r>
      <w:r>
        <w:rPr>
          <w:rFonts w:hint="eastAsia"/>
        </w:rPr>
        <w:t>年度</w:t>
      </w:r>
      <w:r w:rsidR="00FF4A55">
        <w:rPr>
          <w:rFonts w:hint="eastAsia"/>
        </w:rPr>
        <w:t>1.6</w:t>
      </w:r>
      <w:r>
        <w:rPr>
          <w:rFonts w:hint="eastAsia"/>
        </w:rPr>
        <w:t>兆</w:t>
      </w:r>
      <w:r w:rsidR="00FF4A55">
        <w:rPr>
          <w:rFonts w:hint="eastAsia"/>
        </w:rPr>
        <w:t>餘</w:t>
      </w:r>
      <w:r>
        <w:rPr>
          <w:rFonts w:hint="eastAsia"/>
        </w:rPr>
        <w:t>元攀升至11</w:t>
      </w:r>
      <w:r w:rsidR="008E118B">
        <w:rPr>
          <w:rFonts w:hint="eastAsia"/>
        </w:rPr>
        <w:t>2</w:t>
      </w:r>
      <w:r>
        <w:rPr>
          <w:rFonts w:hint="eastAsia"/>
        </w:rPr>
        <w:t>年度</w:t>
      </w:r>
      <w:r w:rsidR="00FF4A55">
        <w:rPr>
          <w:rFonts w:hint="eastAsia"/>
        </w:rPr>
        <w:t>2.4</w:t>
      </w:r>
      <w:r>
        <w:rPr>
          <w:rFonts w:hint="eastAsia"/>
        </w:rPr>
        <w:t>兆餘元，</w:t>
      </w:r>
      <w:r w:rsidR="00C5628B" w:rsidRPr="00297177">
        <w:rPr>
          <w:rFonts w:hint="eastAsia"/>
        </w:rPr>
        <w:t>雖屢創新高，</w:t>
      </w:r>
      <w:r w:rsidRPr="00297177">
        <w:rPr>
          <w:rFonts w:hint="eastAsia"/>
        </w:rPr>
        <w:t>惟</w:t>
      </w:r>
      <w:r w:rsidRPr="00B21B22">
        <w:rPr>
          <w:rFonts w:hint="eastAsia"/>
        </w:rPr>
        <w:t>一年以上公共債務未償餘額決算數</w:t>
      </w:r>
      <w:r>
        <w:rPr>
          <w:rFonts w:hint="eastAsia"/>
        </w:rPr>
        <w:t>亦呈上升趨勢。經查：</w:t>
      </w:r>
    </w:p>
    <w:p w:rsidR="005E49BC" w:rsidRDefault="005E49BC" w:rsidP="005E49BC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8A5B49">
        <w:rPr>
          <w:rFonts w:hint="eastAsia"/>
          <w:b/>
        </w:rPr>
        <w:t>近3年度</w:t>
      </w:r>
      <w:r w:rsidRPr="006F2FF7">
        <w:rPr>
          <w:rFonts w:hint="eastAsia"/>
          <w:b/>
        </w:rPr>
        <w:t>中央政府稅課收入決算數</w:t>
      </w:r>
      <w:r w:rsidR="008A5B49">
        <w:rPr>
          <w:rFonts w:hint="eastAsia"/>
          <w:b/>
        </w:rPr>
        <w:t>均逾</w:t>
      </w:r>
      <w:r w:rsidR="00FF4A55">
        <w:rPr>
          <w:rFonts w:hint="eastAsia"/>
          <w:b/>
        </w:rPr>
        <w:t>2兆元並</w:t>
      </w:r>
      <w:r w:rsidR="008A5B49">
        <w:rPr>
          <w:rFonts w:hint="eastAsia"/>
          <w:b/>
        </w:rPr>
        <w:t>逐年攀升</w:t>
      </w:r>
      <w:r w:rsidRPr="006F2FF7">
        <w:rPr>
          <w:rFonts w:hint="eastAsia"/>
          <w:b/>
        </w:rPr>
        <w:t>，</w:t>
      </w:r>
      <w:r w:rsidRPr="008F6445">
        <w:rPr>
          <w:rFonts w:hint="eastAsia"/>
          <w:b/>
        </w:rPr>
        <w:t>平均</w:t>
      </w:r>
      <w:r>
        <w:rPr>
          <w:rFonts w:hint="eastAsia"/>
          <w:b/>
        </w:rPr>
        <w:t>預算達成率為</w:t>
      </w:r>
      <w:r>
        <w:rPr>
          <w:b/>
        </w:rPr>
        <w:t>1</w:t>
      </w:r>
      <w:r w:rsidR="00546BD0">
        <w:rPr>
          <w:rFonts w:hint="eastAsia"/>
          <w:b/>
        </w:rPr>
        <w:t>17.64</w:t>
      </w:r>
      <w:r w:rsidRPr="006F2FF7">
        <w:rPr>
          <w:rFonts w:hint="eastAsia"/>
          <w:b/>
        </w:rPr>
        <w:t>%</w:t>
      </w:r>
    </w:p>
    <w:p w:rsidR="005E49BC" w:rsidRDefault="008A5B49" w:rsidP="005E49BC">
      <w:pPr>
        <w:pStyle w:val="21"/>
        <w:ind w:left="850" w:firstLine="566"/>
      </w:pPr>
      <w:r>
        <w:rPr>
          <w:rFonts w:hint="eastAsia"/>
        </w:rPr>
        <w:t>彙整</w:t>
      </w:r>
      <w:r w:rsidR="00FF4A55">
        <w:rPr>
          <w:rFonts w:hint="eastAsia"/>
        </w:rPr>
        <w:t>近3年度(110至112年度，以下同)</w:t>
      </w:r>
      <w:r w:rsidRPr="006F2FF7">
        <w:rPr>
          <w:rFonts w:hint="eastAsia"/>
        </w:rPr>
        <w:t>中央政府稅課收入</w:t>
      </w:r>
      <w:r>
        <w:rPr>
          <w:rFonts w:hint="eastAsia"/>
        </w:rPr>
        <w:t>情形(詳表1)，其決算</w:t>
      </w:r>
      <w:r w:rsidRPr="006F2FF7">
        <w:rPr>
          <w:rFonts w:hint="eastAsia"/>
        </w:rPr>
        <w:t>數</w:t>
      </w:r>
      <w:r>
        <w:rPr>
          <w:rFonts w:hint="eastAsia"/>
        </w:rPr>
        <w:t>自110年度2</w:t>
      </w:r>
      <w:r w:rsidR="005E49BC">
        <w:rPr>
          <w:rFonts w:hint="eastAsia"/>
        </w:rPr>
        <w:t>兆</w:t>
      </w:r>
      <w:r>
        <w:rPr>
          <w:rFonts w:hint="eastAsia"/>
        </w:rPr>
        <w:t>37億餘</w:t>
      </w:r>
      <w:r w:rsidR="005E49BC">
        <w:rPr>
          <w:rFonts w:hint="eastAsia"/>
        </w:rPr>
        <w:t>元，</w:t>
      </w:r>
      <w:r>
        <w:rPr>
          <w:rFonts w:hint="eastAsia"/>
        </w:rPr>
        <w:t>逐年增加</w:t>
      </w:r>
      <w:r w:rsidR="005E49BC">
        <w:rPr>
          <w:rFonts w:hint="eastAsia"/>
        </w:rPr>
        <w:t>至</w:t>
      </w:r>
      <w:r>
        <w:rPr>
          <w:rFonts w:hint="eastAsia"/>
        </w:rPr>
        <w:t>112年度之</w:t>
      </w:r>
      <w:r w:rsidR="005E49BC">
        <w:rPr>
          <w:rFonts w:hint="eastAsia"/>
        </w:rPr>
        <w:t>2兆</w:t>
      </w:r>
      <w:r w:rsidR="008E118B">
        <w:rPr>
          <w:rFonts w:hint="eastAsia"/>
        </w:rPr>
        <w:t>4</w:t>
      </w:r>
      <w:r w:rsidR="005E49BC">
        <w:t>,</w:t>
      </w:r>
      <w:r w:rsidR="008E118B">
        <w:rPr>
          <w:rFonts w:hint="eastAsia"/>
        </w:rPr>
        <w:t>882</w:t>
      </w:r>
      <w:r w:rsidR="005E49BC">
        <w:rPr>
          <w:rFonts w:hint="eastAsia"/>
        </w:rPr>
        <w:t>億</w:t>
      </w:r>
      <w:r w:rsidR="00FF4A55">
        <w:rPr>
          <w:rFonts w:hint="eastAsia"/>
        </w:rPr>
        <w:t>餘</w:t>
      </w:r>
      <w:r w:rsidR="005E49BC">
        <w:rPr>
          <w:rFonts w:hint="eastAsia"/>
        </w:rPr>
        <w:t>元。整體而言，</w:t>
      </w:r>
      <w:r w:rsidR="00FF4A55">
        <w:rPr>
          <w:rFonts w:hint="eastAsia"/>
        </w:rPr>
        <w:t>近3年</w:t>
      </w:r>
      <w:r w:rsidR="005E49BC">
        <w:rPr>
          <w:rFonts w:hint="eastAsia"/>
        </w:rPr>
        <w:t>度</w:t>
      </w:r>
      <w:r w:rsidR="00FF4A55">
        <w:rPr>
          <w:rFonts w:hint="eastAsia"/>
        </w:rPr>
        <w:t>稅課收入決算數均</w:t>
      </w:r>
      <w:r>
        <w:rPr>
          <w:rFonts w:hint="eastAsia"/>
        </w:rPr>
        <w:t>餘2兆元，且</w:t>
      </w:r>
      <w:r w:rsidR="00FF4A55">
        <w:rPr>
          <w:rFonts w:hint="eastAsia"/>
        </w:rPr>
        <w:t>較預算數為高</w:t>
      </w:r>
      <w:r w:rsidR="00546BD0">
        <w:rPr>
          <w:rFonts w:hint="eastAsia"/>
        </w:rPr>
        <w:t>，合計超逾預算數達1兆188億餘元</w:t>
      </w:r>
      <w:r w:rsidR="00FF4A55">
        <w:rPr>
          <w:rFonts w:hint="eastAsia"/>
        </w:rPr>
        <w:t>，</w:t>
      </w:r>
      <w:r w:rsidR="005E49BC" w:rsidRPr="006F2FF7">
        <w:rPr>
          <w:rFonts w:hint="eastAsia"/>
        </w:rPr>
        <w:t>平均</w:t>
      </w:r>
      <w:r w:rsidR="005E49BC">
        <w:rPr>
          <w:rFonts w:hint="eastAsia"/>
        </w:rPr>
        <w:t>預算達成率為1</w:t>
      </w:r>
      <w:r w:rsidR="00FF4A55">
        <w:rPr>
          <w:rFonts w:hint="eastAsia"/>
        </w:rPr>
        <w:t>17.64</w:t>
      </w:r>
      <w:r w:rsidR="005E49BC">
        <w:t>%</w:t>
      </w:r>
      <w:r w:rsidR="005E49BC">
        <w:rPr>
          <w:rFonts w:hint="eastAsia"/>
        </w:rPr>
        <w:t>。</w:t>
      </w:r>
    </w:p>
    <w:p w:rsidR="00FF4A55" w:rsidRDefault="005E49BC" w:rsidP="005E49BC">
      <w:pPr>
        <w:ind w:leftChars="0" w:left="1701" w:rightChars="-50" w:right="-142" w:hangingChars="600" w:hanging="1701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60232F">
        <w:rPr>
          <w:rFonts w:hint="eastAsia"/>
          <w:b/>
        </w:rPr>
        <w:t>表</w:t>
      </w:r>
      <w:r w:rsidR="00FF4A55">
        <w:rPr>
          <w:rFonts w:hint="eastAsia"/>
          <w:b/>
        </w:rPr>
        <w:t xml:space="preserve">1 </w:t>
      </w:r>
      <w:r w:rsidRPr="0060232F">
        <w:rPr>
          <w:rFonts w:hint="eastAsia"/>
          <w:b/>
        </w:rPr>
        <w:t>中央政府</w:t>
      </w:r>
      <w:r w:rsidR="00FF4A55">
        <w:rPr>
          <w:rFonts w:hint="eastAsia"/>
          <w:b/>
        </w:rPr>
        <w:t>1</w:t>
      </w:r>
      <w:r w:rsidR="008A5B49">
        <w:rPr>
          <w:rFonts w:hint="eastAsia"/>
          <w:b/>
        </w:rPr>
        <w:t>10</w:t>
      </w:r>
      <w:r w:rsidR="00FF4A55">
        <w:rPr>
          <w:rFonts w:hint="eastAsia"/>
          <w:b/>
        </w:rPr>
        <w:t>至112年度</w:t>
      </w:r>
      <w:r>
        <w:rPr>
          <w:rFonts w:hint="eastAsia"/>
          <w:b/>
        </w:rPr>
        <w:t>稅課收入</w:t>
      </w:r>
      <w:r w:rsidRPr="00DE6D14">
        <w:rPr>
          <w:rFonts w:hint="eastAsia"/>
          <w:b/>
        </w:rPr>
        <w:t>概況表</w:t>
      </w:r>
    </w:p>
    <w:p w:rsidR="005E49BC" w:rsidRDefault="005E49BC" w:rsidP="00FF4A55">
      <w:pPr>
        <w:spacing w:line="400" w:lineRule="exact"/>
        <w:ind w:leftChars="0" w:left="1459" w:rightChars="-50" w:right="-142" w:hangingChars="600" w:hanging="1459"/>
        <w:jc w:val="right"/>
        <w:rPr>
          <w:b/>
        </w:rPr>
      </w:pP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  <w:r w:rsidR="00FF4A55">
        <w:rPr>
          <w:rFonts w:hint="eastAsia"/>
          <w:sz w:val="24"/>
          <w:szCs w:val="24"/>
        </w:rPr>
        <w:t>；%</w:t>
      </w:r>
    </w:p>
    <w:tbl>
      <w:tblPr>
        <w:tblW w:w="7823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771"/>
        <w:gridCol w:w="1772"/>
        <w:gridCol w:w="1700"/>
        <w:gridCol w:w="1304"/>
      </w:tblGrid>
      <w:tr w:rsidR="005E49BC" w:rsidRPr="000912CC" w:rsidTr="008E118B">
        <w:trPr>
          <w:trHeight w:val="340"/>
          <w:tblHeader/>
        </w:trPr>
        <w:tc>
          <w:tcPr>
            <w:tcW w:w="1276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noWrap/>
            <w:vAlign w:val="center"/>
          </w:tcPr>
          <w:p w:rsidR="005E49BC" w:rsidRPr="00D6301E" w:rsidRDefault="005E49BC" w:rsidP="004011E2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年度\項目</w:t>
            </w:r>
          </w:p>
        </w:tc>
        <w:tc>
          <w:tcPr>
            <w:tcW w:w="1771" w:type="dxa"/>
            <w:shd w:val="clear" w:color="auto" w:fill="auto"/>
            <w:noWrap/>
            <w:vAlign w:val="center"/>
          </w:tcPr>
          <w:p w:rsidR="005E49BC" w:rsidRPr="00D6301E" w:rsidRDefault="005E49BC" w:rsidP="004011E2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決算</w:t>
            </w:r>
            <w:r>
              <w:rPr>
                <w:rFonts w:hint="eastAsia"/>
                <w:b/>
              </w:rPr>
              <w:t>數</w:t>
            </w:r>
            <w:r w:rsidRPr="00D6301E">
              <w:rPr>
                <w:rFonts w:hint="eastAsia"/>
                <w:b/>
              </w:rPr>
              <w:t>A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5E49BC" w:rsidRPr="00D6301E" w:rsidRDefault="005E49BC" w:rsidP="004011E2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預算數B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5E49BC" w:rsidRPr="00D6301E" w:rsidRDefault="005E49BC" w:rsidP="004011E2">
            <w:pPr>
              <w:pStyle w:val="142"/>
              <w:jc w:val="center"/>
              <w:rPr>
                <w:b/>
              </w:rPr>
            </w:pPr>
            <w:r w:rsidRPr="00D6301E">
              <w:rPr>
                <w:rFonts w:hint="eastAsia"/>
                <w:b/>
              </w:rPr>
              <w:t>A-B</w:t>
            </w:r>
          </w:p>
        </w:tc>
        <w:tc>
          <w:tcPr>
            <w:tcW w:w="1304" w:type="dxa"/>
          </w:tcPr>
          <w:p w:rsidR="005E49BC" w:rsidRPr="00D6301E" w:rsidRDefault="005E49BC" w:rsidP="004011E2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預算達成率A/B*100%</w:t>
            </w:r>
          </w:p>
        </w:tc>
      </w:tr>
      <w:tr w:rsidR="005E49BC" w:rsidRPr="000912CC" w:rsidTr="008E118B">
        <w:trPr>
          <w:trHeight w:hRule="exact" w:val="340"/>
        </w:trPr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Pr="000912CC" w:rsidRDefault="005E49BC" w:rsidP="004011E2">
            <w:pPr>
              <w:pStyle w:val="142"/>
              <w:jc w:val="center"/>
            </w:pPr>
            <w:r w:rsidRPr="000912CC">
              <w:rPr>
                <w:rFonts w:hint="eastAsia"/>
              </w:rPr>
              <w:t>110</w:t>
            </w:r>
          </w:p>
        </w:tc>
        <w:tc>
          <w:tcPr>
            <w:tcW w:w="17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Pr="000912C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,003,781,919</w:t>
            </w:r>
          </w:p>
        </w:tc>
        <w:tc>
          <w:tcPr>
            <w:tcW w:w="17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Pr="000912C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1,678,542,000</w:t>
            </w:r>
          </w:p>
        </w:tc>
        <w:tc>
          <w:tcPr>
            <w:tcW w:w="1700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5E49BC" w:rsidRPr="000912C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25,239,919</w:t>
            </w:r>
          </w:p>
        </w:tc>
        <w:tc>
          <w:tcPr>
            <w:tcW w:w="1304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5E49B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8E118B">
              <w:t>19.38</w:t>
            </w:r>
          </w:p>
        </w:tc>
      </w:tr>
      <w:tr w:rsidR="005E49BC" w:rsidRPr="000912CC" w:rsidTr="008E118B">
        <w:trPr>
          <w:trHeight w:hRule="exact" w:val="340"/>
        </w:trPr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Pr="000912CC" w:rsidRDefault="005E49BC" w:rsidP="004011E2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,304,002,321</w:t>
            </w:r>
          </w:p>
        </w:tc>
        <w:tc>
          <w:tcPr>
            <w:tcW w:w="17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,903,767,300</w:t>
            </w:r>
          </w:p>
        </w:tc>
        <w:tc>
          <w:tcPr>
            <w:tcW w:w="1700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5E49B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00,235,021</w:t>
            </w:r>
          </w:p>
        </w:tc>
        <w:tc>
          <w:tcPr>
            <w:tcW w:w="1304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5E49BC" w:rsidRDefault="005E49BC" w:rsidP="004011E2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8E118B">
              <w:t>21.02</w:t>
            </w:r>
          </w:p>
        </w:tc>
      </w:tr>
      <w:tr w:rsidR="008E118B" w:rsidRPr="000912CC" w:rsidTr="008E118B">
        <w:trPr>
          <w:trHeight w:hRule="exact" w:val="340"/>
        </w:trPr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E118B" w:rsidRDefault="008E118B" w:rsidP="004011E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E118B" w:rsidRDefault="008E118B" w:rsidP="00401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,488,277,928</w:t>
            </w:r>
          </w:p>
        </w:tc>
        <w:tc>
          <w:tcPr>
            <w:tcW w:w="17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E118B" w:rsidRDefault="008E118B" w:rsidP="00401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,194,910,000</w:t>
            </w:r>
          </w:p>
        </w:tc>
        <w:tc>
          <w:tcPr>
            <w:tcW w:w="1700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8E118B" w:rsidRDefault="008E118B" w:rsidP="00401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93,367,928</w:t>
            </w:r>
          </w:p>
        </w:tc>
        <w:tc>
          <w:tcPr>
            <w:tcW w:w="1304" w:type="dxa"/>
            <w:tcBorders>
              <w:top w:val="single" w:sz="6" w:space="0" w:color="auto"/>
              <w:bottom w:val="single" w:sz="6" w:space="0" w:color="auto"/>
              <w:tl2br w:val="nil"/>
            </w:tcBorders>
            <w:vAlign w:val="center"/>
          </w:tcPr>
          <w:p w:rsidR="008E118B" w:rsidRDefault="008E118B" w:rsidP="004011E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13.37</w:t>
            </w:r>
          </w:p>
        </w:tc>
      </w:tr>
      <w:tr w:rsidR="005E49BC" w:rsidRPr="000912CC" w:rsidTr="008A5B49">
        <w:trPr>
          <w:trHeight w:hRule="exact" w:val="340"/>
        </w:trPr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49BC" w:rsidRPr="000912CC" w:rsidRDefault="005E49BC" w:rsidP="004011E2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771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49BC" w:rsidRDefault="008E118B" w:rsidP="008E118B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5E49BC">
              <w:rPr>
                <w:rFonts w:hint="eastAsia"/>
              </w:rPr>
              <w:t>,</w:t>
            </w:r>
            <w:r>
              <w:rPr>
                <w:rFonts w:hint="eastAsia"/>
              </w:rPr>
              <w:t>796</w:t>
            </w:r>
            <w:r w:rsidR="005E49BC">
              <w:t>,</w:t>
            </w:r>
            <w:r>
              <w:rPr>
                <w:rFonts w:hint="eastAsia"/>
              </w:rPr>
              <w:t>062</w:t>
            </w:r>
            <w:r w:rsidR="005E49BC">
              <w:t>,</w:t>
            </w:r>
            <w:r>
              <w:rPr>
                <w:rFonts w:hint="eastAsia"/>
              </w:rPr>
              <w:t>16</w:t>
            </w:r>
            <w:r w:rsidR="005E49BC">
              <w:t>8</w:t>
            </w:r>
          </w:p>
        </w:tc>
        <w:tc>
          <w:tcPr>
            <w:tcW w:w="177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5E49BC" w:rsidRDefault="008E118B" w:rsidP="008E118B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5E49BC">
              <w:t>,</w:t>
            </w:r>
            <w:r>
              <w:rPr>
                <w:rFonts w:hint="eastAsia"/>
              </w:rPr>
              <w:t>777</w:t>
            </w:r>
            <w:r w:rsidR="005E49BC">
              <w:t>,</w:t>
            </w:r>
            <w:r>
              <w:rPr>
                <w:rFonts w:hint="eastAsia"/>
              </w:rPr>
              <w:t>219</w:t>
            </w:r>
            <w:r w:rsidR="005E49BC">
              <w:t>,</w:t>
            </w:r>
            <w:r>
              <w:rPr>
                <w:rFonts w:hint="eastAsia"/>
              </w:rPr>
              <w:t>300</w:t>
            </w:r>
          </w:p>
        </w:tc>
        <w:tc>
          <w:tcPr>
            <w:tcW w:w="1700" w:type="dxa"/>
            <w:tcBorders>
              <w:top w:val="single" w:sz="6" w:space="0" w:color="auto"/>
              <w:bottom w:val="single" w:sz="12" w:space="0" w:color="auto"/>
              <w:tl2br w:val="nil"/>
            </w:tcBorders>
            <w:vAlign w:val="center"/>
          </w:tcPr>
          <w:p w:rsidR="005E49BC" w:rsidRDefault="008E118B" w:rsidP="008E118B">
            <w:pPr>
              <w:pStyle w:val="142"/>
              <w:jc w:val="right"/>
            </w:pPr>
            <w:r>
              <w:rPr>
                <w:rFonts w:hint="eastAsia"/>
              </w:rPr>
              <w:t>1,</w:t>
            </w:r>
            <w:r>
              <w:t>018</w:t>
            </w:r>
            <w:r w:rsidR="005E49BC">
              <w:t>,</w:t>
            </w:r>
            <w:r>
              <w:t>842</w:t>
            </w:r>
            <w:r w:rsidR="005E49BC">
              <w:t>,8</w:t>
            </w:r>
            <w:r>
              <w:t>68</w:t>
            </w:r>
          </w:p>
        </w:tc>
        <w:tc>
          <w:tcPr>
            <w:tcW w:w="1304" w:type="dxa"/>
            <w:tcBorders>
              <w:top w:val="single" w:sz="6" w:space="0" w:color="auto"/>
              <w:bottom w:val="single" w:sz="12" w:space="0" w:color="auto"/>
              <w:tl2br w:val="nil"/>
            </w:tcBorders>
            <w:vAlign w:val="center"/>
          </w:tcPr>
          <w:p w:rsidR="005E49BC" w:rsidRDefault="005E49BC" w:rsidP="008E118B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8E118B">
              <w:t>17</w:t>
            </w:r>
            <w:r>
              <w:t>.</w:t>
            </w:r>
            <w:r w:rsidR="008E118B">
              <w:t>64</w:t>
            </w:r>
          </w:p>
        </w:tc>
      </w:tr>
    </w:tbl>
    <w:p w:rsidR="005E49BC" w:rsidRDefault="005E49BC" w:rsidP="005E49BC">
      <w:pPr>
        <w:pStyle w:val="142"/>
        <w:ind w:left="2252" w:hangingChars="925" w:hanging="2252"/>
      </w:pPr>
      <w:r>
        <w:rPr>
          <w:rFonts w:hint="eastAsia"/>
          <w:b/>
        </w:rPr>
        <w:t xml:space="preserve">       </w:t>
      </w:r>
      <w:r>
        <w:rPr>
          <w:rFonts w:hint="eastAsia"/>
        </w:rPr>
        <w:t>資料來源：審計部</w:t>
      </w:r>
      <w:r w:rsidR="008A5B49">
        <w:rPr>
          <w:rFonts w:hint="eastAsia"/>
        </w:rPr>
        <w:t>110</w:t>
      </w:r>
      <w:r>
        <w:rPr>
          <w:rFonts w:hint="eastAsia"/>
        </w:rPr>
        <w:t>-11</w:t>
      </w:r>
      <w:r w:rsidR="008E118B">
        <w:rPr>
          <w:rFonts w:hint="eastAsia"/>
        </w:rPr>
        <w:t>2</w:t>
      </w:r>
      <w:r w:rsidRPr="002201CC">
        <w:rPr>
          <w:rFonts w:hint="eastAsia"/>
        </w:rPr>
        <w:t>年度中央政府總決算</w:t>
      </w:r>
      <w:r>
        <w:rPr>
          <w:rFonts w:hint="eastAsia"/>
        </w:rPr>
        <w:t>審核報告</w:t>
      </w:r>
      <w:r w:rsidRPr="002201CC">
        <w:rPr>
          <w:rFonts w:hint="eastAsia"/>
        </w:rPr>
        <w:t>。</w:t>
      </w:r>
    </w:p>
    <w:p w:rsidR="005E49BC" w:rsidRDefault="005E49BC" w:rsidP="005E49BC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Pr="00551BAE">
        <w:rPr>
          <w:rFonts w:hint="eastAsia"/>
          <w:b/>
        </w:rPr>
        <w:t>截至</w:t>
      </w:r>
      <w:r w:rsidR="00546BD0">
        <w:rPr>
          <w:rFonts w:hint="eastAsia"/>
          <w:b/>
        </w:rPr>
        <w:t>113</w:t>
      </w:r>
      <w:r w:rsidRPr="00551BAE">
        <w:rPr>
          <w:rFonts w:hint="eastAsia"/>
          <w:b/>
        </w:rPr>
        <w:t>年</w:t>
      </w:r>
      <w:r>
        <w:rPr>
          <w:rFonts w:hint="eastAsia"/>
          <w:b/>
        </w:rPr>
        <w:t>9</w:t>
      </w:r>
      <w:r w:rsidRPr="00551BAE">
        <w:rPr>
          <w:rFonts w:hint="eastAsia"/>
          <w:b/>
        </w:rPr>
        <w:t>月底止，</w:t>
      </w:r>
      <w:r w:rsidR="008A5B49" w:rsidRPr="008A5B49">
        <w:rPr>
          <w:rFonts w:hint="eastAsia"/>
          <w:b/>
        </w:rPr>
        <w:t>中央政府</w:t>
      </w:r>
      <w:r w:rsidRPr="00702A8F">
        <w:rPr>
          <w:rFonts w:hint="eastAsia"/>
          <w:b/>
        </w:rPr>
        <w:t>一年以上公共債務未償餘額</w:t>
      </w:r>
      <w:r w:rsidR="00546BD0">
        <w:rPr>
          <w:rFonts w:hint="eastAsia"/>
          <w:b/>
        </w:rPr>
        <w:t>實際數較去年同期增加488億元</w:t>
      </w:r>
    </w:p>
    <w:p w:rsidR="005E49BC" w:rsidRDefault="005E49BC" w:rsidP="005E49BC">
      <w:pPr>
        <w:pStyle w:val="21"/>
        <w:ind w:left="850" w:firstLine="566"/>
      </w:pPr>
      <w:r w:rsidRPr="002201CC">
        <w:rPr>
          <w:rFonts w:hint="eastAsia"/>
        </w:rPr>
        <w:t>據國庫署公布資料，</w:t>
      </w:r>
      <w:r w:rsidRPr="00551BAE">
        <w:rPr>
          <w:rFonts w:hint="eastAsia"/>
        </w:rPr>
        <w:t>截至</w:t>
      </w:r>
      <w:r w:rsidR="00546BD0">
        <w:rPr>
          <w:rFonts w:hint="eastAsia"/>
        </w:rPr>
        <w:t>113</w:t>
      </w:r>
      <w:r w:rsidRPr="00551BAE">
        <w:rPr>
          <w:rFonts w:hint="eastAsia"/>
        </w:rPr>
        <w:t>年</w:t>
      </w:r>
      <w:r>
        <w:rPr>
          <w:rFonts w:hint="eastAsia"/>
        </w:rPr>
        <w:t>9</w:t>
      </w:r>
      <w:r w:rsidRPr="00551BAE">
        <w:rPr>
          <w:rFonts w:hint="eastAsia"/>
        </w:rPr>
        <w:t>月底止</w:t>
      </w:r>
      <w:r>
        <w:rPr>
          <w:rFonts w:hint="eastAsia"/>
        </w:rPr>
        <w:t>，</w:t>
      </w:r>
      <w:r w:rsidR="008A5B49">
        <w:rPr>
          <w:rFonts w:hint="eastAsia"/>
        </w:rPr>
        <w:t>中央政府</w:t>
      </w:r>
      <w:r w:rsidRPr="00551BAE">
        <w:rPr>
          <w:rFonts w:hint="eastAsia"/>
        </w:rPr>
        <w:t>一年</w:t>
      </w:r>
      <w:r w:rsidRPr="00551BAE">
        <w:rPr>
          <w:rFonts w:hint="eastAsia"/>
        </w:rPr>
        <w:lastRenderedPageBreak/>
        <w:t>以上公共債務未償餘額實際數5兆8,</w:t>
      </w:r>
      <w:r w:rsidR="00546BD0">
        <w:rPr>
          <w:rFonts w:hint="eastAsia"/>
        </w:rPr>
        <w:t>7</w:t>
      </w:r>
      <w:r w:rsidRPr="00551BAE">
        <w:rPr>
          <w:rFonts w:hint="eastAsia"/>
        </w:rPr>
        <w:t>8</w:t>
      </w:r>
      <w:r w:rsidR="00546BD0">
        <w:rPr>
          <w:rFonts w:hint="eastAsia"/>
        </w:rPr>
        <w:t>0</w:t>
      </w:r>
      <w:r w:rsidRPr="00551BAE">
        <w:rPr>
          <w:rFonts w:hint="eastAsia"/>
        </w:rPr>
        <w:t>億元</w:t>
      </w:r>
      <w:r>
        <w:rPr>
          <w:rFonts w:hint="eastAsia"/>
        </w:rPr>
        <w:t>，占前3年度名目GDP比率(</w:t>
      </w:r>
      <w:r w:rsidR="008A5B49">
        <w:rPr>
          <w:rFonts w:hint="eastAsia"/>
        </w:rPr>
        <w:t>即</w:t>
      </w:r>
      <w:r w:rsidRPr="00551BAE">
        <w:rPr>
          <w:rFonts w:hint="eastAsia"/>
        </w:rPr>
        <w:t>長期債務比率</w:t>
      </w:r>
      <w:r>
        <w:rPr>
          <w:rFonts w:hint="eastAsia"/>
        </w:rPr>
        <w:t>)為</w:t>
      </w:r>
      <w:r w:rsidRPr="00551BAE">
        <w:rPr>
          <w:rFonts w:hint="eastAsia"/>
        </w:rPr>
        <w:t>2</w:t>
      </w:r>
      <w:r w:rsidR="00546BD0">
        <w:rPr>
          <w:rFonts w:hint="eastAsia"/>
        </w:rPr>
        <w:t>6.0</w:t>
      </w:r>
      <w:r w:rsidRPr="00551BAE">
        <w:rPr>
          <w:rFonts w:hint="eastAsia"/>
        </w:rPr>
        <w:t>%</w:t>
      </w:r>
      <w:r>
        <w:rPr>
          <w:rFonts w:hint="eastAsia"/>
        </w:rPr>
        <w:t>；另彙整</w:t>
      </w:r>
      <w:r w:rsidR="00546BD0">
        <w:rPr>
          <w:rFonts w:hint="eastAsia"/>
        </w:rPr>
        <w:t>110</w:t>
      </w:r>
      <w:r>
        <w:rPr>
          <w:rFonts w:hint="eastAsia"/>
        </w:rPr>
        <w:t>至11</w:t>
      </w:r>
      <w:r w:rsidR="00546BD0">
        <w:rPr>
          <w:rFonts w:hint="eastAsia"/>
        </w:rPr>
        <w:t>4</w:t>
      </w:r>
      <w:r>
        <w:rPr>
          <w:rFonts w:hint="eastAsia"/>
        </w:rPr>
        <w:t>年度相關</w:t>
      </w:r>
      <w:r w:rsidR="008A5B49">
        <w:rPr>
          <w:rFonts w:hint="eastAsia"/>
        </w:rPr>
        <w:t>數據</w:t>
      </w:r>
      <w:r>
        <w:rPr>
          <w:rFonts w:hint="eastAsia"/>
        </w:rPr>
        <w:t>(詳表2)，</w:t>
      </w:r>
      <w:r w:rsidR="00546BD0">
        <w:rPr>
          <w:rFonts w:hint="eastAsia"/>
        </w:rPr>
        <w:t>110</w:t>
      </w:r>
      <w:r>
        <w:rPr>
          <w:rFonts w:hint="eastAsia"/>
        </w:rPr>
        <w:t>年度一年以上公共債務未償餘額決算數及</w:t>
      </w:r>
      <w:r w:rsidRPr="002201CC">
        <w:rPr>
          <w:rFonts w:hint="eastAsia"/>
        </w:rPr>
        <w:t>長期債務比率</w:t>
      </w:r>
      <w:r>
        <w:rPr>
          <w:rFonts w:hint="eastAsia"/>
        </w:rPr>
        <w:t>各為5兆</w:t>
      </w:r>
      <w:r w:rsidR="00546BD0">
        <w:rPr>
          <w:rFonts w:hint="eastAsia"/>
        </w:rPr>
        <w:t>7</w:t>
      </w:r>
      <w:r>
        <w:t>,</w:t>
      </w:r>
      <w:r w:rsidR="00546BD0">
        <w:rPr>
          <w:rFonts w:hint="eastAsia"/>
        </w:rPr>
        <w:t>090</w:t>
      </w:r>
      <w:r>
        <w:rPr>
          <w:rFonts w:hint="eastAsia"/>
        </w:rPr>
        <w:t>億餘元、</w:t>
      </w:r>
      <w:r w:rsidR="00546BD0">
        <w:rPr>
          <w:rFonts w:hint="eastAsia"/>
        </w:rPr>
        <w:t>29.9</w:t>
      </w:r>
      <w:r>
        <w:rPr>
          <w:rFonts w:hint="eastAsia"/>
        </w:rPr>
        <w:t>%，</w:t>
      </w:r>
      <w:r w:rsidR="004011E2">
        <w:rPr>
          <w:rFonts w:hint="eastAsia"/>
        </w:rPr>
        <w:t>111</w:t>
      </w:r>
      <w:r w:rsidRPr="002201CC">
        <w:rPr>
          <w:rFonts w:hint="eastAsia"/>
        </w:rPr>
        <w:t>年度</w:t>
      </w:r>
      <w:r>
        <w:rPr>
          <w:rFonts w:hint="eastAsia"/>
        </w:rPr>
        <w:t>賡續執行特別預算，</w:t>
      </w:r>
      <w:r w:rsidRPr="002201CC">
        <w:rPr>
          <w:rFonts w:hint="eastAsia"/>
        </w:rPr>
        <w:t>債務未償餘額</w:t>
      </w:r>
      <w:r>
        <w:rPr>
          <w:rFonts w:hint="eastAsia"/>
        </w:rPr>
        <w:t>增</w:t>
      </w:r>
      <w:r w:rsidRPr="002201CC">
        <w:rPr>
          <w:rFonts w:hint="eastAsia"/>
        </w:rPr>
        <w:t>至</w:t>
      </w:r>
      <w:r>
        <w:rPr>
          <w:rFonts w:hint="eastAsia"/>
        </w:rPr>
        <w:t>5兆</w:t>
      </w:r>
      <w:r w:rsidR="004011E2">
        <w:rPr>
          <w:rFonts w:hint="eastAsia"/>
        </w:rPr>
        <w:t>9</w:t>
      </w:r>
      <w:r>
        <w:t>,</w:t>
      </w:r>
      <w:r w:rsidR="004011E2">
        <w:rPr>
          <w:rFonts w:hint="eastAsia"/>
        </w:rPr>
        <w:t>211</w:t>
      </w:r>
      <w:r>
        <w:rPr>
          <w:rFonts w:hint="eastAsia"/>
        </w:rPr>
        <w:t>億</w:t>
      </w:r>
      <w:r w:rsidR="004011E2">
        <w:rPr>
          <w:rFonts w:hint="eastAsia"/>
        </w:rPr>
        <w:t>餘</w:t>
      </w:r>
      <w:r>
        <w:rPr>
          <w:rFonts w:hint="eastAsia"/>
        </w:rPr>
        <w:t>元，惟長期債務比率略降</w:t>
      </w:r>
      <w:r w:rsidRPr="002201CC">
        <w:rPr>
          <w:rFonts w:hint="eastAsia"/>
        </w:rPr>
        <w:t>為</w:t>
      </w:r>
      <w:r>
        <w:rPr>
          <w:rFonts w:hint="eastAsia"/>
        </w:rPr>
        <w:t>2</w:t>
      </w:r>
      <w:r w:rsidR="004011E2">
        <w:t>9.</w:t>
      </w:r>
      <w:r w:rsidR="004011E2">
        <w:rPr>
          <w:rFonts w:hint="eastAsia"/>
        </w:rPr>
        <w:t>4</w:t>
      </w:r>
      <w:r w:rsidRPr="002201CC">
        <w:rPr>
          <w:rFonts w:hint="eastAsia"/>
        </w:rPr>
        <w:t>%</w:t>
      </w:r>
      <w:r>
        <w:rPr>
          <w:rFonts w:hint="eastAsia"/>
        </w:rPr>
        <w:t>，11</w:t>
      </w:r>
      <w:r w:rsidR="004011E2">
        <w:rPr>
          <w:rFonts w:hint="eastAsia"/>
        </w:rPr>
        <w:t>2</w:t>
      </w:r>
      <w:r>
        <w:rPr>
          <w:rFonts w:hint="eastAsia"/>
        </w:rPr>
        <w:t>年度續降為2</w:t>
      </w:r>
      <w:r w:rsidR="004011E2">
        <w:rPr>
          <w:rFonts w:hint="eastAsia"/>
        </w:rPr>
        <w:t>8.3</w:t>
      </w:r>
      <w:r>
        <w:rPr>
          <w:rFonts w:hint="eastAsia"/>
        </w:rPr>
        <w:t>%</w:t>
      </w:r>
      <w:r w:rsidRPr="002201CC">
        <w:rPr>
          <w:rFonts w:hint="eastAsia"/>
        </w:rPr>
        <w:t>。</w:t>
      </w:r>
      <w:r w:rsidR="004011E2">
        <w:rPr>
          <w:rFonts w:hint="eastAsia"/>
        </w:rPr>
        <w:t>113</w:t>
      </w:r>
      <w:r>
        <w:rPr>
          <w:rFonts w:hint="eastAsia"/>
        </w:rPr>
        <w:t>及11</w:t>
      </w:r>
      <w:r w:rsidR="004011E2">
        <w:rPr>
          <w:rFonts w:hint="eastAsia"/>
        </w:rPr>
        <w:t>4</w:t>
      </w:r>
      <w:r>
        <w:rPr>
          <w:rFonts w:hint="eastAsia"/>
        </w:rPr>
        <w:t>年度該</w:t>
      </w:r>
      <w:r w:rsidRPr="0060232F">
        <w:rPr>
          <w:rFonts w:hint="eastAsia"/>
        </w:rPr>
        <w:t>比率</w:t>
      </w:r>
      <w:r>
        <w:rPr>
          <w:rFonts w:hint="eastAsia"/>
        </w:rPr>
        <w:t>預算案數分別略升為</w:t>
      </w:r>
      <w:r w:rsidR="004011E2">
        <w:rPr>
          <w:rFonts w:hint="eastAsia"/>
        </w:rPr>
        <w:t>29.7</w:t>
      </w:r>
      <w:r>
        <w:rPr>
          <w:rFonts w:hint="eastAsia"/>
        </w:rPr>
        <w:t>%及</w:t>
      </w:r>
      <w:r w:rsidR="004011E2">
        <w:rPr>
          <w:rFonts w:hint="eastAsia"/>
        </w:rPr>
        <w:t>28.6</w:t>
      </w:r>
      <w:r>
        <w:rPr>
          <w:rFonts w:hint="eastAsia"/>
        </w:rPr>
        <w:t>%。整體而言，</w:t>
      </w:r>
      <w:r w:rsidR="004011E2">
        <w:rPr>
          <w:rFonts w:hint="eastAsia"/>
        </w:rPr>
        <w:t>該期間</w:t>
      </w:r>
      <w:r>
        <w:rPr>
          <w:rFonts w:hint="eastAsia"/>
        </w:rPr>
        <w:t>長期債務比率</w:t>
      </w:r>
      <w:r w:rsidRPr="006A44CC">
        <w:rPr>
          <w:rFonts w:hint="eastAsia"/>
        </w:rPr>
        <w:t>介於</w:t>
      </w:r>
      <w:r>
        <w:rPr>
          <w:rFonts w:hint="eastAsia"/>
        </w:rPr>
        <w:t>2</w:t>
      </w:r>
      <w:r w:rsidR="004011E2">
        <w:rPr>
          <w:rFonts w:hint="eastAsia"/>
        </w:rPr>
        <w:t>8</w:t>
      </w:r>
      <w:r>
        <w:rPr>
          <w:rFonts w:hint="eastAsia"/>
        </w:rPr>
        <w:t>.3</w:t>
      </w:r>
      <w:r w:rsidRPr="006A44CC">
        <w:rPr>
          <w:rFonts w:hint="eastAsia"/>
        </w:rPr>
        <w:t>%至</w:t>
      </w:r>
      <w:r w:rsidR="004011E2">
        <w:rPr>
          <w:rFonts w:hint="eastAsia"/>
        </w:rPr>
        <w:t>29.9</w:t>
      </w:r>
      <w:r w:rsidRPr="006A44CC">
        <w:rPr>
          <w:rFonts w:hint="eastAsia"/>
        </w:rPr>
        <w:t>%間，</w:t>
      </w:r>
      <w:r>
        <w:rPr>
          <w:rFonts w:hint="eastAsia"/>
        </w:rPr>
        <w:t>最大差距僅1.</w:t>
      </w:r>
      <w:r w:rsidR="004011E2">
        <w:rPr>
          <w:rFonts w:hint="eastAsia"/>
        </w:rPr>
        <w:t>6</w:t>
      </w:r>
      <w:r>
        <w:rPr>
          <w:rFonts w:hint="eastAsia"/>
        </w:rPr>
        <w:t>個百分點，尚屬</w:t>
      </w:r>
      <w:r w:rsidRPr="006A44CC">
        <w:rPr>
          <w:rFonts w:hint="eastAsia"/>
        </w:rPr>
        <w:t>穩定</w:t>
      </w:r>
      <w:r>
        <w:rPr>
          <w:rFonts w:hint="eastAsia"/>
        </w:rPr>
        <w:t>，惟</w:t>
      </w:r>
      <w:r w:rsidR="008A5B49" w:rsidRPr="008A5B49">
        <w:rPr>
          <w:rFonts w:hint="eastAsia"/>
        </w:rPr>
        <w:t>中央政府</w:t>
      </w:r>
      <w:r w:rsidRPr="00166F37">
        <w:rPr>
          <w:rFonts w:hint="eastAsia"/>
        </w:rPr>
        <w:t>一年以上公共債務未償餘額決算數</w:t>
      </w:r>
      <w:r>
        <w:rPr>
          <w:rFonts w:hint="eastAsia"/>
        </w:rPr>
        <w:t>及預算案數均</w:t>
      </w:r>
      <w:r w:rsidRPr="00166F37">
        <w:rPr>
          <w:rFonts w:hint="eastAsia"/>
        </w:rPr>
        <w:t>呈上升趨勢</w:t>
      </w:r>
      <w:r w:rsidR="004011E2">
        <w:rPr>
          <w:rFonts w:hint="eastAsia"/>
        </w:rPr>
        <w:t>，且截至113年9月底止之</w:t>
      </w:r>
      <w:r w:rsidR="004011E2" w:rsidRPr="00551BAE">
        <w:rPr>
          <w:rFonts w:hint="eastAsia"/>
        </w:rPr>
        <w:t>一年以上公共債務未償餘額實際數</w:t>
      </w:r>
      <w:r w:rsidR="008A5B49">
        <w:rPr>
          <w:rFonts w:hint="eastAsia"/>
        </w:rPr>
        <w:t>5</w:t>
      </w:r>
      <w:r w:rsidR="008A5B49" w:rsidRPr="00551BAE">
        <w:rPr>
          <w:rFonts w:hint="eastAsia"/>
        </w:rPr>
        <w:t>兆8,</w:t>
      </w:r>
      <w:r w:rsidR="008A5B49">
        <w:rPr>
          <w:rFonts w:hint="eastAsia"/>
        </w:rPr>
        <w:t>7</w:t>
      </w:r>
      <w:r w:rsidR="008A5B49" w:rsidRPr="00551BAE">
        <w:rPr>
          <w:rFonts w:hint="eastAsia"/>
        </w:rPr>
        <w:t>8</w:t>
      </w:r>
      <w:r w:rsidR="008A5B49">
        <w:rPr>
          <w:rFonts w:hint="eastAsia"/>
        </w:rPr>
        <w:t>0</w:t>
      </w:r>
      <w:r w:rsidR="008A5B49" w:rsidRPr="00551BAE">
        <w:rPr>
          <w:rFonts w:hint="eastAsia"/>
        </w:rPr>
        <w:t>億元</w:t>
      </w:r>
      <w:r w:rsidR="004011E2">
        <w:rPr>
          <w:rFonts w:hint="eastAsia"/>
        </w:rPr>
        <w:t>較去年同期之5兆8</w:t>
      </w:r>
      <w:r w:rsidR="004011E2">
        <w:t>,</w:t>
      </w:r>
      <w:r w:rsidR="004011E2">
        <w:rPr>
          <w:rFonts w:hint="eastAsia"/>
        </w:rPr>
        <w:t>338億元增加442億元，債務仍呈增加</w:t>
      </w:r>
      <w:r>
        <w:rPr>
          <w:rFonts w:hint="eastAsia"/>
        </w:rPr>
        <w:t>。</w:t>
      </w:r>
    </w:p>
    <w:p w:rsidR="005E49BC" w:rsidRDefault="005E49BC" w:rsidP="005E49BC">
      <w:pPr>
        <w:ind w:leftChars="0" w:left="1488" w:hangingChars="525" w:hanging="1488"/>
        <w:jc w:val="left"/>
        <w:rPr>
          <w:b/>
        </w:rPr>
      </w:pPr>
      <w:r>
        <w:rPr>
          <w:rFonts w:hint="eastAsia"/>
          <w:b/>
        </w:rPr>
        <w:t xml:space="preserve">      </w:t>
      </w:r>
      <w:r w:rsidRPr="0060232F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60232F">
        <w:rPr>
          <w:rFonts w:hint="eastAsia"/>
          <w:b/>
        </w:rPr>
        <w:t>中央政府</w:t>
      </w:r>
      <w:r w:rsidR="00546BD0">
        <w:rPr>
          <w:rFonts w:hint="eastAsia"/>
          <w:b/>
        </w:rPr>
        <w:t>110</w:t>
      </w:r>
      <w:r>
        <w:rPr>
          <w:rFonts w:hint="eastAsia"/>
          <w:b/>
        </w:rPr>
        <w:t>至11</w:t>
      </w:r>
      <w:r w:rsidR="00546BD0">
        <w:rPr>
          <w:rFonts w:hint="eastAsia"/>
          <w:b/>
        </w:rPr>
        <w:t>4</w:t>
      </w:r>
      <w:r>
        <w:rPr>
          <w:rFonts w:hint="eastAsia"/>
          <w:b/>
        </w:rPr>
        <w:t>年度</w:t>
      </w:r>
      <w:r w:rsidRPr="006C45D9">
        <w:rPr>
          <w:rFonts w:hint="eastAsia"/>
          <w:b/>
        </w:rPr>
        <w:t>一年以上公共債務未償餘額</w:t>
      </w:r>
      <w:r>
        <w:rPr>
          <w:rFonts w:hint="eastAsia"/>
          <w:b/>
        </w:rPr>
        <w:t>及</w:t>
      </w:r>
      <w:r w:rsidRPr="001D2F7D">
        <w:rPr>
          <w:rFonts w:hint="eastAsia"/>
          <w:b/>
        </w:rPr>
        <w:t>長期債務比率</w:t>
      </w:r>
      <w:r w:rsidRPr="00DE6D14">
        <w:rPr>
          <w:rFonts w:hint="eastAsia"/>
          <w:b/>
        </w:rPr>
        <w:t>概況表</w:t>
      </w:r>
      <w:r>
        <w:rPr>
          <w:rFonts w:hint="eastAsia"/>
          <w:b/>
        </w:rPr>
        <w:t xml:space="preserve">         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新臺幣億元</w:t>
      </w:r>
      <w:r w:rsidR="00546BD0">
        <w:rPr>
          <w:rFonts w:hint="eastAsia"/>
          <w:sz w:val="24"/>
          <w:szCs w:val="24"/>
        </w:rPr>
        <w:t>；%</w:t>
      </w:r>
    </w:p>
    <w:tbl>
      <w:tblPr>
        <w:tblW w:w="7654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212"/>
        <w:gridCol w:w="2183"/>
        <w:gridCol w:w="1842"/>
      </w:tblGrid>
      <w:tr w:rsidR="005E49BC" w:rsidRPr="00257F10" w:rsidTr="000C7CA0">
        <w:trPr>
          <w:trHeight w:val="794"/>
          <w:tblHeader/>
        </w:trPr>
        <w:tc>
          <w:tcPr>
            <w:tcW w:w="1417" w:type="dxa"/>
            <w:shd w:val="clear" w:color="auto" w:fill="auto"/>
            <w:noWrap/>
            <w:vAlign w:val="center"/>
          </w:tcPr>
          <w:p w:rsidR="005E49BC" w:rsidRPr="003D5DD1" w:rsidRDefault="000C7CA0" w:rsidP="000C7CA0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年度\</w:t>
            </w:r>
            <w:r w:rsidR="005E49BC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E49BC" w:rsidRPr="00F803EA" w:rsidRDefault="005E49BC" w:rsidP="004011E2">
            <w:pPr>
              <w:pStyle w:val="142"/>
              <w:jc w:val="center"/>
              <w:rPr>
                <w:b/>
                <w:snapToGrid/>
                <w:szCs w:val="24"/>
              </w:rPr>
            </w:pPr>
            <w:r>
              <w:rPr>
                <w:rFonts w:hint="eastAsia"/>
                <w:b/>
                <w:snapToGrid/>
                <w:szCs w:val="24"/>
              </w:rPr>
              <w:t>一</w:t>
            </w:r>
            <w:r w:rsidRPr="00F803EA">
              <w:rPr>
                <w:rFonts w:hint="eastAsia"/>
                <w:b/>
                <w:snapToGrid/>
                <w:szCs w:val="24"/>
              </w:rPr>
              <w:t>年以上公共債務未償餘額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E49BC" w:rsidRPr="00F803EA" w:rsidRDefault="005E49BC" w:rsidP="004011E2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F803EA">
              <w:rPr>
                <w:rFonts w:hint="eastAsia"/>
                <w:b/>
                <w:snapToGrid/>
                <w:szCs w:val="24"/>
              </w:rPr>
              <w:t>前三年度國內生產毛額平均數</w:t>
            </w:r>
            <w:r w:rsidRPr="006A44CC">
              <w:rPr>
                <w:rFonts w:hint="eastAsia"/>
                <w:b/>
                <w:snapToGrid/>
                <w:sz w:val="20"/>
                <w:szCs w:val="20"/>
              </w:rPr>
              <w:t>(說明2)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E49BC" w:rsidRPr="00F803EA" w:rsidRDefault="005E49BC" w:rsidP="004011E2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F803EA">
              <w:rPr>
                <w:rFonts w:hint="eastAsia"/>
                <w:b/>
                <w:snapToGrid/>
                <w:szCs w:val="24"/>
              </w:rPr>
              <w:t>長期債務比率</w:t>
            </w:r>
          </w:p>
        </w:tc>
      </w:tr>
      <w:tr w:rsidR="005E49BC" w:rsidRPr="00257F10" w:rsidTr="00546BD0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E49BC" w:rsidRDefault="005E49BC" w:rsidP="00546BD0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57,09</w:t>
            </w:r>
            <w:r w:rsidR="00546BD0">
              <w:rPr>
                <w:kern w:val="28"/>
                <w:szCs w:val="24"/>
              </w:rPr>
              <w:t>0</w:t>
            </w:r>
            <w:r>
              <w:rPr>
                <w:kern w:val="28"/>
                <w:szCs w:val="24"/>
              </w:rPr>
              <w:t>.</w:t>
            </w:r>
            <w:r w:rsidR="00546BD0">
              <w:rPr>
                <w:kern w:val="28"/>
                <w:szCs w:val="24"/>
              </w:rPr>
              <w:t>95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1</w:t>
            </w:r>
            <w:r>
              <w:rPr>
                <w:kern w:val="28"/>
                <w:szCs w:val="24"/>
              </w:rPr>
              <w:t>90,661.53</w:t>
            </w:r>
          </w:p>
        </w:tc>
        <w:tc>
          <w:tcPr>
            <w:tcW w:w="1842" w:type="dxa"/>
            <w:vAlign w:val="center"/>
          </w:tcPr>
          <w:p w:rsidR="005E49BC" w:rsidRDefault="005E49BC" w:rsidP="00546BD0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29.9</w:t>
            </w:r>
          </w:p>
        </w:tc>
      </w:tr>
      <w:tr w:rsidR="005E49BC" w:rsidRPr="00257F10" w:rsidTr="00546BD0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E49BC" w:rsidRDefault="005E49BC" w:rsidP="00546BD0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59</w:t>
            </w:r>
            <w:r>
              <w:rPr>
                <w:kern w:val="28"/>
                <w:szCs w:val="24"/>
              </w:rPr>
              <w:t>,2</w:t>
            </w:r>
            <w:r w:rsidR="00546BD0">
              <w:rPr>
                <w:kern w:val="28"/>
                <w:szCs w:val="24"/>
              </w:rPr>
              <w:t>11</w:t>
            </w:r>
            <w:r>
              <w:rPr>
                <w:kern w:val="28"/>
                <w:szCs w:val="24"/>
              </w:rPr>
              <w:t>.</w:t>
            </w:r>
            <w:r w:rsidR="00546BD0">
              <w:rPr>
                <w:kern w:val="28"/>
                <w:szCs w:val="24"/>
              </w:rPr>
              <w:t>11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</w:t>
            </w:r>
            <w:r>
              <w:rPr>
                <w:kern w:val="28"/>
                <w:szCs w:val="24"/>
              </w:rPr>
              <w:t>01,622.23</w:t>
            </w:r>
          </w:p>
        </w:tc>
        <w:tc>
          <w:tcPr>
            <w:tcW w:w="1842" w:type="dxa"/>
            <w:vAlign w:val="center"/>
          </w:tcPr>
          <w:p w:rsidR="005E49BC" w:rsidRDefault="005E49BC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29.</w:t>
            </w:r>
            <w:r w:rsidR="00546BD0">
              <w:rPr>
                <w:kern w:val="28"/>
                <w:szCs w:val="24"/>
              </w:rPr>
              <w:t>4</w:t>
            </w:r>
          </w:p>
        </w:tc>
      </w:tr>
      <w:tr w:rsidR="005E49BC" w:rsidRPr="00257F10" w:rsidTr="00546BD0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E49BC" w:rsidRDefault="005E49BC" w:rsidP="00546BD0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6</w:t>
            </w:r>
            <w:r w:rsidR="00546BD0">
              <w:rPr>
                <w:kern w:val="28"/>
                <w:szCs w:val="24"/>
              </w:rPr>
              <w:t>0</w:t>
            </w:r>
            <w:r>
              <w:rPr>
                <w:kern w:val="28"/>
                <w:szCs w:val="24"/>
              </w:rPr>
              <w:t>,</w:t>
            </w:r>
            <w:r w:rsidR="00546BD0">
              <w:rPr>
                <w:kern w:val="28"/>
                <w:szCs w:val="24"/>
              </w:rPr>
              <w:t>584</w:t>
            </w:r>
            <w:r>
              <w:rPr>
                <w:kern w:val="28"/>
                <w:szCs w:val="24"/>
              </w:rPr>
              <w:t>.</w:t>
            </w:r>
            <w:r w:rsidR="00546BD0">
              <w:rPr>
                <w:kern w:val="28"/>
                <w:szCs w:val="24"/>
              </w:rPr>
              <w:t>69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</w:t>
            </w:r>
            <w:r>
              <w:rPr>
                <w:kern w:val="28"/>
                <w:szCs w:val="24"/>
              </w:rPr>
              <w:t>14,192.93</w:t>
            </w:r>
          </w:p>
        </w:tc>
        <w:tc>
          <w:tcPr>
            <w:tcW w:w="1842" w:type="dxa"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kern w:val="28"/>
                <w:szCs w:val="24"/>
              </w:rPr>
              <w:t>28.3</w:t>
            </w:r>
          </w:p>
        </w:tc>
      </w:tr>
      <w:tr w:rsidR="005E49BC" w:rsidRPr="00257F10" w:rsidTr="00546BD0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5E49BC" w:rsidRDefault="005E49BC" w:rsidP="004011E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113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E49BC" w:rsidRDefault="005E49BC" w:rsidP="00546BD0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6</w:t>
            </w:r>
            <w:r w:rsidR="00546BD0">
              <w:rPr>
                <w:kern w:val="28"/>
                <w:szCs w:val="24"/>
              </w:rPr>
              <w:t>7</w:t>
            </w:r>
            <w:r>
              <w:rPr>
                <w:kern w:val="28"/>
                <w:szCs w:val="24"/>
              </w:rPr>
              <w:t>,</w:t>
            </w:r>
            <w:r w:rsidR="00546BD0">
              <w:rPr>
                <w:kern w:val="28"/>
                <w:szCs w:val="24"/>
              </w:rPr>
              <w:t>200</w:t>
            </w:r>
            <w:r>
              <w:rPr>
                <w:kern w:val="28"/>
                <w:szCs w:val="24"/>
              </w:rPr>
              <w:t>.</w:t>
            </w:r>
            <w:r w:rsidR="00546BD0">
              <w:rPr>
                <w:kern w:val="28"/>
                <w:szCs w:val="24"/>
              </w:rPr>
              <w:t>20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</w:t>
            </w:r>
            <w:r>
              <w:rPr>
                <w:kern w:val="28"/>
                <w:szCs w:val="24"/>
              </w:rPr>
              <w:t>26,293.45</w:t>
            </w:r>
          </w:p>
        </w:tc>
        <w:tc>
          <w:tcPr>
            <w:tcW w:w="1842" w:type="dxa"/>
            <w:vAlign w:val="center"/>
          </w:tcPr>
          <w:p w:rsidR="005E49BC" w:rsidRDefault="00546BD0" w:rsidP="004011E2">
            <w:pPr>
              <w:pStyle w:val="142"/>
              <w:jc w:val="right"/>
              <w:rPr>
                <w:kern w:val="28"/>
                <w:szCs w:val="24"/>
              </w:rPr>
            </w:pPr>
            <w:r>
              <w:rPr>
                <w:kern w:val="28"/>
                <w:szCs w:val="24"/>
              </w:rPr>
              <w:t>29.7</w:t>
            </w:r>
          </w:p>
        </w:tc>
      </w:tr>
      <w:tr w:rsidR="00546BD0" w:rsidRPr="00257F10" w:rsidTr="00546BD0">
        <w:trPr>
          <w:trHeight w:hRule="exact" w:val="340"/>
        </w:trPr>
        <w:tc>
          <w:tcPr>
            <w:tcW w:w="1417" w:type="dxa"/>
            <w:shd w:val="clear" w:color="auto" w:fill="auto"/>
            <w:noWrap/>
            <w:vAlign w:val="center"/>
          </w:tcPr>
          <w:p w:rsidR="00546BD0" w:rsidRDefault="00546BD0" w:rsidP="004011E2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114</w:t>
            </w:r>
          </w:p>
        </w:tc>
        <w:tc>
          <w:tcPr>
            <w:tcW w:w="2212" w:type="dxa"/>
            <w:shd w:val="clear" w:color="auto" w:fill="auto"/>
            <w:noWrap/>
            <w:vAlign w:val="center"/>
          </w:tcPr>
          <w:p w:rsidR="00546BD0" w:rsidRDefault="00546BD0" w:rsidP="004011E2">
            <w:pPr>
              <w:pStyle w:val="142"/>
              <w:jc w:val="right"/>
              <w:rPr>
                <w:rFonts w:hint="eastAsia"/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6</w:t>
            </w:r>
            <w:r>
              <w:rPr>
                <w:kern w:val="28"/>
                <w:szCs w:val="24"/>
              </w:rPr>
              <w:t>8,098.22</w:t>
            </w:r>
          </w:p>
        </w:tc>
        <w:tc>
          <w:tcPr>
            <w:tcW w:w="2183" w:type="dxa"/>
            <w:shd w:val="clear" w:color="auto" w:fill="auto"/>
            <w:noWrap/>
            <w:vAlign w:val="center"/>
          </w:tcPr>
          <w:p w:rsidR="00546BD0" w:rsidRDefault="00546BD0" w:rsidP="004011E2">
            <w:pPr>
              <w:pStyle w:val="142"/>
              <w:jc w:val="right"/>
              <w:rPr>
                <w:rFonts w:hint="eastAsia"/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</w:t>
            </w:r>
            <w:r>
              <w:rPr>
                <w:kern w:val="28"/>
                <w:szCs w:val="24"/>
              </w:rPr>
              <w:t>38,196.54</w:t>
            </w:r>
          </w:p>
        </w:tc>
        <w:tc>
          <w:tcPr>
            <w:tcW w:w="1842" w:type="dxa"/>
            <w:vAlign w:val="center"/>
          </w:tcPr>
          <w:p w:rsidR="00546BD0" w:rsidRDefault="00546BD0" w:rsidP="004011E2">
            <w:pPr>
              <w:pStyle w:val="142"/>
              <w:jc w:val="right"/>
              <w:rPr>
                <w:rFonts w:hint="eastAsia"/>
                <w:kern w:val="28"/>
                <w:szCs w:val="24"/>
              </w:rPr>
            </w:pPr>
            <w:r>
              <w:rPr>
                <w:rFonts w:hint="eastAsia"/>
                <w:kern w:val="28"/>
                <w:szCs w:val="24"/>
              </w:rPr>
              <w:t>2</w:t>
            </w:r>
            <w:r>
              <w:rPr>
                <w:kern w:val="28"/>
                <w:szCs w:val="24"/>
              </w:rPr>
              <w:t>8.6</w:t>
            </w:r>
          </w:p>
        </w:tc>
      </w:tr>
    </w:tbl>
    <w:p w:rsidR="005E49BC" w:rsidRDefault="005E49BC" w:rsidP="008F3B32">
      <w:pPr>
        <w:pStyle w:val="142"/>
        <w:ind w:left="2007" w:hangingChars="825" w:hanging="2007"/>
      </w:pPr>
      <w:r>
        <w:rPr>
          <w:rFonts w:hint="eastAsia"/>
        </w:rPr>
        <w:t xml:space="preserve">       說　　明：</w:t>
      </w:r>
      <w:r w:rsidR="00546BD0">
        <w:rPr>
          <w:rFonts w:hint="eastAsia"/>
        </w:rPr>
        <w:t>1</w:t>
      </w:r>
      <w:r w:rsidR="00546BD0">
        <w:t>10</w:t>
      </w:r>
      <w:r>
        <w:rPr>
          <w:rFonts w:hint="eastAsia"/>
        </w:rPr>
        <w:t>-</w:t>
      </w:r>
      <w:r>
        <w:t>11</w:t>
      </w:r>
      <w:r w:rsidR="00546BD0">
        <w:t>2</w:t>
      </w:r>
      <w:r w:rsidRPr="005E4310">
        <w:rPr>
          <w:rFonts w:hint="eastAsia"/>
        </w:rPr>
        <w:t>年度為決算</w:t>
      </w:r>
      <w:r>
        <w:rPr>
          <w:rFonts w:hint="eastAsia"/>
        </w:rPr>
        <w:t>審定</w:t>
      </w:r>
      <w:r w:rsidRPr="005E4310">
        <w:rPr>
          <w:rFonts w:hint="eastAsia"/>
        </w:rPr>
        <w:t>數</w:t>
      </w:r>
      <w:r>
        <w:rPr>
          <w:rFonts w:hint="eastAsia"/>
        </w:rPr>
        <w:t>、</w:t>
      </w:r>
      <w:r w:rsidR="00546BD0">
        <w:rPr>
          <w:rFonts w:hint="eastAsia"/>
        </w:rPr>
        <w:t>11</w:t>
      </w:r>
      <w:r w:rsidR="00546BD0">
        <w:t>3</w:t>
      </w:r>
      <w:r w:rsidR="00546BD0">
        <w:rPr>
          <w:rFonts w:hint="eastAsia"/>
        </w:rPr>
        <w:t>及114</w:t>
      </w:r>
      <w:r>
        <w:rPr>
          <w:rFonts w:hint="eastAsia"/>
        </w:rPr>
        <w:t>年度為預算</w:t>
      </w:r>
      <w:r w:rsidR="00546BD0">
        <w:rPr>
          <w:rFonts w:hint="eastAsia"/>
        </w:rPr>
        <w:t>案</w:t>
      </w:r>
      <w:r>
        <w:rPr>
          <w:rFonts w:hint="eastAsia"/>
        </w:rPr>
        <w:t>數</w:t>
      </w:r>
      <w:r w:rsidRPr="005E4310">
        <w:rPr>
          <w:rFonts w:hint="eastAsia"/>
        </w:rPr>
        <w:t>。</w:t>
      </w:r>
    </w:p>
    <w:p w:rsidR="008F3B32" w:rsidRDefault="005E49BC" w:rsidP="008F3B32">
      <w:pPr>
        <w:pStyle w:val="142"/>
        <w:ind w:left="2007" w:hangingChars="825" w:hanging="2007"/>
      </w:pPr>
      <w:r>
        <w:rPr>
          <w:rFonts w:hint="eastAsia"/>
        </w:rPr>
        <w:t xml:space="preserve">       </w:t>
      </w:r>
      <w:r w:rsidR="008F3B32">
        <w:rPr>
          <w:rFonts w:hint="eastAsia"/>
        </w:rPr>
        <w:t>資料來源：1.</w:t>
      </w:r>
      <w:r w:rsidR="008F3B32" w:rsidRPr="008F3B32">
        <w:rPr>
          <w:rFonts w:hint="eastAsia"/>
        </w:rPr>
        <w:t>一年以上公共債務未償餘額</w:t>
      </w:r>
      <w:r w:rsidR="008F3B32">
        <w:rPr>
          <w:rFonts w:hint="eastAsia"/>
        </w:rPr>
        <w:t>：國庫署。</w:t>
      </w:r>
    </w:p>
    <w:p w:rsidR="005E49BC" w:rsidRDefault="008F3B32" w:rsidP="008F3B32">
      <w:pPr>
        <w:pStyle w:val="142"/>
        <w:ind w:left="2007" w:hangingChars="825" w:hanging="2007"/>
      </w:pPr>
      <w:r>
        <w:rPr>
          <w:rFonts w:hint="eastAsia"/>
        </w:rPr>
        <w:t xml:space="preserve">                 2.</w:t>
      </w:r>
      <w:r w:rsidRPr="008F3B32">
        <w:rPr>
          <w:rFonts w:hint="eastAsia"/>
        </w:rPr>
        <w:t>前三年度國內生產毛額平均數</w:t>
      </w:r>
      <w:r>
        <w:rPr>
          <w:rFonts w:hint="eastAsia"/>
        </w:rPr>
        <w:t>：行政院主計總處。</w:t>
      </w:r>
    </w:p>
    <w:p w:rsidR="005E49BC" w:rsidRDefault="005E49BC" w:rsidP="004011E2">
      <w:pPr>
        <w:ind w:left="566" w:firstLine="566"/>
      </w:pPr>
      <w:r>
        <w:rPr>
          <w:rFonts w:hint="eastAsia"/>
        </w:rPr>
        <w:t>綜上，</w:t>
      </w:r>
      <w:r w:rsidR="004011E2">
        <w:rPr>
          <w:rFonts w:hint="eastAsia"/>
        </w:rPr>
        <w:t>近3年度稅課收入決算數雖均超逾預算數，合計達1兆188億餘元，惟截至113年9月底止，中央政府一年以上公共債務未償餘額實際數較去年同期增加442億元，審計部亦於112年度中央政府總決算審核報告</w:t>
      </w:r>
      <w:r w:rsidR="00775AD0">
        <w:rPr>
          <w:rStyle w:val="af5"/>
        </w:rPr>
        <w:footnoteReference w:id="1"/>
      </w:r>
      <w:r w:rsidR="004011E2">
        <w:rPr>
          <w:rFonts w:hint="eastAsia"/>
        </w:rPr>
        <w:t>中亦建議宜強化整體債務控管，提</w:t>
      </w:r>
      <w:r w:rsidR="004011E2">
        <w:rPr>
          <w:rFonts w:hint="eastAsia"/>
        </w:rPr>
        <w:lastRenderedPageBreak/>
        <w:t>升財政韌性，以維財政穩健等。</w:t>
      </w:r>
      <w:r>
        <w:rPr>
          <w:rFonts w:hint="eastAsia"/>
        </w:rPr>
        <w:t>是以，相關主管機關</w:t>
      </w:r>
      <w:r w:rsidR="004011E2" w:rsidRPr="002E38C8">
        <w:rPr>
          <w:rFonts w:hint="eastAsia"/>
        </w:rPr>
        <w:t>允宜</w:t>
      </w:r>
      <w:r w:rsidR="004011E2">
        <w:rPr>
          <w:rFonts w:hint="eastAsia"/>
        </w:rPr>
        <w:t>妥為</w:t>
      </w:r>
      <w:r w:rsidR="004011E2" w:rsidRPr="002E38C8">
        <w:rPr>
          <w:rFonts w:hint="eastAsia"/>
        </w:rPr>
        <w:t>控</w:t>
      </w:r>
      <w:r w:rsidR="004011E2">
        <w:rPr>
          <w:rFonts w:hint="eastAsia"/>
        </w:rPr>
        <w:t>管</w:t>
      </w:r>
      <w:r w:rsidR="004011E2" w:rsidRPr="002E38C8">
        <w:rPr>
          <w:rFonts w:hint="eastAsia"/>
        </w:rPr>
        <w:t>，以維財政健全</w:t>
      </w:r>
      <w:r w:rsidR="00775AD0">
        <w:rPr>
          <w:rFonts w:hint="eastAsia"/>
        </w:rPr>
        <w:t>。</w:t>
      </w:r>
    </w:p>
    <w:sectPr w:rsidR="005E49BC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B6725" w:rsidRPr="006B672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  <w:footnote w:id="1">
    <w:p w:rsidR="00775AD0" w:rsidRPr="00775AD0" w:rsidRDefault="00775AD0" w:rsidP="00775AD0">
      <w:pPr>
        <w:pStyle w:val="142"/>
        <w:wordWrap w:val="0"/>
        <w:ind w:left="158" w:hangingChars="65" w:hanging="158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審計部112年度中央政府總決算審核報告(第2冊)，頁丙-245。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6725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E7E96D6-0386-47EE-94F9-03BE8430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46E0E-2C43-4ACD-8283-93E454FA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