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A9" w:rsidRDefault="00925CF7" w:rsidP="00700F93">
      <w:pPr>
        <w:pStyle w:val="aa"/>
      </w:pPr>
      <w:bookmarkStart w:id="0" w:name="_GoBack"/>
      <w:bookmarkEnd w:id="0"/>
      <w:r w:rsidRPr="00925CF7">
        <w:rPr>
          <w:rFonts w:hint="eastAsia"/>
        </w:rPr>
        <w:t>中央政府債務基金1</w:t>
      </w:r>
      <w:r w:rsidR="00790ABD">
        <w:t>1</w:t>
      </w:r>
      <w:r w:rsidR="005E49BC">
        <w:rPr>
          <w:rFonts w:hint="eastAsia"/>
        </w:rPr>
        <w:t>4</w:t>
      </w:r>
      <w:r w:rsidRPr="00925CF7">
        <w:rPr>
          <w:rFonts w:hint="eastAsia"/>
        </w:rPr>
        <w:t>年度預算評估報告</w:t>
      </w:r>
    </w:p>
    <w:p w:rsidR="009F3A40" w:rsidRDefault="009F3A40" w:rsidP="009F3A40">
      <w:pPr>
        <w:pStyle w:val="a8"/>
        <w:ind w:firstLine="566"/>
      </w:pPr>
      <w:r w:rsidRPr="009F3A40">
        <w:rPr>
          <w:rFonts w:hint="eastAsia"/>
          <w:snapToGrid/>
        </w:rPr>
        <w:t>中央政府債務基金</w:t>
      </w:r>
      <w:r w:rsidR="004808F6">
        <w:rPr>
          <w:rFonts w:hint="eastAsia"/>
          <w:snapToGrid/>
        </w:rPr>
        <w:t>（</w:t>
      </w:r>
      <w:r w:rsidR="00A05DA1">
        <w:rPr>
          <w:rFonts w:hint="eastAsia"/>
          <w:snapToGrid/>
        </w:rPr>
        <w:t>以</w:t>
      </w:r>
      <w:r w:rsidRPr="009F3A40">
        <w:rPr>
          <w:rFonts w:hint="eastAsia"/>
          <w:snapToGrid/>
        </w:rPr>
        <w:t>下</w:t>
      </w:r>
      <w:r w:rsidR="00A05DA1">
        <w:rPr>
          <w:rFonts w:hint="eastAsia"/>
          <w:snapToGrid/>
        </w:rPr>
        <w:t>簡</w:t>
      </w:r>
      <w:r w:rsidRPr="009F3A40">
        <w:rPr>
          <w:rFonts w:hint="eastAsia"/>
          <w:snapToGrid/>
        </w:rPr>
        <w:t>稱</w:t>
      </w:r>
      <w:r>
        <w:rPr>
          <w:rFonts w:hint="eastAsia"/>
          <w:snapToGrid/>
        </w:rPr>
        <w:t>債務</w:t>
      </w:r>
      <w:r w:rsidRPr="009F3A40">
        <w:rPr>
          <w:rFonts w:hint="eastAsia"/>
          <w:snapToGrid/>
        </w:rPr>
        <w:t>基金</w:t>
      </w:r>
      <w:r w:rsidR="004808F6">
        <w:rPr>
          <w:rFonts w:hint="eastAsia"/>
          <w:snapToGrid/>
        </w:rPr>
        <w:t>）</w:t>
      </w:r>
      <w:r w:rsidR="00D0325C">
        <w:rPr>
          <w:rFonts w:hint="eastAsia"/>
        </w:rPr>
        <w:t>11</w:t>
      </w:r>
      <w:r w:rsidR="005E49BC">
        <w:rPr>
          <w:rFonts w:hint="eastAsia"/>
        </w:rPr>
        <w:t>4</w:t>
      </w:r>
      <w:r w:rsidR="004D03D1" w:rsidRPr="004D03D1">
        <w:rPr>
          <w:rFonts w:hint="eastAsia"/>
        </w:rPr>
        <w:t>年度預算案編列基金來源</w:t>
      </w:r>
      <w:r w:rsidR="005E49BC">
        <w:rPr>
          <w:rFonts w:hint="eastAsia"/>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871987">
        <w:rPr>
          <w:snapToGrid/>
        </w:rPr>
        <w:t>,</w:t>
      </w:r>
      <w:r w:rsidR="005E49BC">
        <w:rPr>
          <w:rFonts w:hint="eastAsia"/>
          <w:snapToGrid/>
        </w:rPr>
        <w:t>726</w:t>
      </w:r>
      <w:r w:rsidRPr="009F3A40">
        <w:rPr>
          <w:rFonts w:hint="eastAsia"/>
          <w:snapToGrid/>
        </w:rPr>
        <w:t>萬</w:t>
      </w:r>
      <w:r w:rsidR="00D0325C">
        <w:rPr>
          <w:rFonts w:hint="eastAsia"/>
          <w:snapToGrid/>
        </w:rPr>
        <w:t>5</w:t>
      </w:r>
      <w:r w:rsidR="00F70BD8">
        <w:rPr>
          <w:rFonts w:hint="eastAsia"/>
          <w:snapToGrid/>
        </w:rPr>
        <w:t>千</w:t>
      </w:r>
      <w:r w:rsidRPr="009F3A40">
        <w:rPr>
          <w:rFonts w:hint="eastAsia"/>
          <w:snapToGrid/>
        </w:rPr>
        <w:t>元，</w:t>
      </w:r>
      <w:r>
        <w:rPr>
          <w:rFonts w:hint="eastAsia"/>
          <w:snapToGrid/>
        </w:rPr>
        <w:t>基金用途</w:t>
      </w:r>
      <w:r w:rsidR="005E49BC">
        <w:rPr>
          <w:rFonts w:hint="eastAsia"/>
          <w:snapToGrid/>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D0325C">
        <w:rPr>
          <w:snapToGrid/>
        </w:rPr>
        <w:t>,</w:t>
      </w:r>
      <w:r w:rsidR="005E49BC">
        <w:rPr>
          <w:rFonts w:hint="eastAsia"/>
          <w:snapToGrid/>
        </w:rPr>
        <w:t>525</w:t>
      </w:r>
      <w:r w:rsidRPr="009F3A40">
        <w:rPr>
          <w:rFonts w:hint="eastAsia"/>
          <w:snapToGrid/>
        </w:rPr>
        <w:t>萬</w:t>
      </w:r>
      <w:r w:rsidR="005E49BC">
        <w:rPr>
          <w:rFonts w:hint="eastAsia"/>
          <w:snapToGrid/>
        </w:rPr>
        <w:t>1</w:t>
      </w:r>
      <w:r w:rsidR="00790ABD">
        <w:rPr>
          <w:rFonts w:hint="eastAsia"/>
          <w:snapToGrid/>
        </w:rPr>
        <w:t>千</w:t>
      </w:r>
      <w:r w:rsidRPr="009F3A40">
        <w:rPr>
          <w:rFonts w:hint="eastAsia"/>
          <w:snapToGrid/>
        </w:rPr>
        <w:t>元，</w:t>
      </w:r>
      <w:r>
        <w:rPr>
          <w:rFonts w:hint="eastAsia"/>
          <w:snapToGrid/>
        </w:rPr>
        <w:t>基金來源及用途</w:t>
      </w:r>
      <w:r w:rsidRPr="009F3A40">
        <w:rPr>
          <w:rFonts w:hint="eastAsia"/>
          <w:snapToGrid/>
        </w:rPr>
        <w:t>相抵後</w:t>
      </w:r>
      <w:r>
        <w:rPr>
          <w:rFonts w:hint="eastAsia"/>
          <w:snapToGrid/>
        </w:rPr>
        <w:t>賸餘</w:t>
      </w:r>
      <w:r w:rsidR="005E49BC">
        <w:rPr>
          <w:rFonts w:hint="eastAsia"/>
          <w:snapToGrid/>
        </w:rPr>
        <w:t>201</w:t>
      </w:r>
      <w:r w:rsidRPr="009F3A40">
        <w:rPr>
          <w:rFonts w:hint="eastAsia"/>
          <w:snapToGrid/>
        </w:rPr>
        <w:t>萬</w:t>
      </w:r>
      <w:r w:rsidR="005E49BC">
        <w:rPr>
          <w:rFonts w:hint="eastAsia"/>
          <w:snapToGrid/>
        </w:rPr>
        <w:t>4千</w:t>
      </w:r>
      <w:r w:rsidRPr="009F3A40">
        <w:rPr>
          <w:rFonts w:hint="eastAsia"/>
          <w:snapToGrid/>
        </w:rPr>
        <w:t>元，</w:t>
      </w:r>
      <w:r w:rsidR="00F70BD8">
        <w:rPr>
          <w:rFonts w:hint="eastAsia"/>
          <w:snapToGrid/>
        </w:rPr>
        <w:t>較</w:t>
      </w:r>
      <w:r w:rsidRPr="009F3A40">
        <w:rPr>
          <w:rFonts w:hint="eastAsia"/>
          <w:snapToGrid/>
        </w:rPr>
        <w:t>1</w:t>
      </w:r>
      <w:r w:rsidR="00790ABD">
        <w:rPr>
          <w:snapToGrid/>
        </w:rPr>
        <w:t>1</w:t>
      </w:r>
      <w:r w:rsidR="005E49BC">
        <w:rPr>
          <w:rFonts w:hint="eastAsia"/>
          <w:snapToGrid/>
        </w:rPr>
        <w:t>3</w:t>
      </w:r>
      <w:r w:rsidRPr="009F3A40">
        <w:rPr>
          <w:rFonts w:hint="eastAsia"/>
          <w:snapToGrid/>
        </w:rPr>
        <w:t>年度預算</w:t>
      </w:r>
      <w:r w:rsidR="00B8312B">
        <w:rPr>
          <w:rFonts w:hint="eastAsia"/>
          <w:snapToGrid/>
        </w:rPr>
        <w:t>賸餘</w:t>
      </w:r>
      <w:r w:rsidR="00D0325C">
        <w:rPr>
          <w:rFonts w:hint="eastAsia"/>
          <w:snapToGrid/>
        </w:rPr>
        <w:t>增加</w:t>
      </w:r>
      <w:r w:rsidR="005E49BC">
        <w:rPr>
          <w:rFonts w:hint="eastAsia"/>
          <w:snapToGrid/>
        </w:rPr>
        <w:t>106</w:t>
      </w:r>
      <w:r w:rsidR="00F70BD8">
        <w:rPr>
          <w:rFonts w:hint="eastAsia"/>
          <w:snapToGrid/>
        </w:rPr>
        <w:t>萬</w:t>
      </w:r>
      <w:r w:rsidR="005E49BC">
        <w:rPr>
          <w:rFonts w:hint="eastAsia"/>
          <w:snapToGrid/>
        </w:rPr>
        <w:t>4千</w:t>
      </w:r>
      <w:r w:rsidR="00F70BD8">
        <w:rPr>
          <w:rFonts w:hint="eastAsia"/>
          <w:snapToGrid/>
        </w:rPr>
        <w:t>元</w:t>
      </w:r>
      <w:r w:rsidR="003F37FC">
        <w:rPr>
          <w:rFonts w:hint="eastAsia"/>
          <w:snapToGrid/>
        </w:rPr>
        <w:t>(</w:t>
      </w:r>
      <w:r w:rsidR="00961D9D">
        <w:rPr>
          <w:rFonts w:hint="eastAsia"/>
          <w:snapToGrid/>
        </w:rPr>
        <w:t>增</w:t>
      </w:r>
      <w:r w:rsidR="003F37FC">
        <w:rPr>
          <w:rFonts w:hint="eastAsia"/>
          <w:snapToGrid/>
        </w:rPr>
        <w:t>幅</w:t>
      </w:r>
      <w:r w:rsidR="005E49BC">
        <w:rPr>
          <w:rFonts w:hint="eastAsia"/>
          <w:snapToGrid/>
        </w:rPr>
        <w:t>112</w:t>
      </w:r>
      <w:r w:rsidR="003F37FC">
        <w:rPr>
          <w:rFonts w:hint="eastAsia"/>
          <w:snapToGrid/>
        </w:rPr>
        <w:t>%)</w:t>
      </w:r>
      <w:r w:rsidRPr="009F3A40">
        <w:rPr>
          <w:rFonts w:hint="eastAsia"/>
          <w:snapToGrid/>
        </w:rPr>
        <w:t>。謹就</w:t>
      </w:r>
      <w:r>
        <w:rPr>
          <w:rFonts w:hint="eastAsia"/>
          <w:snapToGrid/>
        </w:rPr>
        <w:t>債務基金</w:t>
      </w:r>
      <w:r w:rsidRPr="009F3A40">
        <w:rPr>
          <w:rFonts w:hint="eastAsia"/>
          <w:snapToGrid/>
        </w:rPr>
        <w:t>1</w:t>
      </w:r>
      <w:r w:rsidR="00555523">
        <w:rPr>
          <w:snapToGrid/>
        </w:rPr>
        <w:t>1</w:t>
      </w:r>
      <w:r w:rsidR="005E49BC">
        <w:rPr>
          <w:rFonts w:hint="eastAsia"/>
          <w:snapToGrid/>
        </w:rPr>
        <w:t>4</w:t>
      </w:r>
      <w:r w:rsidR="00B8312B" w:rsidRPr="003F54E6">
        <w:rPr>
          <w:rFonts w:hint="eastAsia"/>
        </w:rPr>
        <w:t>年度預算評估如下</w:t>
      </w:r>
      <w:r w:rsidRPr="009F3A40">
        <w:rPr>
          <w:rFonts w:hint="eastAsia"/>
          <w:snapToGrid/>
        </w:rPr>
        <w:t>：</w:t>
      </w:r>
    </w:p>
    <w:p w:rsidR="004011E2" w:rsidRDefault="004011E2" w:rsidP="004011E2">
      <w:pPr>
        <w:pStyle w:val="14"/>
        <w:ind w:left="510" w:hangingChars="180" w:hanging="510"/>
      </w:pPr>
      <w:bookmarkStart w:id="1" w:name="_Toc181900921"/>
      <w:r>
        <w:rPr>
          <w:rFonts w:hint="eastAsia"/>
        </w:rPr>
        <w:t>二、</w:t>
      </w:r>
      <w:r>
        <w:rPr>
          <w:rFonts w:hAnsi="標楷體" w:hint="eastAsia"/>
        </w:rPr>
        <w:t>1</w:t>
      </w:r>
      <w:r w:rsidRPr="008322C5">
        <w:rPr>
          <w:rFonts w:hAnsi="標楷體" w:hint="eastAsia"/>
          <w:spacing w:val="-2"/>
        </w:rPr>
        <w:t>1</w:t>
      </w:r>
      <w:r>
        <w:rPr>
          <w:rFonts w:hAnsi="標楷體" w:hint="eastAsia"/>
          <w:spacing w:val="-2"/>
        </w:rPr>
        <w:t>4</w:t>
      </w:r>
      <w:r w:rsidRPr="008322C5">
        <w:rPr>
          <w:rFonts w:hAnsi="標楷體" w:hint="eastAsia"/>
          <w:spacing w:val="-2"/>
        </w:rPr>
        <w:t>年度編列債務還本收入占稅課收入比率5</w:t>
      </w:r>
      <w:r>
        <w:rPr>
          <w:rFonts w:hAnsi="標楷體" w:hint="eastAsia"/>
          <w:spacing w:val="-2"/>
        </w:rPr>
        <w:t>.1</w:t>
      </w:r>
      <w:r w:rsidRPr="008322C5">
        <w:rPr>
          <w:rFonts w:hAnsi="標楷體" w:hint="eastAsia"/>
          <w:spacing w:val="-2"/>
        </w:rPr>
        <w:t>%，</w:t>
      </w:r>
      <w:r>
        <w:rPr>
          <w:rFonts w:hAnsi="標楷體" w:hint="eastAsia"/>
          <w:spacing w:val="-2"/>
        </w:rPr>
        <w:t>較</w:t>
      </w:r>
      <w:r w:rsidRPr="008322C5">
        <w:rPr>
          <w:rFonts w:hAnsi="標楷體" w:hint="eastAsia"/>
          <w:spacing w:val="-2"/>
        </w:rPr>
        <w:t>法定比率</w:t>
      </w:r>
      <w:r>
        <w:rPr>
          <w:rFonts w:hAnsi="標楷體" w:hint="eastAsia"/>
          <w:spacing w:val="-2"/>
        </w:rPr>
        <w:t>僅高出0.1個百分點</w:t>
      </w:r>
      <w:r w:rsidRPr="008322C5">
        <w:rPr>
          <w:rFonts w:hAnsi="標楷體" w:hint="eastAsia"/>
          <w:spacing w:val="-2"/>
        </w:rPr>
        <w:t>，</w:t>
      </w:r>
      <w:r>
        <w:rPr>
          <w:rFonts w:hAnsi="標楷體" w:hint="eastAsia"/>
          <w:spacing w:val="-2"/>
        </w:rPr>
        <w:t>且部分財源來自舉債支應，允宜檢討改進</w:t>
      </w:r>
      <w:bookmarkEnd w:id="1"/>
    </w:p>
    <w:p w:rsidR="004011E2" w:rsidRDefault="004011E2" w:rsidP="004011E2">
      <w:pPr>
        <w:ind w:left="566" w:firstLine="566"/>
        <w:rPr>
          <w:rFonts w:hAnsi="標楷體"/>
        </w:rPr>
      </w:pPr>
      <w:r>
        <w:rPr>
          <w:rFonts w:hAnsi="標楷體" w:hint="eastAsia"/>
        </w:rPr>
        <w:t>債務基金</w:t>
      </w:r>
      <w:r w:rsidRPr="00ED3238">
        <w:rPr>
          <w:rFonts w:hint="eastAsia"/>
        </w:rPr>
        <w:t>1</w:t>
      </w:r>
      <w:r>
        <w:rPr>
          <w:rFonts w:hint="eastAsia"/>
        </w:rPr>
        <w:t>14</w:t>
      </w:r>
      <w:r w:rsidRPr="00ED3238">
        <w:rPr>
          <w:rFonts w:hint="eastAsia"/>
        </w:rPr>
        <w:t>年度</w:t>
      </w:r>
      <w:r w:rsidRPr="00A64899">
        <w:rPr>
          <w:rFonts w:hAnsi="標楷體" w:hint="eastAsia"/>
        </w:rPr>
        <w:t>預算案</w:t>
      </w:r>
      <w:r>
        <w:rPr>
          <w:rFonts w:hAnsi="標楷體" w:hint="eastAsia"/>
        </w:rPr>
        <w:t>於「基金來源-債務收入」項下編列「債務還本收入」1,415億元，占稅課收入編列數2兆7</w:t>
      </w:r>
      <w:r>
        <w:rPr>
          <w:rFonts w:hAnsi="標楷體"/>
        </w:rPr>
        <w:t>,</w:t>
      </w:r>
      <w:r>
        <w:rPr>
          <w:rFonts w:hAnsi="標楷體" w:hint="eastAsia"/>
        </w:rPr>
        <w:t>740億元之5.</w:t>
      </w:r>
      <w:r w:rsidR="000E1DE3">
        <w:rPr>
          <w:rFonts w:hAnsi="標楷體" w:hint="eastAsia"/>
        </w:rPr>
        <w:t>1</w:t>
      </w:r>
      <w:r>
        <w:rPr>
          <w:rFonts w:hAnsi="標楷體" w:hint="eastAsia"/>
        </w:rPr>
        <w:t>0%。經查：</w:t>
      </w:r>
    </w:p>
    <w:p w:rsidR="004011E2" w:rsidRDefault="004011E2" w:rsidP="004011E2">
      <w:pPr>
        <w:pStyle w:val="a4"/>
        <w:ind w:left="849" w:hanging="283"/>
        <w:rPr>
          <w:rFonts w:hAnsi="標楷體"/>
          <w:b/>
        </w:rPr>
      </w:pPr>
      <w:r>
        <w:rPr>
          <w:rFonts w:hAnsi="標楷體" w:hint="eastAsia"/>
          <w:b/>
        </w:rPr>
        <w:t>(一)依公共債務法規定編列</w:t>
      </w:r>
      <w:r w:rsidRPr="00BF17D9">
        <w:rPr>
          <w:rFonts w:hAnsi="標楷體" w:hint="eastAsia"/>
          <w:b/>
        </w:rPr>
        <w:t>債務還本</w:t>
      </w:r>
      <w:r>
        <w:rPr>
          <w:rFonts w:hAnsi="標楷體" w:hint="eastAsia"/>
          <w:b/>
        </w:rPr>
        <w:t>預算</w:t>
      </w:r>
    </w:p>
    <w:p w:rsidR="004011E2" w:rsidRDefault="00775AD0" w:rsidP="000E1DE3">
      <w:pPr>
        <w:pStyle w:val="21"/>
        <w:ind w:left="850" w:firstLine="566"/>
      </w:pPr>
      <w:r>
        <w:rPr>
          <w:rFonts w:hint="eastAsia"/>
        </w:rPr>
        <w:t>依</w:t>
      </w:r>
      <w:r w:rsidR="004011E2" w:rsidRPr="00BF17D9">
        <w:rPr>
          <w:rFonts w:hint="eastAsia"/>
        </w:rPr>
        <w:t>公共債務法</w:t>
      </w:r>
      <w:r w:rsidR="004011E2">
        <w:rPr>
          <w:rFonts w:hint="eastAsia"/>
        </w:rPr>
        <w:t>第12條第1項規定：「</w:t>
      </w:r>
      <w:r w:rsidR="00CB7C56" w:rsidRPr="00CB7C56">
        <w:rPr>
          <w:rFonts w:hint="eastAsia"/>
        </w:rPr>
        <w:t>為強化債務管理，中央及直轄市應以當年度稅課收入至少百分之五至六；縣（市）及鄉（鎮、市）應以其上年度依第五條第四項所定之公共債務未償餘額預算數至少百分之一，編列債務之還本。其以舉債支應部分，應計入第五條第七項至第九項規定之每年度舉債額度。</w:t>
      </w:r>
      <w:r w:rsidR="004011E2">
        <w:rPr>
          <w:rFonts w:hint="eastAsia"/>
        </w:rPr>
        <w:t>」</w:t>
      </w:r>
      <w:r w:rsidR="008A2E10">
        <w:rPr>
          <w:rFonts w:hint="eastAsia"/>
        </w:rPr>
        <w:t>爰中央政府114年度總預算案以該年度稅課收入作為基礎</w:t>
      </w:r>
      <w:r w:rsidR="00CB7C56">
        <w:rPr>
          <w:rFonts w:hint="eastAsia"/>
        </w:rPr>
        <w:t>，</w:t>
      </w:r>
      <w:r w:rsidR="008A2E10">
        <w:rPr>
          <w:rFonts w:hint="eastAsia"/>
        </w:rPr>
        <w:t>編列債務還本預算案數1</w:t>
      </w:r>
      <w:r w:rsidR="008A2E10">
        <w:t>,</w:t>
      </w:r>
      <w:r w:rsidR="008A2E10">
        <w:rPr>
          <w:rFonts w:hint="eastAsia"/>
        </w:rPr>
        <w:t>415億元。</w:t>
      </w:r>
    </w:p>
    <w:p w:rsidR="004011E2" w:rsidRDefault="004011E2" w:rsidP="004011E2">
      <w:pPr>
        <w:pStyle w:val="a4"/>
        <w:ind w:left="849" w:hanging="283"/>
        <w:rPr>
          <w:b/>
        </w:rPr>
      </w:pPr>
      <w:r w:rsidRPr="001B09D0">
        <w:rPr>
          <w:rFonts w:hint="eastAsia"/>
          <w:b/>
        </w:rPr>
        <w:t>(二)</w:t>
      </w:r>
      <w:r w:rsidR="000E1DE3">
        <w:rPr>
          <w:rFonts w:hint="eastAsia"/>
          <w:b/>
        </w:rPr>
        <w:t>114</w:t>
      </w:r>
      <w:r>
        <w:rPr>
          <w:rFonts w:hint="eastAsia"/>
          <w:b/>
        </w:rPr>
        <w:t>年度</w:t>
      </w:r>
      <w:r w:rsidRPr="001B09D0">
        <w:rPr>
          <w:rFonts w:hint="eastAsia"/>
          <w:b/>
        </w:rPr>
        <w:t>所編債務還本預算</w:t>
      </w:r>
      <w:r>
        <w:rPr>
          <w:rFonts w:hint="eastAsia"/>
          <w:b/>
        </w:rPr>
        <w:t>占</w:t>
      </w:r>
      <w:r w:rsidRPr="001B09D0">
        <w:rPr>
          <w:rFonts w:hint="eastAsia"/>
          <w:b/>
        </w:rPr>
        <w:t>當年度稅課收入</w:t>
      </w:r>
      <w:r w:rsidR="000E1DE3">
        <w:rPr>
          <w:rFonts w:hint="eastAsia"/>
          <w:b/>
        </w:rPr>
        <w:t>之</w:t>
      </w:r>
      <w:r>
        <w:rPr>
          <w:rFonts w:hint="eastAsia"/>
          <w:b/>
        </w:rPr>
        <w:t>比率</w:t>
      </w:r>
      <w:r w:rsidR="000E1DE3">
        <w:rPr>
          <w:rFonts w:hint="eastAsia"/>
          <w:b/>
        </w:rPr>
        <w:t>，僅高於</w:t>
      </w:r>
      <w:r>
        <w:rPr>
          <w:rFonts w:hint="eastAsia"/>
          <w:b/>
        </w:rPr>
        <w:t>高於法定比率</w:t>
      </w:r>
      <w:r w:rsidR="000E1DE3">
        <w:rPr>
          <w:rFonts w:hint="eastAsia"/>
          <w:b/>
        </w:rPr>
        <w:t>0.1個百分點</w:t>
      </w:r>
      <w:r>
        <w:rPr>
          <w:rFonts w:hint="eastAsia"/>
          <w:b/>
        </w:rPr>
        <w:t>，惟113年度該比率僅</w:t>
      </w:r>
      <w:r w:rsidRPr="001A0184">
        <w:rPr>
          <w:rFonts w:hAnsi="標楷體" w:hint="eastAsia"/>
          <w:b/>
          <w:spacing w:val="-2"/>
        </w:rPr>
        <w:t>符合法定比率之最下限</w:t>
      </w:r>
    </w:p>
    <w:p w:rsidR="004011E2" w:rsidRPr="00166F72" w:rsidRDefault="004011E2" w:rsidP="004011E2">
      <w:pPr>
        <w:pStyle w:val="123"/>
        <w:ind w:left="1133" w:hanging="283"/>
      </w:pPr>
      <w:r w:rsidRPr="00166F72">
        <w:rPr>
          <w:rFonts w:hint="eastAsia"/>
        </w:rPr>
        <w:t>1.</w:t>
      </w:r>
      <w:r>
        <w:rPr>
          <w:rFonts w:hint="eastAsia"/>
        </w:rPr>
        <w:t>上開</w:t>
      </w:r>
      <w:r w:rsidRPr="00166F72">
        <w:rPr>
          <w:rFonts w:hint="eastAsia"/>
        </w:rPr>
        <w:t>公共債務法第12條第1項</w:t>
      </w:r>
      <w:r>
        <w:rPr>
          <w:rFonts w:hint="eastAsia"/>
        </w:rPr>
        <w:t>「以當年度稅課收入至少</w:t>
      </w:r>
      <w:r w:rsidRPr="00D07085">
        <w:rPr>
          <w:rFonts w:hint="eastAsia"/>
        </w:rPr>
        <w:t>百分之</w:t>
      </w:r>
      <w:r>
        <w:rPr>
          <w:rFonts w:hint="eastAsia"/>
        </w:rPr>
        <w:t>五</w:t>
      </w:r>
      <w:r w:rsidRPr="00D07085">
        <w:rPr>
          <w:rFonts w:hint="eastAsia"/>
        </w:rPr>
        <w:t>至</w:t>
      </w:r>
      <w:r>
        <w:rPr>
          <w:rFonts w:hint="eastAsia"/>
        </w:rPr>
        <w:t>六</w:t>
      </w:r>
      <w:r w:rsidRPr="00166F72">
        <w:rPr>
          <w:rFonts w:hint="eastAsia"/>
        </w:rPr>
        <w:t>編列債務之還本</w:t>
      </w:r>
      <w:r>
        <w:rPr>
          <w:rFonts w:hint="eastAsia"/>
        </w:rPr>
        <w:t>」之</w:t>
      </w:r>
      <w:r w:rsidRPr="00166F72">
        <w:rPr>
          <w:rFonts w:hint="eastAsia"/>
        </w:rPr>
        <w:t>規定</w:t>
      </w:r>
      <w:r>
        <w:rPr>
          <w:rFonts w:hint="eastAsia"/>
        </w:rPr>
        <w:t>，係110年6月9日總統</w:t>
      </w:r>
      <w:r w:rsidRPr="008012A8">
        <w:rPr>
          <w:rFonts w:hint="eastAsia"/>
        </w:rPr>
        <w:t>公布</w:t>
      </w:r>
      <w:r>
        <w:rPr>
          <w:rStyle w:val="af5"/>
        </w:rPr>
        <w:footnoteReference w:id="1"/>
      </w:r>
      <w:r>
        <w:rPr>
          <w:rFonts w:hint="eastAsia"/>
        </w:rPr>
        <w:t>該法</w:t>
      </w:r>
      <w:r w:rsidRPr="008012A8">
        <w:rPr>
          <w:rFonts w:hint="eastAsia"/>
        </w:rPr>
        <w:t>第12條條文</w:t>
      </w:r>
      <w:r>
        <w:rPr>
          <w:rFonts w:hint="eastAsia"/>
        </w:rPr>
        <w:t>及依行政院函示</w:t>
      </w:r>
      <w:r>
        <w:rPr>
          <w:rStyle w:val="af5"/>
        </w:rPr>
        <w:footnoteReference w:id="2"/>
      </w:r>
      <w:r>
        <w:rPr>
          <w:rFonts w:hint="eastAsia"/>
        </w:rPr>
        <w:t>自110年7月2日施</w:t>
      </w:r>
      <w:r>
        <w:rPr>
          <w:rFonts w:hint="eastAsia"/>
        </w:rPr>
        <w:lastRenderedPageBreak/>
        <w:t>行；本次修法前原規定係「</w:t>
      </w:r>
      <w:r w:rsidRPr="00166F72">
        <w:rPr>
          <w:rFonts w:hint="eastAsia"/>
        </w:rPr>
        <w:t>以當年度稅課收入至少</w:t>
      </w:r>
      <w:r w:rsidR="00CB7C56" w:rsidRPr="00D07085">
        <w:rPr>
          <w:rFonts w:hint="eastAsia"/>
        </w:rPr>
        <w:t>百分之</w:t>
      </w:r>
      <w:r w:rsidR="00CB7C56">
        <w:rPr>
          <w:rFonts w:hint="eastAsia"/>
        </w:rPr>
        <w:t>五</w:t>
      </w:r>
      <w:r>
        <w:rPr>
          <w:rFonts w:hint="eastAsia"/>
        </w:rPr>
        <w:t>」</w:t>
      </w:r>
      <w:r w:rsidRPr="00166F72">
        <w:rPr>
          <w:rFonts w:hint="eastAsia"/>
        </w:rPr>
        <w:t>編</w:t>
      </w:r>
      <w:r>
        <w:rPr>
          <w:rFonts w:hint="eastAsia"/>
        </w:rPr>
        <w:t>列債務還本預算。</w:t>
      </w:r>
    </w:p>
    <w:p w:rsidR="004011E2" w:rsidRDefault="004011E2" w:rsidP="004011E2">
      <w:pPr>
        <w:pStyle w:val="123"/>
        <w:ind w:left="1133" w:hanging="283"/>
      </w:pPr>
      <w:r>
        <w:rPr>
          <w:rFonts w:hint="eastAsia"/>
        </w:rPr>
        <w:t>2.從107</w:t>
      </w:r>
      <w:r w:rsidRPr="001B09D0">
        <w:rPr>
          <w:rFonts w:hint="eastAsia"/>
        </w:rPr>
        <w:t>至</w:t>
      </w:r>
      <w:r w:rsidR="000E1DE3">
        <w:rPr>
          <w:rFonts w:hint="eastAsia"/>
        </w:rPr>
        <w:t>114</w:t>
      </w:r>
      <w:r w:rsidRPr="001B09D0">
        <w:rPr>
          <w:rFonts w:hint="eastAsia"/>
        </w:rPr>
        <w:t>年度</w:t>
      </w:r>
      <w:r>
        <w:rPr>
          <w:rFonts w:hint="eastAsia"/>
        </w:rPr>
        <w:t>債務還本編列情形以觀(詳表1)，107至</w:t>
      </w:r>
      <w:r w:rsidR="000E1DE3">
        <w:rPr>
          <w:rFonts w:hint="eastAsia"/>
        </w:rPr>
        <w:t>113</w:t>
      </w:r>
      <w:r>
        <w:rPr>
          <w:rFonts w:hint="eastAsia"/>
        </w:rPr>
        <w:t>年度編列數介於792億元至1</w:t>
      </w:r>
      <w:r w:rsidR="000E1DE3">
        <w:t>,1</w:t>
      </w:r>
      <w:r w:rsidR="000E1DE3">
        <w:rPr>
          <w:rFonts w:hint="eastAsia"/>
        </w:rPr>
        <w:t>5</w:t>
      </w:r>
      <w:r>
        <w:t>0</w:t>
      </w:r>
      <w:r>
        <w:rPr>
          <w:rFonts w:hint="eastAsia"/>
        </w:rPr>
        <w:t>億元間，占各該年度</w:t>
      </w:r>
      <w:r w:rsidRPr="00166F72">
        <w:rPr>
          <w:rFonts w:hint="eastAsia"/>
        </w:rPr>
        <w:t>稅課收入</w:t>
      </w:r>
      <w:r>
        <w:rPr>
          <w:rFonts w:hint="eastAsia"/>
        </w:rPr>
        <w:t>比率介於5.0</w:t>
      </w:r>
      <w:r w:rsidR="00CB7C56">
        <w:rPr>
          <w:rFonts w:hint="eastAsia"/>
        </w:rPr>
        <w:t>0</w:t>
      </w:r>
      <w:r>
        <w:rPr>
          <w:rFonts w:hint="eastAsia"/>
        </w:rPr>
        <w:t>%至5.</w:t>
      </w:r>
      <w:r w:rsidR="00CB7C56">
        <w:rPr>
          <w:rFonts w:hint="eastAsia"/>
        </w:rPr>
        <w:t>12</w:t>
      </w:r>
      <w:r>
        <w:rPr>
          <w:rFonts w:hint="eastAsia"/>
        </w:rPr>
        <w:t>%間，雖符合法定規定，惟均遠低於法定6%之上限。</w:t>
      </w:r>
      <w:r w:rsidR="000E1DE3">
        <w:rPr>
          <w:rFonts w:hint="eastAsia"/>
        </w:rPr>
        <w:t>114</w:t>
      </w:r>
      <w:r>
        <w:rPr>
          <w:rFonts w:hint="eastAsia"/>
        </w:rPr>
        <w:t>年度債務還本編列1</w:t>
      </w:r>
      <w:r>
        <w:t>,</w:t>
      </w:r>
      <w:r w:rsidR="000E1DE3">
        <w:rPr>
          <w:rFonts w:hint="eastAsia"/>
        </w:rPr>
        <w:t>415</w:t>
      </w:r>
      <w:r>
        <w:rPr>
          <w:rFonts w:hint="eastAsia"/>
        </w:rPr>
        <w:t>億元，雖為自91</w:t>
      </w:r>
      <w:r w:rsidR="00CB7C56">
        <w:rPr>
          <w:rFonts w:hint="eastAsia"/>
        </w:rPr>
        <w:t>年度來之新高，惟</w:t>
      </w:r>
      <w:r>
        <w:rPr>
          <w:rFonts w:hint="eastAsia"/>
        </w:rPr>
        <w:t>占當年度</w:t>
      </w:r>
      <w:r w:rsidRPr="00166F72">
        <w:rPr>
          <w:rFonts w:hint="eastAsia"/>
        </w:rPr>
        <w:t>稅課收入</w:t>
      </w:r>
      <w:r>
        <w:rPr>
          <w:rFonts w:hint="eastAsia"/>
        </w:rPr>
        <w:t>比率5.</w:t>
      </w:r>
      <w:r w:rsidR="000E1DE3">
        <w:rPr>
          <w:rFonts w:hint="eastAsia"/>
        </w:rPr>
        <w:t>1</w:t>
      </w:r>
      <w:r>
        <w:rPr>
          <w:rFonts w:hint="eastAsia"/>
        </w:rPr>
        <w:t>0%，</w:t>
      </w:r>
      <w:r w:rsidRPr="001A0184">
        <w:rPr>
          <w:rFonts w:hint="eastAsia"/>
        </w:rPr>
        <w:t>僅</w:t>
      </w:r>
      <w:r w:rsidR="000E1DE3">
        <w:rPr>
          <w:rFonts w:hint="eastAsia"/>
        </w:rPr>
        <w:t>高出</w:t>
      </w:r>
      <w:r w:rsidRPr="001A0184">
        <w:rPr>
          <w:rFonts w:hint="eastAsia"/>
        </w:rPr>
        <w:t>法定比率之最下限</w:t>
      </w:r>
      <w:r w:rsidR="000E1DE3">
        <w:rPr>
          <w:rFonts w:hint="eastAsia"/>
        </w:rPr>
        <w:t>0.1個百分點</w:t>
      </w:r>
      <w:r>
        <w:rPr>
          <w:rFonts w:hint="eastAsia"/>
        </w:rPr>
        <w:t>。</w:t>
      </w:r>
    </w:p>
    <w:p w:rsidR="000E1DE3" w:rsidRDefault="000E1DE3" w:rsidP="004011E2">
      <w:pPr>
        <w:pStyle w:val="123"/>
        <w:ind w:left="1133" w:hanging="283"/>
        <w:rPr>
          <w:rFonts w:hint="eastAsia"/>
        </w:rPr>
      </w:pPr>
      <w:r>
        <w:rPr>
          <w:rFonts w:hint="eastAsia"/>
        </w:rPr>
        <w:t>3.嗣按11</w:t>
      </w:r>
      <w:r>
        <w:t>4</w:t>
      </w:r>
      <w:r w:rsidRPr="001744C7">
        <w:rPr>
          <w:rFonts w:hint="eastAsia"/>
        </w:rPr>
        <w:t>年度中央政府總預算案</w:t>
      </w:r>
      <w:r>
        <w:rPr>
          <w:rFonts w:hint="eastAsia"/>
        </w:rPr>
        <w:t>總說明所述</w:t>
      </w:r>
      <w:r w:rsidRPr="001744C7">
        <w:rPr>
          <w:rFonts w:hint="eastAsia"/>
        </w:rPr>
        <w:t>，</w:t>
      </w:r>
      <w:r>
        <w:rPr>
          <w:rFonts w:hint="eastAsia"/>
        </w:rPr>
        <w:t>歲入編列3</w:t>
      </w:r>
      <w:r w:rsidRPr="001744C7">
        <w:rPr>
          <w:rFonts w:hint="eastAsia"/>
        </w:rPr>
        <w:t>兆</w:t>
      </w:r>
      <w:r>
        <w:rPr>
          <w:rFonts w:hint="eastAsia"/>
        </w:rPr>
        <w:t>1</w:t>
      </w:r>
      <w:r w:rsidRPr="001744C7">
        <w:rPr>
          <w:rFonts w:hint="eastAsia"/>
        </w:rPr>
        <w:t>,</w:t>
      </w:r>
      <w:r>
        <w:t>534</w:t>
      </w:r>
      <w:r>
        <w:rPr>
          <w:rFonts w:hint="eastAsia"/>
        </w:rPr>
        <w:t>億元、歲出3兆1,</w:t>
      </w:r>
      <w:r>
        <w:t>325</w:t>
      </w:r>
      <w:r>
        <w:rPr>
          <w:rFonts w:hint="eastAsia"/>
        </w:rPr>
        <w:t>億元，歲入</w:t>
      </w:r>
      <w:r w:rsidRPr="001744C7">
        <w:rPr>
          <w:rFonts w:hint="eastAsia"/>
        </w:rPr>
        <w:t>歲出相抵</w:t>
      </w:r>
      <w:r>
        <w:rPr>
          <w:rFonts w:hint="eastAsia"/>
        </w:rPr>
        <w:t>賸餘209</w:t>
      </w:r>
      <w:r w:rsidRPr="001744C7">
        <w:rPr>
          <w:rFonts w:hint="eastAsia"/>
        </w:rPr>
        <w:t>億元，連同債務還本</w:t>
      </w:r>
      <w:r>
        <w:rPr>
          <w:rFonts w:hint="eastAsia"/>
        </w:rPr>
        <w:t>1,415</w:t>
      </w:r>
      <w:r w:rsidRPr="001744C7">
        <w:rPr>
          <w:rFonts w:hint="eastAsia"/>
        </w:rPr>
        <w:t>億元，</w:t>
      </w:r>
      <w:r>
        <w:rPr>
          <w:rFonts w:hint="eastAsia"/>
        </w:rPr>
        <w:t>共需融資</w:t>
      </w:r>
      <w:r w:rsidRPr="001744C7">
        <w:rPr>
          <w:rFonts w:hint="eastAsia"/>
        </w:rPr>
        <w:t>調度</w:t>
      </w:r>
      <w:r>
        <w:rPr>
          <w:rFonts w:hint="eastAsia"/>
        </w:rPr>
        <w:t>數1</w:t>
      </w:r>
      <w:r w:rsidRPr="001744C7">
        <w:rPr>
          <w:rFonts w:hint="eastAsia"/>
        </w:rPr>
        <w:t>,</w:t>
      </w:r>
      <w:r>
        <w:rPr>
          <w:rFonts w:hint="eastAsia"/>
        </w:rPr>
        <w:t>206</w:t>
      </w:r>
      <w:r w:rsidRPr="001744C7">
        <w:rPr>
          <w:rFonts w:hint="eastAsia"/>
        </w:rPr>
        <w:t>億元，</w:t>
      </w:r>
      <w:r>
        <w:rPr>
          <w:rFonts w:hint="eastAsia"/>
        </w:rPr>
        <w:t>以舉借債務706億元及移用以前年度歲計賸餘500</w:t>
      </w:r>
      <w:r w:rsidR="00CB7C56">
        <w:rPr>
          <w:rFonts w:hint="eastAsia"/>
        </w:rPr>
        <w:t>億元予以彌平。顯示債務還本部分財源來自舉借債務支應，該部分債務還本僅具有</w:t>
      </w:r>
      <w:r>
        <w:rPr>
          <w:rFonts w:hint="eastAsia"/>
        </w:rPr>
        <w:t>舉</w:t>
      </w:r>
      <w:r w:rsidR="00CB7C56">
        <w:rPr>
          <w:rFonts w:hint="eastAsia"/>
        </w:rPr>
        <w:t>借</w:t>
      </w:r>
      <w:r>
        <w:rPr>
          <w:rFonts w:hint="eastAsia"/>
        </w:rPr>
        <w:t>新債</w:t>
      </w:r>
      <w:r w:rsidR="00CB7C56">
        <w:rPr>
          <w:rFonts w:hint="eastAsia"/>
        </w:rPr>
        <w:t>並償</w:t>
      </w:r>
      <w:r>
        <w:rPr>
          <w:rFonts w:hint="eastAsia"/>
        </w:rPr>
        <w:t>還舊債性質，未能達實質減債之效果。</w:t>
      </w:r>
    </w:p>
    <w:p w:rsidR="004011E2" w:rsidRPr="00D03337" w:rsidRDefault="004011E2" w:rsidP="00094503">
      <w:pPr>
        <w:widowControl/>
        <w:spacing w:beforeLines="5" w:before="25"/>
        <w:ind w:leftChars="0" w:left="1772" w:hangingChars="625" w:hanging="1772"/>
        <w:jc w:val="left"/>
        <w:rPr>
          <w:rFonts w:hAnsi="標楷體"/>
          <w:sz w:val="24"/>
          <w:szCs w:val="22"/>
        </w:rPr>
      </w:pPr>
      <w:r>
        <w:rPr>
          <w:rFonts w:hAnsi="標楷體" w:hint="eastAsia"/>
          <w:b/>
        </w:rPr>
        <w:t xml:space="preserve">        </w:t>
      </w:r>
      <w:r w:rsidRPr="00D03337">
        <w:rPr>
          <w:rFonts w:hAnsi="標楷體" w:hint="eastAsia"/>
          <w:b/>
        </w:rPr>
        <w:t>表</w:t>
      </w:r>
      <w:r>
        <w:rPr>
          <w:rFonts w:hAnsi="標楷體" w:hint="eastAsia"/>
          <w:b/>
        </w:rPr>
        <w:t>1 107至</w:t>
      </w:r>
      <w:r w:rsidR="000E1DE3">
        <w:rPr>
          <w:rFonts w:hAnsi="標楷體" w:hint="eastAsia"/>
          <w:b/>
        </w:rPr>
        <w:t>11</w:t>
      </w:r>
      <w:r w:rsidR="000E1DE3">
        <w:rPr>
          <w:rFonts w:hAnsi="標楷體"/>
          <w:b/>
        </w:rPr>
        <w:t>4</w:t>
      </w:r>
      <w:r>
        <w:rPr>
          <w:rFonts w:hAnsi="標楷體" w:hint="eastAsia"/>
          <w:b/>
        </w:rPr>
        <w:t>年度</w:t>
      </w:r>
      <w:r w:rsidR="00094503">
        <w:rPr>
          <w:rFonts w:hAnsi="標楷體" w:hint="eastAsia"/>
          <w:b/>
        </w:rPr>
        <w:t>總預算案</w:t>
      </w:r>
      <w:r>
        <w:rPr>
          <w:rFonts w:hAnsi="標楷體" w:hint="eastAsia"/>
          <w:b/>
        </w:rPr>
        <w:t>強制還本編列數占</w:t>
      </w:r>
      <w:r w:rsidRPr="00E16D7F">
        <w:rPr>
          <w:rFonts w:hAnsi="標楷體" w:hint="eastAsia"/>
          <w:b/>
        </w:rPr>
        <w:t>稅收編列數</w:t>
      </w:r>
      <w:r>
        <w:rPr>
          <w:rFonts w:hAnsi="標楷體" w:hint="eastAsia"/>
          <w:b/>
        </w:rPr>
        <w:t xml:space="preserve">之比率表                        </w:t>
      </w:r>
      <w:r w:rsidRPr="00D03337">
        <w:rPr>
          <w:rFonts w:hAnsi="標楷體" w:hint="eastAsia"/>
          <w:sz w:val="24"/>
          <w:szCs w:val="22"/>
        </w:rPr>
        <w:t>單位：</w:t>
      </w:r>
      <w:r>
        <w:rPr>
          <w:rFonts w:hAnsi="標楷體" w:hint="eastAsia"/>
          <w:sz w:val="24"/>
          <w:szCs w:val="22"/>
        </w:rPr>
        <w:t>新臺幣億元</w:t>
      </w:r>
      <w:r w:rsidR="00CB7C56">
        <w:rPr>
          <w:rFonts w:hAnsi="標楷體" w:hint="eastAsia"/>
          <w:sz w:val="24"/>
          <w:szCs w:val="22"/>
        </w:rPr>
        <w:t>；%</w:t>
      </w:r>
    </w:p>
    <w:tbl>
      <w:tblPr>
        <w:tblW w:w="7399" w:type="dxa"/>
        <w:tblInd w:w="11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9"/>
        <w:gridCol w:w="1850"/>
        <w:gridCol w:w="2141"/>
        <w:gridCol w:w="1559"/>
      </w:tblGrid>
      <w:tr w:rsidR="004011E2" w:rsidRPr="00D03337" w:rsidTr="000E1DE3">
        <w:trPr>
          <w:trHeight w:val="360"/>
          <w:tblHeader/>
        </w:trPr>
        <w:tc>
          <w:tcPr>
            <w:tcW w:w="1849" w:type="dxa"/>
            <w:shd w:val="clear" w:color="auto" w:fill="auto"/>
            <w:noWrap/>
            <w:vAlign w:val="center"/>
            <w:hideMark/>
          </w:tcPr>
          <w:p w:rsidR="004011E2" w:rsidRPr="00D03337" w:rsidRDefault="004011E2" w:rsidP="004011E2">
            <w:pPr>
              <w:widowControl/>
              <w:spacing w:line="280" w:lineRule="exact"/>
              <w:ind w:leftChars="0" w:left="0" w:firstLineChars="0" w:firstLine="0"/>
              <w:jc w:val="center"/>
              <w:rPr>
                <w:rFonts w:hAnsi="標楷體" w:cs="新細明體"/>
                <w:b/>
                <w:color w:val="000000"/>
                <w:kern w:val="0"/>
                <w:sz w:val="24"/>
              </w:rPr>
            </w:pPr>
            <w:r>
              <w:rPr>
                <w:rFonts w:hAnsi="標楷體" w:cs="新細明體" w:hint="eastAsia"/>
                <w:b/>
                <w:color w:val="000000"/>
                <w:kern w:val="0"/>
                <w:sz w:val="24"/>
              </w:rPr>
              <w:t>年度</w:t>
            </w:r>
          </w:p>
        </w:tc>
        <w:tc>
          <w:tcPr>
            <w:tcW w:w="1850" w:type="dxa"/>
            <w:shd w:val="clear" w:color="auto" w:fill="auto"/>
            <w:noWrap/>
            <w:vAlign w:val="center"/>
            <w:hideMark/>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稅收編列數A</w:t>
            </w:r>
          </w:p>
        </w:tc>
        <w:tc>
          <w:tcPr>
            <w:tcW w:w="2141" w:type="dxa"/>
            <w:shd w:val="clear" w:color="auto" w:fill="auto"/>
            <w:noWrap/>
            <w:vAlign w:val="center"/>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強制還本編列數B</w:t>
            </w:r>
          </w:p>
        </w:tc>
        <w:tc>
          <w:tcPr>
            <w:tcW w:w="1559" w:type="dxa"/>
            <w:vAlign w:val="center"/>
          </w:tcPr>
          <w:p w:rsidR="004011E2" w:rsidRPr="00D03337" w:rsidRDefault="004011E2" w:rsidP="004011E2">
            <w:pPr>
              <w:widowControl/>
              <w:spacing w:line="280" w:lineRule="exact"/>
              <w:ind w:leftChars="0" w:left="0" w:firstLineChars="0" w:firstLine="0"/>
              <w:jc w:val="center"/>
              <w:rPr>
                <w:rFonts w:hAnsi="標楷體" w:cs="新細明體"/>
                <w:b/>
                <w:bCs/>
                <w:color w:val="000000"/>
                <w:kern w:val="0"/>
                <w:sz w:val="24"/>
              </w:rPr>
            </w:pPr>
            <w:r>
              <w:rPr>
                <w:rFonts w:hAnsi="標楷體" w:cs="新細明體" w:hint="eastAsia"/>
                <w:b/>
                <w:bCs/>
                <w:color w:val="000000"/>
                <w:kern w:val="0"/>
                <w:sz w:val="24"/>
              </w:rPr>
              <w:t>B</w:t>
            </w:r>
            <w:r>
              <w:rPr>
                <w:rFonts w:hAnsi="標楷體" w:cs="新細明體"/>
                <w:b/>
                <w:bCs/>
                <w:color w:val="000000"/>
                <w:kern w:val="0"/>
                <w:sz w:val="24"/>
              </w:rPr>
              <w:t>/A</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107</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5</w:t>
            </w:r>
            <w:r>
              <w:rPr>
                <w:rFonts w:hAnsi="標楷體" w:cs="新細明體" w:hint="eastAsia"/>
                <w:kern w:val="0"/>
                <w:sz w:val="24"/>
              </w:rPr>
              <w:t>,</w:t>
            </w:r>
            <w:r>
              <w:rPr>
                <w:rFonts w:hAnsi="標楷體" w:cs="新細明體"/>
                <w:kern w:val="0"/>
                <w:sz w:val="24"/>
              </w:rPr>
              <w:t>575</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7</w:t>
            </w:r>
            <w:r>
              <w:rPr>
                <w:rFonts w:hAnsi="標楷體" w:cs="新細明體"/>
                <w:kern w:val="0"/>
                <w:sz w:val="24"/>
              </w:rPr>
              <w:t>92</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.09</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108</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6,321</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8</w:t>
            </w:r>
            <w:r>
              <w:rPr>
                <w:rFonts w:hAnsi="標楷體" w:cs="新細明體"/>
                <w:kern w:val="0"/>
                <w:sz w:val="24"/>
              </w:rPr>
              <w:t>35</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.12</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109</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w:t>
            </w:r>
            <w:r>
              <w:rPr>
                <w:rFonts w:hAnsi="標楷體" w:cs="新細明體"/>
                <w:color w:val="000000"/>
                <w:kern w:val="0"/>
                <w:sz w:val="24"/>
              </w:rPr>
              <w:t>6,796</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8</w:t>
            </w:r>
            <w:r>
              <w:rPr>
                <w:rFonts w:hAnsi="標楷體" w:cs="新細明體"/>
                <w:color w:val="000000"/>
                <w:kern w:val="0"/>
                <w:sz w:val="24"/>
              </w:rPr>
              <w:t>50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.06</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110</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w:t>
            </w:r>
            <w:r>
              <w:rPr>
                <w:rFonts w:hAnsi="標楷體" w:cs="新細明體"/>
                <w:color w:val="000000"/>
                <w:kern w:val="0"/>
                <w:sz w:val="24"/>
              </w:rPr>
              <w:t>6,719</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850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.08</w:t>
            </w:r>
          </w:p>
        </w:tc>
      </w:tr>
      <w:tr w:rsidR="004011E2" w:rsidRPr="00D03337" w:rsidTr="000E1DE3">
        <w:trPr>
          <w:trHeight w:val="329"/>
        </w:trPr>
        <w:tc>
          <w:tcPr>
            <w:tcW w:w="1849" w:type="dxa"/>
            <w:shd w:val="clear" w:color="auto" w:fill="auto"/>
            <w:noWrap/>
            <w:vAlign w:val="center"/>
          </w:tcPr>
          <w:p w:rsidR="004011E2" w:rsidRPr="00D03337" w:rsidRDefault="004011E2" w:rsidP="004011E2">
            <w:pPr>
              <w:widowControl/>
              <w:spacing w:line="260" w:lineRule="exact"/>
              <w:ind w:leftChars="0" w:left="0" w:firstLineChars="0" w:firstLine="0"/>
              <w:jc w:val="center"/>
              <w:rPr>
                <w:rFonts w:hAnsi="標楷體" w:cs="新細明體"/>
                <w:color w:val="000000"/>
                <w:kern w:val="0"/>
                <w:sz w:val="24"/>
              </w:rPr>
            </w:pPr>
            <w:r>
              <w:rPr>
                <w:rFonts w:hAnsi="標楷體" w:cs="新細明體" w:hint="eastAsia"/>
                <w:color w:val="000000"/>
                <w:kern w:val="0"/>
                <w:sz w:val="24"/>
              </w:rPr>
              <w:t>111</w:t>
            </w:r>
          </w:p>
        </w:tc>
        <w:tc>
          <w:tcPr>
            <w:tcW w:w="1850"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18,</w:t>
            </w:r>
            <w:r>
              <w:rPr>
                <w:rFonts w:hAnsi="標楷體" w:cs="新細明體"/>
                <w:color w:val="000000"/>
                <w:kern w:val="0"/>
                <w:sz w:val="24"/>
              </w:rPr>
              <w:t>788</w:t>
            </w:r>
          </w:p>
        </w:tc>
        <w:tc>
          <w:tcPr>
            <w:tcW w:w="2141" w:type="dxa"/>
            <w:shd w:val="clear" w:color="auto" w:fill="auto"/>
            <w:noWrap/>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960</w:t>
            </w:r>
          </w:p>
        </w:tc>
        <w:tc>
          <w:tcPr>
            <w:tcW w:w="1559" w:type="dxa"/>
            <w:vAlign w:val="center"/>
          </w:tcPr>
          <w:p w:rsidR="004011E2" w:rsidRPr="00D03337" w:rsidRDefault="004011E2" w:rsidP="004011E2">
            <w:pPr>
              <w:widowControl/>
              <w:spacing w:line="260" w:lineRule="exact"/>
              <w:ind w:leftChars="0" w:left="0" w:firstLineChars="0" w:firstLine="0"/>
              <w:jc w:val="right"/>
              <w:rPr>
                <w:rFonts w:hAnsi="標楷體" w:cs="新細明體"/>
                <w:color w:val="000000"/>
                <w:kern w:val="0"/>
                <w:sz w:val="24"/>
              </w:rPr>
            </w:pPr>
            <w:r>
              <w:rPr>
                <w:rFonts w:hAnsi="標楷體" w:cs="新細明體" w:hint="eastAsia"/>
                <w:color w:val="000000"/>
                <w:kern w:val="0"/>
                <w:sz w:val="24"/>
              </w:rPr>
              <w:t>5</w:t>
            </w:r>
            <w:r>
              <w:rPr>
                <w:rFonts w:hAnsi="標楷體" w:cs="新細明體"/>
                <w:color w:val="000000"/>
                <w:kern w:val="0"/>
                <w:sz w:val="24"/>
              </w:rPr>
              <w:t>.11</w:t>
            </w:r>
          </w:p>
        </w:tc>
      </w:tr>
      <w:tr w:rsidR="004011E2" w:rsidRPr="00D03337" w:rsidTr="000E1DE3">
        <w:trPr>
          <w:trHeight w:val="329"/>
        </w:trPr>
        <w:tc>
          <w:tcPr>
            <w:tcW w:w="1849" w:type="dxa"/>
            <w:shd w:val="clear" w:color="000000" w:fill="FFFFFF"/>
            <w:noWrap/>
            <w:vAlign w:val="center"/>
          </w:tcPr>
          <w:p w:rsidR="004011E2" w:rsidRPr="00D03337" w:rsidRDefault="004011E2"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112</w:t>
            </w:r>
          </w:p>
        </w:tc>
        <w:tc>
          <w:tcPr>
            <w:tcW w:w="1850"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2</w:t>
            </w:r>
            <w:r>
              <w:rPr>
                <w:rFonts w:hAnsi="標楷體" w:cs="新細明體"/>
                <w:kern w:val="0"/>
                <w:sz w:val="24"/>
              </w:rPr>
              <w:t>1</w:t>
            </w:r>
            <w:r>
              <w:rPr>
                <w:rFonts w:hAnsi="標楷體" w:cs="新細明體" w:hint="eastAsia"/>
                <w:kern w:val="0"/>
                <w:sz w:val="24"/>
              </w:rPr>
              <w:t>,</w:t>
            </w:r>
            <w:r>
              <w:rPr>
                <w:rFonts w:hAnsi="標楷體" w:cs="新細明體"/>
                <w:kern w:val="0"/>
                <w:sz w:val="24"/>
              </w:rPr>
              <w:t>749</w:t>
            </w:r>
          </w:p>
        </w:tc>
        <w:tc>
          <w:tcPr>
            <w:tcW w:w="2141"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,110</w:t>
            </w:r>
          </w:p>
        </w:tc>
        <w:tc>
          <w:tcPr>
            <w:tcW w:w="1559" w:type="dxa"/>
            <w:shd w:val="clear" w:color="000000" w:fill="FFFFFF"/>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5</w:t>
            </w:r>
            <w:r>
              <w:rPr>
                <w:rFonts w:hAnsi="標楷體" w:cs="新細明體"/>
                <w:kern w:val="0"/>
                <w:sz w:val="24"/>
              </w:rPr>
              <w:t>.10</w:t>
            </w:r>
          </w:p>
        </w:tc>
      </w:tr>
      <w:tr w:rsidR="004011E2" w:rsidRPr="00D03337" w:rsidTr="000E1DE3">
        <w:trPr>
          <w:trHeight w:val="329"/>
        </w:trPr>
        <w:tc>
          <w:tcPr>
            <w:tcW w:w="1849" w:type="dxa"/>
            <w:shd w:val="clear" w:color="000000" w:fill="FFFFFF"/>
            <w:noWrap/>
            <w:vAlign w:val="center"/>
          </w:tcPr>
          <w:p w:rsidR="004011E2" w:rsidRDefault="004011E2" w:rsidP="004011E2">
            <w:pPr>
              <w:widowControl/>
              <w:spacing w:line="260" w:lineRule="exact"/>
              <w:ind w:leftChars="0" w:left="0" w:firstLineChars="0" w:firstLine="0"/>
              <w:jc w:val="center"/>
              <w:rPr>
                <w:rFonts w:hAnsi="標楷體" w:cs="新細明體"/>
                <w:kern w:val="0"/>
                <w:sz w:val="24"/>
              </w:rPr>
            </w:pPr>
            <w:r>
              <w:rPr>
                <w:rFonts w:hAnsi="標楷體" w:cs="新細明體" w:hint="eastAsia"/>
                <w:kern w:val="0"/>
                <w:sz w:val="24"/>
              </w:rPr>
              <w:t>113</w:t>
            </w:r>
          </w:p>
        </w:tc>
        <w:tc>
          <w:tcPr>
            <w:tcW w:w="1850"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2</w:t>
            </w:r>
            <w:r>
              <w:rPr>
                <w:rFonts w:hAnsi="標楷體" w:cs="新細明體"/>
                <w:kern w:val="0"/>
                <w:sz w:val="24"/>
              </w:rPr>
              <w:t>2,990</w:t>
            </w:r>
          </w:p>
        </w:tc>
        <w:tc>
          <w:tcPr>
            <w:tcW w:w="2141" w:type="dxa"/>
            <w:shd w:val="clear" w:color="000000" w:fill="FFFFFF"/>
            <w:noWrap/>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1</w:t>
            </w:r>
            <w:r>
              <w:rPr>
                <w:rFonts w:hAnsi="標楷體" w:cs="新細明體"/>
                <w:kern w:val="0"/>
                <w:sz w:val="24"/>
              </w:rPr>
              <w:t>,150</w:t>
            </w:r>
          </w:p>
        </w:tc>
        <w:tc>
          <w:tcPr>
            <w:tcW w:w="1559" w:type="dxa"/>
            <w:shd w:val="clear" w:color="000000" w:fill="FFFFFF"/>
            <w:vAlign w:val="center"/>
          </w:tcPr>
          <w:p w:rsidR="004011E2" w:rsidRPr="00D03337" w:rsidRDefault="004011E2" w:rsidP="004011E2">
            <w:pPr>
              <w:widowControl/>
              <w:spacing w:line="260" w:lineRule="exact"/>
              <w:ind w:leftChars="0" w:left="0" w:firstLineChars="0" w:firstLine="0"/>
              <w:jc w:val="right"/>
              <w:rPr>
                <w:rFonts w:hAnsi="標楷體" w:cs="新細明體"/>
                <w:kern w:val="0"/>
                <w:sz w:val="24"/>
              </w:rPr>
            </w:pPr>
            <w:r>
              <w:rPr>
                <w:rFonts w:hAnsi="標楷體" w:cs="新細明體" w:hint="eastAsia"/>
                <w:kern w:val="0"/>
                <w:sz w:val="24"/>
              </w:rPr>
              <w:t>5</w:t>
            </w:r>
            <w:r>
              <w:rPr>
                <w:rFonts w:hAnsi="標楷體" w:cs="新細明體"/>
                <w:kern w:val="0"/>
                <w:sz w:val="24"/>
              </w:rPr>
              <w:t>.00</w:t>
            </w:r>
          </w:p>
        </w:tc>
      </w:tr>
      <w:tr w:rsidR="000E1DE3" w:rsidRPr="00D03337" w:rsidTr="000E1DE3">
        <w:trPr>
          <w:trHeight w:val="329"/>
        </w:trPr>
        <w:tc>
          <w:tcPr>
            <w:tcW w:w="1849" w:type="dxa"/>
            <w:shd w:val="clear" w:color="000000" w:fill="FFFFFF"/>
            <w:noWrap/>
            <w:vAlign w:val="center"/>
          </w:tcPr>
          <w:p w:rsidR="000E1DE3" w:rsidRDefault="000E1DE3" w:rsidP="004011E2">
            <w:pPr>
              <w:widowControl/>
              <w:spacing w:line="260" w:lineRule="exact"/>
              <w:ind w:leftChars="0" w:left="0" w:firstLineChars="0" w:firstLine="0"/>
              <w:jc w:val="center"/>
              <w:rPr>
                <w:rFonts w:hAnsi="標楷體" w:cs="新細明體" w:hint="eastAsia"/>
                <w:kern w:val="0"/>
                <w:sz w:val="24"/>
              </w:rPr>
            </w:pPr>
            <w:r>
              <w:rPr>
                <w:rFonts w:hAnsi="標楷體" w:cs="新細明體" w:hint="eastAsia"/>
                <w:kern w:val="0"/>
                <w:sz w:val="24"/>
              </w:rPr>
              <w:t>114</w:t>
            </w:r>
          </w:p>
        </w:tc>
        <w:tc>
          <w:tcPr>
            <w:tcW w:w="1850" w:type="dxa"/>
            <w:shd w:val="clear" w:color="000000" w:fill="FFFFFF"/>
            <w:noWrap/>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27,</w:t>
            </w:r>
            <w:r>
              <w:rPr>
                <w:rFonts w:hAnsi="標楷體" w:cs="新細明體"/>
                <w:kern w:val="0"/>
                <w:sz w:val="24"/>
              </w:rPr>
              <w:t>740</w:t>
            </w:r>
          </w:p>
        </w:tc>
        <w:tc>
          <w:tcPr>
            <w:tcW w:w="2141" w:type="dxa"/>
            <w:shd w:val="clear" w:color="000000" w:fill="FFFFFF"/>
            <w:noWrap/>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1</w:t>
            </w:r>
            <w:r>
              <w:rPr>
                <w:rFonts w:hAnsi="標楷體" w:cs="新細明體"/>
                <w:kern w:val="0"/>
                <w:sz w:val="24"/>
              </w:rPr>
              <w:t>,415</w:t>
            </w:r>
          </w:p>
        </w:tc>
        <w:tc>
          <w:tcPr>
            <w:tcW w:w="1559" w:type="dxa"/>
            <w:shd w:val="clear" w:color="000000" w:fill="FFFFFF"/>
            <w:vAlign w:val="center"/>
          </w:tcPr>
          <w:p w:rsidR="000E1DE3" w:rsidRDefault="000E1DE3" w:rsidP="004011E2">
            <w:pPr>
              <w:widowControl/>
              <w:spacing w:line="260" w:lineRule="exact"/>
              <w:ind w:leftChars="0" w:left="0" w:firstLineChars="0" w:firstLine="0"/>
              <w:jc w:val="right"/>
              <w:rPr>
                <w:rFonts w:hAnsi="標楷體" w:cs="新細明體" w:hint="eastAsia"/>
                <w:kern w:val="0"/>
                <w:sz w:val="24"/>
              </w:rPr>
            </w:pPr>
            <w:r>
              <w:rPr>
                <w:rFonts w:hAnsi="標楷體" w:cs="新細明體" w:hint="eastAsia"/>
                <w:kern w:val="0"/>
                <w:sz w:val="24"/>
              </w:rPr>
              <w:t>5</w:t>
            </w:r>
            <w:r>
              <w:rPr>
                <w:rFonts w:hAnsi="標楷體" w:cs="新細明體"/>
                <w:kern w:val="0"/>
                <w:sz w:val="24"/>
              </w:rPr>
              <w:t>.10</w:t>
            </w:r>
          </w:p>
        </w:tc>
      </w:tr>
    </w:tbl>
    <w:p w:rsidR="004011E2" w:rsidRDefault="004011E2" w:rsidP="004011E2">
      <w:pPr>
        <w:pStyle w:val="142"/>
        <w:ind w:left="2274" w:hangingChars="935" w:hanging="2274"/>
      </w:pPr>
      <w:r>
        <w:rPr>
          <w:rFonts w:hint="eastAsia"/>
        </w:rPr>
        <w:t xml:space="preserve">         </w:t>
      </w:r>
      <w:r w:rsidR="008F3B32">
        <w:rPr>
          <w:rFonts w:hint="eastAsia"/>
        </w:rPr>
        <w:t>說　　明：表中為</w:t>
      </w:r>
      <w:r w:rsidR="000E1DE3">
        <w:rPr>
          <w:rFonts w:hint="eastAsia"/>
        </w:rPr>
        <w:t>107-11</w:t>
      </w:r>
      <w:r w:rsidR="000E1DE3">
        <w:t>4</w:t>
      </w:r>
      <w:r>
        <w:rPr>
          <w:rFonts w:hint="eastAsia"/>
        </w:rPr>
        <w:t>年度中央政府總預算案總說明及主要附表之</w:t>
      </w:r>
      <w:r w:rsidR="00737A21">
        <w:rPr>
          <w:rFonts w:hint="eastAsia"/>
        </w:rPr>
        <w:t>預算案</w:t>
      </w:r>
      <w:r>
        <w:rPr>
          <w:rFonts w:hint="eastAsia"/>
        </w:rPr>
        <w:t>數據，非法定預算數。</w:t>
      </w:r>
    </w:p>
    <w:p w:rsidR="004011E2" w:rsidRDefault="004011E2" w:rsidP="004011E2">
      <w:pPr>
        <w:pStyle w:val="142"/>
        <w:ind w:left="2311" w:hangingChars="950" w:hanging="2311"/>
      </w:pPr>
      <w:r>
        <w:rPr>
          <w:rFonts w:hint="eastAsia"/>
        </w:rPr>
        <w:t xml:space="preserve">         資料來源：</w:t>
      </w:r>
      <w:r w:rsidR="000E1DE3">
        <w:rPr>
          <w:rFonts w:hint="eastAsia"/>
        </w:rPr>
        <w:t>107-114</w:t>
      </w:r>
      <w:r>
        <w:rPr>
          <w:rFonts w:hint="eastAsia"/>
        </w:rPr>
        <w:t>年度中央政府總預算案總說明及主要附表。</w:t>
      </w:r>
    </w:p>
    <w:p w:rsidR="004011E2" w:rsidRDefault="004011E2" w:rsidP="000E1DE3">
      <w:pPr>
        <w:ind w:left="566" w:firstLine="566"/>
      </w:pPr>
      <w:r w:rsidRPr="00E11DA7">
        <w:rPr>
          <w:rFonts w:hint="eastAsia"/>
        </w:rPr>
        <w:lastRenderedPageBreak/>
        <w:t>綜上，</w:t>
      </w:r>
      <w:r w:rsidR="00737A21">
        <w:rPr>
          <w:rFonts w:hint="eastAsia"/>
        </w:rPr>
        <w:t>114</w:t>
      </w:r>
      <w:r w:rsidRPr="00E11DA7">
        <w:rPr>
          <w:rFonts w:hint="eastAsia"/>
        </w:rPr>
        <w:t>年度編列債務還本收入</w:t>
      </w:r>
      <w:r>
        <w:rPr>
          <w:rFonts w:hint="eastAsia"/>
        </w:rPr>
        <w:t>1</w:t>
      </w:r>
      <w:r>
        <w:t>,</w:t>
      </w:r>
      <w:r w:rsidR="00737A21">
        <w:rPr>
          <w:rFonts w:hint="eastAsia"/>
        </w:rPr>
        <w:t>145</w:t>
      </w:r>
      <w:r w:rsidRPr="00E11DA7">
        <w:rPr>
          <w:rFonts w:hint="eastAsia"/>
        </w:rPr>
        <w:t>億元，</w:t>
      </w:r>
      <w:r>
        <w:rPr>
          <w:rFonts w:hint="eastAsia"/>
        </w:rPr>
        <w:t>金額為91年至</w:t>
      </w:r>
      <w:r w:rsidR="00737A21">
        <w:rPr>
          <w:rFonts w:hint="eastAsia"/>
        </w:rPr>
        <w:t>114</w:t>
      </w:r>
      <w:r>
        <w:rPr>
          <w:rFonts w:hint="eastAsia"/>
        </w:rPr>
        <w:t>年間最高者</w:t>
      </w:r>
      <w:r w:rsidRPr="00E11DA7">
        <w:rPr>
          <w:rFonts w:hint="eastAsia"/>
        </w:rPr>
        <w:t>，惟其占稅課</w:t>
      </w:r>
      <w:r w:rsidRPr="00E11DA7">
        <w:rPr>
          <w:rFonts w:hAnsi="標楷體" w:hint="eastAsia"/>
        </w:rPr>
        <w:t>收入</w:t>
      </w:r>
      <w:r>
        <w:rPr>
          <w:rFonts w:hint="eastAsia"/>
        </w:rPr>
        <w:t>比率5.</w:t>
      </w:r>
      <w:r w:rsidR="00737A21">
        <w:rPr>
          <w:rFonts w:hint="eastAsia"/>
        </w:rPr>
        <w:t>1</w:t>
      </w:r>
      <w:r>
        <w:rPr>
          <w:rFonts w:hint="eastAsia"/>
        </w:rPr>
        <w:t>0%，僅</w:t>
      </w:r>
      <w:r w:rsidR="00737A21">
        <w:rPr>
          <w:rFonts w:hint="eastAsia"/>
        </w:rPr>
        <w:t>高出</w:t>
      </w:r>
      <w:r w:rsidRPr="00E11DA7">
        <w:rPr>
          <w:rFonts w:hint="eastAsia"/>
        </w:rPr>
        <w:t>法定比率</w:t>
      </w:r>
      <w:r>
        <w:rPr>
          <w:rFonts w:hint="eastAsia"/>
        </w:rPr>
        <w:t>最下限</w:t>
      </w:r>
      <w:r w:rsidR="00737A21">
        <w:rPr>
          <w:rFonts w:hint="eastAsia"/>
        </w:rPr>
        <w:t>0.1個百分點</w:t>
      </w:r>
      <w:r w:rsidRPr="00E11DA7">
        <w:rPr>
          <w:rFonts w:hint="eastAsia"/>
        </w:rPr>
        <w:t>，</w:t>
      </w:r>
      <w:r w:rsidR="00737A21">
        <w:rPr>
          <w:rFonts w:hint="eastAsia"/>
        </w:rPr>
        <w:t>且</w:t>
      </w:r>
      <w:r w:rsidR="00737A21">
        <w:rPr>
          <w:rFonts w:hAnsi="標楷體" w:hint="eastAsia"/>
          <w:spacing w:val="-2"/>
        </w:rPr>
        <w:t>部分</w:t>
      </w:r>
      <w:r w:rsidR="00737A21" w:rsidRPr="00E11DA7">
        <w:rPr>
          <w:rFonts w:hint="eastAsia"/>
        </w:rPr>
        <w:t>債務還本</w:t>
      </w:r>
      <w:r w:rsidR="00737A21">
        <w:rPr>
          <w:rFonts w:hint="eastAsia"/>
        </w:rPr>
        <w:t>之</w:t>
      </w:r>
      <w:r w:rsidR="00737A21">
        <w:rPr>
          <w:rFonts w:hAnsi="標楷體" w:hint="eastAsia"/>
          <w:spacing w:val="-2"/>
        </w:rPr>
        <w:t>財源來自舉債支應，未具有實質減債之效果，允宜檢討改進</w:t>
      </w:r>
      <w:r>
        <w:rPr>
          <w:rFonts w:hint="eastAsia"/>
        </w:rPr>
        <w:t>。</w:t>
      </w:r>
    </w:p>
    <w:sectPr w:rsidR="004011E2"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1BD" w:rsidRDefault="00FB31BD" w:rsidP="009D6511">
      <w:pPr>
        <w:spacing w:line="240" w:lineRule="auto"/>
        <w:ind w:left="560" w:firstLine="560"/>
      </w:pPr>
    </w:p>
    <w:p w:rsidR="00FB31BD" w:rsidRDefault="00FB31BD" w:rsidP="009D6511">
      <w:pPr>
        <w:ind w:left="560" w:firstLine="560"/>
      </w:pPr>
    </w:p>
  </w:endnote>
  <w:endnote w:type="continuationSeparator" w:id="0">
    <w:p w:rsidR="00FB31BD" w:rsidRDefault="00FB31BD" w:rsidP="009D6511">
      <w:pPr>
        <w:spacing w:line="240" w:lineRule="auto"/>
        <w:ind w:left="560" w:firstLine="560"/>
      </w:pPr>
    </w:p>
    <w:p w:rsidR="00FB31BD" w:rsidRDefault="00FB31BD" w:rsidP="009D651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charset w:val="00"/>
    <w:family w:val="roman"/>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77157B">
    <w:pPr>
      <w:pStyle w:val="af0"/>
      <w:ind w:left="560" w:firstLine="400"/>
      <w:jc w:val="center"/>
    </w:pPr>
    <w:r>
      <w:t>T</w:t>
    </w:r>
    <w:r w:rsidRPr="000C6E7F">
      <w:rPr>
        <w:noProof/>
        <w:lang w:val="zh-TW"/>
      </w:rPr>
      <w:t>2</w:t>
    </w:r>
  </w:p>
  <w:p w:rsidR="000554DC" w:rsidRDefault="000554DC" w:rsidP="009D6511">
    <w:pPr>
      <w:pStyle w:val="af0"/>
      <w:ind w:left="560" w:firstLine="400"/>
    </w:pPr>
  </w:p>
  <w:p w:rsidR="000554DC" w:rsidRDefault="000554DC" w:rsidP="009D6511">
    <w:pPr>
      <w:ind w:left="560" w:firstLine="560"/>
    </w:pPr>
  </w:p>
  <w:p w:rsidR="000554DC" w:rsidRDefault="000554DC" w:rsidP="009D651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A37B75">
    <w:pPr>
      <w:pStyle w:val="af0"/>
      <w:ind w:leftChars="0" w:left="560" w:hangingChars="280" w:hanging="560"/>
      <w:jc w:val="center"/>
    </w:pPr>
    <w:r>
      <w:fldChar w:fldCharType="begin"/>
    </w:r>
    <w:r>
      <w:instrText>PAGE   \* MERGEFORMAT</w:instrText>
    </w:r>
    <w:r>
      <w:fldChar w:fldCharType="separate"/>
    </w:r>
    <w:r w:rsidR="00C7081A" w:rsidRPr="00C7081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1BD" w:rsidRDefault="00FB31BD" w:rsidP="00CE2735">
      <w:pPr>
        <w:spacing w:line="240" w:lineRule="auto"/>
        <w:ind w:left="560" w:firstLine="560"/>
      </w:pPr>
      <w:r>
        <w:separator/>
      </w:r>
    </w:p>
  </w:footnote>
  <w:footnote w:type="continuationSeparator" w:id="0">
    <w:p w:rsidR="00FB31BD" w:rsidRDefault="00FB31BD" w:rsidP="00BE4A3C">
      <w:pPr>
        <w:spacing w:line="240" w:lineRule="auto"/>
        <w:ind w:left="560" w:firstLine="560"/>
      </w:pPr>
      <w:r>
        <w:continuationSeparator/>
      </w:r>
    </w:p>
  </w:footnote>
  <w:footnote w:id="1">
    <w:p w:rsidR="000554DC" w:rsidRPr="008012A8" w:rsidRDefault="000554DC" w:rsidP="008F3B32">
      <w:pPr>
        <w:pStyle w:val="142"/>
        <w:ind w:left="85" w:hangingChars="35" w:hanging="85"/>
      </w:pPr>
      <w:r>
        <w:rPr>
          <w:rStyle w:val="af5"/>
        </w:rPr>
        <w:footnoteRef/>
      </w:r>
      <w:r w:rsidR="00CB7C56">
        <w:rPr>
          <w:rFonts w:hint="eastAsia"/>
        </w:rPr>
        <w:t>中華民國</w:t>
      </w:r>
      <w:r w:rsidR="00094503">
        <w:rPr>
          <w:rFonts w:hint="eastAsia"/>
        </w:rPr>
        <w:t>110</w:t>
      </w:r>
      <w:r w:rsidR="00CB7C56">
        <w:rPr>
          <w:rFonts w:hint="eastAsia"/>
        </w:rPr>
        <w:t>年</w:t>
      </w:r>
      <w:r w:rsidR="00094503">
        <w:rPr>
          <w:rFonts w:hint="eastAsia"/>
        </w:rPr>
        <w:t>6</w:t>
      </w:r>
      <w:r w:rsidR="00CB7C56">
        <w:rPr>
          <w:rFonts w:hint="eastAsia"/>
        </w:rPr>
        <w:t>月</w:t>
      </w:r>
      <w:r w:rsidR="00094503">
        <w:rPr>
          <w:rFonts w:hint="eastAsia"/>
        </w:rPr>
        <w:t>9</w:t>
      </w:r>
      <w:r w:rsidR="00CB7C56">
        <w:rPr>
          <w:rFonts w:hint="eastAsia"/>
        </w:rPr>
        <w:t>日總統華總一經字第11000052761號令修正公布第12條條文；施行日期，由行政院定之</w:t>
      </w:r>
      <w:r>
        <w:rPr>
          <w:rFonts w:hint="eastAsia"/>
        </w:rPr>
        <w:t>。</w:t>
      </w:r>
    </w:p>
  </w:footnote>
  <w:footnote w:id="2">
    <w:p w:rsidR="000554DC" w:rsidRPr="00166F72" w:rsidRDefault="000554DC" w:rsidP="008F3B32">
      <w:pPr>
        <w:pStyle w:val="142"/>
        <w:ind w:left="85" w:hangingChars="35" w:hanging="85"/>
      </w:pPr>
      <w:r>
        <w:rPr>
          <w:rStyle w:val="af5"/>
        </w:rPr>
        <w:footnoteRef/>
      </w:r>
      <w:r w:rsidR="00094503">
        <w:rPr>
          <w:rFonts w:hint="eastAsia"/>
        </w:rPr>
        <w:t>中華民國110</w:t>
      </w:r>
      <w:r w:rsidR="00CB7C56">
        <w:rPr>
          <w:rFonts w:hint="eastAsia"/>
        </w:rPr>
        <w:t>年</w:t>
      </w:r>
      <w:r w:rsidR="00094503">
        <w:rPr>
          <w:rFonts w:hint="eastAsia"/>
        </w:rPr>
        <w:t>7</w:t>
      </w:r>
      <w:r w:rsidR="00CB7C56">
        <w:rPr>
          <w:rFonts w:hint="eastAsia"/>
        </w:rPr>
        <w:t>月</w:t>
      </w:r>
      <w:r w:rsidR="00094503">
        <w:rPr>
          <w:rFonts w:hint="eastAsia"/>
        </w:rPr>
        <w:t>2</w:t>
      </w:r>
      <w:r w:rsidR="00CB7C56">
        <w:rPr>
          <w:rFonts w:hint="eastAsia"/>
        </w:rPr>
        <w:t>日行政院院臺財字第1100019756號令發布定自</w:t>
      </w:r>
      <w:r w:rsidR="00094503">
        <w:rPr>
          <w:rFonts w:hint="eastAsia"/>
        </w:rPr>
        <w:t>110</w:t>
      </w:r>
      <w:r w:rsidR="00CB7C56">
        <w:rPr>
          <w:rFonts w:hint="eastAsia"/>
        </w:rPr>
        <w:t>年</w:t>
      </w:r>
      <w:r w:rsidR="00094503">
        <w:rPr>
          <w:rFonts w:hint="eastAsia"/>
        </w:rPr>
        <w:t>7</w:t>
      </w:r>
      <w:r w:rsidR="00CB7C56">
        <w:rPr>
          <w:rFonts w:hint="eastAsia"/>
        </w:rPr>
        <w:t>月</w:t>
      </w:r>
      <w:r w:rsidR="00094503">
        <w:rPr>
          <w:rFonts w:hint="eastAsia"/>
        </w:rPr>
        <w:t>2</w:t>
      </w:r>
      <w:r w:rsidR="00CB7C56">
        <w:rPr>
          <w:rFonts w:hint="eastAsia"/>
        </w:rPr>
        <w:t>日施行</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 MERGEFO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42C3E"/>
    <w:multiLevelType w:val="hybridMultilevel"/>
    <w:tmpl w:val="A4D625AE"/>
    <w:lvl w:ilvl="0" w:tplc="23385D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3C2062CD"/>
    <w:multiLevelType w:val="hybridMultilevel"/>
    <w:tmpl w:val="3168C62A"/>
    <w:lvl w:ilvl="0" w:tplc="F31E78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3"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0D22286"/>
    <w:multiLevelType w:val="hybridMultilevel"/>
    <w:tmpl w:val="01709298"/>
    <w:lvl w:ilvl="0" w:tplc="3BB63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764661"/>
    <w:multiLevelType w:val="hybridMultilevel"/>
    <w:tmpl w:val="74242BC6"/>
    <w:lvl w:ilvl="0" w:tplc="3934E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2"/>
  </w:num>
  <w:num w:numId="2">
    <w:abstractNumId w:val="6"/>
  </w:num>
  <w:num w:numId="3">
    <w:abstractNumId w:val="3"/>
  </w:num>
  <w:num w:numId="4">
    <w:abstractNumId w:val="1"/>
  </w:num>
  <w:num w:numId="5">
    <w:abstractNumId w:val="0"/>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C7"/>
    <w:rsid w:val="00000A68"/>
    <w:rsid w:val="00000BC7"/>
    <w:rsid w:val="00000F2C"/>
    <w:rsid w:val="00001051"/>
    <w:rsid w:val="000011D5"/>
    <w:rsid w:val="00002165"/>
    <w:rsid w:val="000023A9"/>
    <w:rsid w:val="0000351B"/>
    <w:rsid w:val="00003650"/>
    <w:rsid w:val="000039D9"/>
    <w:rsid w:val="00004078"/>
    <w:rsid w:val="000048D3"/>
    <w:rsid w:val="0000496A"/>
    <w:rsid w:val="000057B7"/>
    <w:rsid w:val="00005F3A"/>
    <w:rsid w:val="00006562"/>
    <w:rsid w:val="00006D2F"/>
    <w:rsid w:val="00007CDB"/>
    <w:rsid w:val="0001049F"/>
    <w:rsid w:val="00010A69"/>
    <w:rsid w:val="00011325"/>
    <w:rsid w:val="00011388"/>
    <w:rsid w:val="000115E2"/>
    <w:rsid w:val="0001169B"/>
    <w:rsid w:val="00011E2B"/>
    <w:rsid w:val="00012C9F"/>
    <w:rsid w:val="00012F3A"/>
    <w:rsid w:val="00013600"/>
    <w:rsid w:val="00013E79"/>
    <w:rsid w:val="00014896"/>
    <w:rsid w:val="000157FC"/>
    <w:rsid w:val="00015AF5"/>
    <w:rsid w:val="0001611D"/>
    <w:rsid w:val="00016557"/>
    <w:rsid w:val="00016B61"/>
    <w:rsid w:val="0001776D"/>
    <w:rsid w:val="00017B69"/>
    <w:rsid w:val="00020D12"/>
    <w:rsid w:val="00021EBA"/>
    <w:rsid w:val="00023C6E"/>
    <w:rsid w:val="00024590"/>
    <w:rsid w:val="000246B6"/>
    <w:rsid w:val="00024C01"/>
    <w:rsid w:val="00025399"/>
    <w:rsid w:val="00025AC9"/>
    <w:rsid w:val="00026194"/>
    <w:rsid w:val="00026BD6"/>
    <w:rsid w:val="00027A4E"/>
    <w:rsid w:val="00027AD9"/>
    <w:rsid w:val="00027EDC"/>
    <w:rsid w:val="00030D4F"/>
    <w:rsid w:val="00031338"/>
    <w:rsid w:val="000315AC"/>
    <w:rsid w:val="00034F8D"/>
    <w:rsid w:val="00035635"/>
    <w:rsid w:val="00035673"/>
    <w:rsid w:val="000358BD"/>
    <w:rsid w:val="00035E2B"/>
    <w:rsid w:val="0003655B"/>
    <w:rsid w:val="000371C6"/>
    <w:rsid w:val="0003787E"/>
    <w:rsid w:val="00037A98"/>
    <w:rsid w:val="00037B79"/>
    <w:rsid w:val="00037C87"/>
    <w:rsid w:val="00037EA8"/>
    <w:rsid w:val="000401D9"/>
    <w:rsid w:val="000401EA"/>
    <w:rsid w:val="000403D9"/>
    <w:rsid w:val="000408D1"/>
    <w:rsid w:val="000409BC"/>
    <w:rsid w:val="0004127C"/>
    <w:rsid w:val="000414DD"/>
    <w:rsid w:val="00041BBC"/>
    <w:rsid w:val="00041D03"/>
    <w:rsid w:val="00041D18"/>
    <w:rsid w:val="00042A60"/>
    <w:rsid w:val="00043157"/>
    <w:rsid w:val="0004352E"/>
    <w:rsid w:val="00043799"/>
    <w:rsid w:val="00043FFD"/>
    <w:rsid w:val="000465FE"/>
    <w:rsid w:val="000467A7"/>
    <w:rsid w:val="00050890"/>
    <w:rsid w:val="00050CD0"/>
    <w:rsid w:val="000511E9"/>
    <w:rsid w:val="000513EA"/>
    <w:rsid w:val="00052222"/>
    <w:rsid w:val="00052DD4"/>
    <w:rsid w:val="000532B7"/>
    <w:rsid w:val="00053816"/>
    <w:rsid w:val="00053827"/>
    <w:rsid w:val="00053B9A"/>
    <w:rsid w:val="00053C95"/>
    <w:rsid w:val="000554DC"/>
    <w:rsid w:val="000578F3"/>
    <w:rsid w:val="00057A84"/>
    <w:rsid w:val="0006018E"/>
    <w:rsid w:val="00060399"/>
    <w:rsid w:val="00060B05"/>
    <w:rsid w:val="0006155B"/>
    <w:rsid w:val="00062917"/>
    <w:rsid w:val="00062BE0"/>
    <w:rsid w:val="000649B4"/>
    <w:rsid w:val="00064B06"/>
    <w:rsid w:val="00065196"/>
    <w:rsid w:val="0006522F"/>
    <w:rsid w:val="000659FA"/>
    <w:rsid w:val="0006625C"/>
    <w:rsid w:val="00066553"/>
    <w:rsid w:val="000665EC"/>
    <w:rsid w:val="000666D5"/>
    <w:rsid w:val="00066903"/>
    <w:rsid w:val="00070958"/>
    <w:rsid w:val="00070EB3"/>
    <w:rsid w:val="00071A13"/>
    <w:rsid w:val="00071E2B"/>
    <w:rsid w:val="00074376"/>
    <w:rsid w:val="0007438B"/>
    <w:rsid w:val="00075115"/>
    <w:rsid w:val="0007550B"/>
    <w:rsid w:val="0007622B"/>
    <w:rsid w:val="00076344"/>
    <w:rsid w:val="0007672F"/>
    <w:rsid w:val="00076C76"/>
    <w:rsid w:val="00076DB7"/>
    <w:rsid w:val="000774B9"/>
    <w:rsid w:val="00077FD2"/>
    <w:rsid w:val="00080FB6"/>
    <w:rsid w:val="00081239"/>
    <w:rsid w:val="00081296"/>
    <w:rsid w:val="00081A2F"/>
    <w:rsid w:val="000822CB"/>
    <w:rsid w:val="000830B0"/>
    <w:rsid w:val="0008311B"/>
    <w:rsid w:val="00083725"/>
    <w:rsid w:val="00083D17"/>
    <w:rsid w:val="00083F53"/>
    <w:rsid w:val="0008460F"/>
    <w:rsid w:val="000857E7"/>
    <w:rsid w:val="0008654C"/>
    <w:rsid w:val="000879E1"/>
    <w:rsid w:val="00087B64"/>
    <w:rsid w:val="000903C7"/>
    <w:rsid w:val="00090F6C"/>
    <w:rsid w:val="00091481"/>
    <w:rsid w:val="000917D1"/>
    <w:rsid w:val="00092834"/>
    <w:rsid w:val="00092EF9"/>
    <w:rsid w:val="00093322"/>
    <w:rsid w:val="000933E8"/>
    <w:rsid w:val="00093932"/>
    <w:rsid w:val="000942FB"/>
    <w:rsid w:val="00094503"/>
    <w:rsid w:val="0009472F"/>
    <w:rsid w:val="00094B9D"/>
    <w:rsid w:val="00095069"/>
    <w:rsid w:val="000961DA"/>
    <w:rsid w:val="000967CC"/>
    <w:rsid w:val="00096DA3"/>
    <w:rsid w:val="000976DA"/>
    <w:rsid w:val="0009797A"/>
    <w:rsid w:val="00097B77"/>
    <w:rsid w:val="00097BD6"/>
    <w:rsid w:val="000A10D1"/>
    <w:rsid w:val="000A1FC1"/>
    <w:rsid w:val="000A2441"/>
    <w:rsid w:val="000A367E"/>
    <w:rsid w:val="000A368E"/>
    <w:rsid w:val="000A4067"/>
    <w:rsid w:val="000A49CB"/>
    <w:rsid w:val="000A4C48"/>
    <w:rsid w:val="000A5900"/>
    <w:rsid w:val="000A5A25"/>
    <w:rsid w:val="000A6361"/>
    <w:rsid w:val="000A65BF"/>
    <w:rsid w:val="000A71A1"/>
    <w:rsid w:val="000A736D"/>
    <w:rsid w:val="000B09C4"/>
    <w:rsid w:val="000B0DCE"/>
    <w:rsid w:val="000B2B95"/>
    <w:rsid w:val="000B3B0A"/>
    <w:rsid w:val="000B4316"/>
    <w:rsid w:val="000B4AA2"/>
    <w:rsid w:val="000B5252"/>
    <w:rsid w:val="000B5486"/>
    <w:rsid w:val="000B57CA"/>
    <w:rsid w:val="000B611D"/>
    <w:rsid w:val="000B6404"/>
    <w:rsid w:val="000B66CF"/>
    <w:rsid w:val="000B69A6"/>
    <w:rsid w:val="000B769D"/>
    <w:rsid w:val="000B7AFC"/>
    <w:rsid w:val="000B7D58"/>
    <w:rsid w:val="000C064E"/>
    <w:rsid w:val="000C0A89"/>
    <w:rsid w:val="000C0DD8"/>
    <w:rsid w:val="000C0E88"/>
    <w:rsid w:val="000C1279"/>
    <w:rsid w:val="000C12F2"/>
    <w:rsid w:val="000C42B0"/>
    <w:rsid w:val="000C50FE"/>
    <w:rsid w:val="000C54F5"/>
    <w:rsid w:val="000C58F7"/>
    <w:rsid w:val="000C5A75"/>
    <w:rsid w:val="000C5A78"/>
    <w:rsid w:val="000C5B27"/>
    <w:rsid w:val="000C6BE8"/>
    <w:rsid w:val="000C6E7F"/>
    <w:rsid w:val="000C709B"/>
    <w:rsid w:val="000C7898"/>
    <w:rsid w:val="000C7CA0"/>
    <w:rsid w:val="000D0034"/>
    <w:rsid w:val="000D074C"/>
    <w:rsid w:val="000D09A2"/>
    <w:rsid w:val="000D236E"/>
    <w:rsid w:val="000D246D"/>
    <w:rsid w:val="000D4021"/>
    <w:rsid w:val="000D4275"/>
    <w:rsid w:val="000D46B1"/>
    <w:rsid w:val="000D4C10"/>
    <w:rsid w:val="000D50CB"/>
    <w:rsid w:val="000D568C"/>
    <w:rsid w:val="000D5B44"/>
    <w:rsid w:val="000D5C65"/>
    <w:rsid w:val="000D62E9"/>
    <w:rsid w:val="000D634A"/>
    <w:rsid w:val="000E0E71"/>
    <w:rsid w:val="000E1084"/>
    <w:rsid w:val="000E1A5C"/>
    <w:rsid w:val="000E1DE3"/>
    <w:rsid w:val="000E2440"/>
    <w:rsid w:val="000E2470"/>
    <w:rsid w:val="000E3817"/>
    <w:rsid w:val="000E4681"/>
    <w:rsid w:val="000E4975"/>
    <w:rsid w:val="000E527D"/>
    <w:rsid w:val="000E6477"/>
    <w:rsid w:val="000E66C4"/>
    <w:rsid w:val="000E66C5"/>
    <w:rsid w:val="000E6833"/>
    <w:rsid w:val="000E72FF"/>
    <w:rsid w:val="000E78E5"/>
    <w:rsid w:val="000E7ABD"/>
    <w:rsid w:val="000F0941"/>
    <w:rsid w:val="000F0B08"/>
    <w:rsid w:val="000F2A35"/>
    <w:rsid w:val="000F2E83"/>
    <w:rsid w:val="000F2F64"/>
    <w:rsid w:val="000F39B2"/>
    <w:rsid w:val="000F46EE"/>
    <w:rsid w:val="000F6003"/>
    <w:rsid w:val="000F6222"/>
    <w:rsid w:val="000F6567"/>
    <w:rsid w:val="000F6569"/>
    <w:rsid w:val="000F7C7B"/>
    <w:rsid w:val="001006A1"/>
    <w:rsid w:val="00101189"/>
    <w:rsid w:val="001015CD"/>
    <w:rsid w:val="00101B8D"/>
    <w:rsid w:val="00102BEC"/>
    <w:rsid w:val="00102C04"/>
    <w:rsid w:val="0010311C"/>
    <w:rsid w:val="001033D8"/>
    <w:rsid w:val="00105A32"/>
    <w:rsid w:val="00105F45"/>
    <w:rsid w:val="001066D3"/>
    <w:rsid w:val="00106873"/>
    <w:rsid w:val="00106D1C"/>
    <w:rsid w:val="0011025B"/>
    <w:rsid w:val="0011100A"/>
    <w:rsid w:val="00111A0B"/>
    <w:rsid w:val="00112BA5"/>
    <w:rsid w:val="001138F7"/>
    <w:rsid w:val="00114BB7"/>
    <w:rsid w:val="001164C4"/>
    <w:rsid w:val="00117B69"/>
    <w:rsid w:val="00117EB0"/>
    <w:rsid w:val="00120CB7"/>
    <w:rsid w:val="00120DE3"/>
    <w:rsid w:val="00121836"/>
    <w:rsid w:val="00121DE4"/>
    <w:rsid w:val="00122AAF"/>
    <w:rsid w:val="00122CDA"/>
    <w:rsid w:val="00122F73"/>
    <w:rsid w:val="00124533"/>
    <w:rsid w:val="00124C30"/>
    <w:rsid w:val="00125F7E"/>
    <w:rsid w:val="00126518"/>
    <w:rsid w:val="0012678E"/>
    <w:rsid w:val="00126999"/>
    <w:rsid w:val="00126F68"/>
    <w:rsid w:val="0012750E"/>
    <w:rsid w:val="00130665"/>
    <w:rsid w:val="00131354"/>
    <w:rsid w:val="00131A27"/>
    <w:rsid w:val="00132276"/>
    <w:rsid w:val="00132733"/>
    <w:rsid w:val="0013337A"/>
    <w:rsid w:val="00133646"/>
    <w:rsid w:val="00135C11"/>
    <w:rsid w:val="0013643C"/>
    <w:rsid w:val="00136923"/>
    <w:rsid w:val="00137C49"/>
    <w:rsid w:val="00141090"/>
    <w:rsid w:val="0014167C"/>
    <w:rsid w:val="00141C8D"/>
    <w:rsid w:val="00142B21"/>
    <w:rsid w:val="0014354A"/>
    <w:rsid w:val="001435A3"/>
    <w:rsid w:val="0014584F"/>
    <w:rsid w:val="00150316"/>
    <w:rsid w:val="00150448"/>
    <w:rsid w:val="0015047D"/>
    <w:rsid w:val="00150789"/>
    <w:rsid w:val="00150CF8"/>
    <w:rsid w:val="00151471"/>
    <w:rsid w:val="001518B2"/>
    <w:rsid w:val="00151B80"/>
    <w:rsid w:val="00151FCD"/>
    <w:rsid w:val="0015207D"/>
    <w:rsid w:val="00152AD8"/>
    <w:rsid w:val="00153C92"/>
    <w:rsid w:val="001540AA"/>
    <w:rsid w:val="001540C1"/>
    <w:rsid w:val="0015478B"/>
    <w:rsid w:val="00154B26"/>
    <w:rsid w:val="00154C85"/>
    <w:rsid w:val="00155359"/>
    <w:rsid w:val="00155380"/>
    <w:rsid w:val="001565A2"/>
    <w:rsid w:val="00157CC0"/>
    <w:rsid w:val="0016023F"/>
    <w:rsid w:val="001608A3"/>
    <w:rsid w:val="001615F6"/>
    <w:rsid w:val="0016163D"/>
    <w:rsid w:val="0016173A"/>
    <w:rsid w:val="00162030"/>
    <w:rsid w:val="001621E3"/>
    <w:rsid w:val="00162B9A"/>
    <w:rsid w:val="00163843"/>
    <w:rsid w:val="00164CD3"/>
    <w:rsid w:val="0016655F"/>
    <w:rsid w:val="00166F72"/>
    <w:rsid w:val="001677DC"/>
    <w:rsid w:val="00167904"/>
    <w:rsid w:val="00167E57"/>
    <w:rsid w:val="00170022"/>
    <w:rsid w:val="001700FD"/>
    <w:rsid w:val="00170373"/>
    <w:rsid w:val="001714D0"/>
    <w:rsid w:val="001728C3"/>
    <w:rsid w:val="00172BA1"/>
    <w:rsid w:val="0017319D"/>
    <w:rsid w:val="001732FA"/>
    <w:rsid w:val="0017356B"/>
    <w:rsid w:val="00173B50"/>
    <w:rsid w:val="001744C7"/>
    <w:rsid w:val="001745DE"/>
    <w:rsid w:val="00174BFC"/>
    <w:rsid w:val="001754BB"/>
    <w:rsid w:val="001768E4"/>
    <w:rsid w:val="00176C5B"/>
    <w:rsid w:val="0017799D"/>
    <w:rsid w:val="00180023"/>
    <w:rsid w:val="00180963"/>
    <w:rsid w:val="00180F01"/>
    <w:rsid w:val="001811F0"/>
    <w:rsid w:val="0018169B"/>
    <w:rsid w:val="001816B0"/>
    <w:rsid w:val="00181F9A"/>
    <w:rsid w:val="0018255B"/>
    <w:rsid w:val="0018335D"/>
    <w:rsid w:val="001839D5"/>
    <w:rsid w:val="00184C36"/>
    <w:rsid w:val="00185106"/>
    <w:rsid w:val="00185E69"/>
    <w:rsid w:val="00186794"/>
    <w:rsid w:val="0018684C"/>
    <w:rsid w:val="00186CAC"/>
    <w:rsid w:val="001872FA"/>
    <w:rsid w:val="001874C8"/>
    <w:rsid w:val="00187CFB"/>
    <w:rsid w:val="00187FE9"/>
    <w:rsid w:val="001917F5"/>
    <w:rsid w:val="00191BD7"/>
    <w:rsid w:val="00191BE8"/>
    <w:rsid w:val="001922B8"/>
    <w:rsid w:val="00193633"/>
    <w:rsid w:val="00193E58"/>
    <w:rsid w:val="001942DE"/>
    <w:rsid w:val="0019483F"/>
    <w:rsid w:val="00194DF9"/>
    <w:rsid w:val="001952E4"/>
    <w:rsid w:val="001964A1"/>
    <w:rsid w:val="00196788"/>
    <w:rsid w:val="00196C18"/>
    <w:rsid w:val="001973A7"/>
    <w:rsid w:val="001A0184"/>
    <w:rsid w:val="001A0ADC"/>
    <w:rsid w:val="001A0C85"/>
    <w:rsid w:val="001A0D20"/>
    <w:rsid w:val="001A0ED4"/>
    <w:rsid w:val="001A0F36"/>
    <w:rsid w:val="001A1050"/>
    <w:rsid w:val="001A1AE4"/>
    <w:rsid w:val="001A2175"/>
    <w:rsid w:val="001A22FB"/>
    <w:rsid w:val="001A2519"/>
    <w:rsid w:val="001A2816"/>
    <w:rsid w:val="001A2E9D"/>
    <w:rsid w:val="001A3B49"/>
    <w:rsid w:val="001A3FCE"/>
    <w:rsid w:val="001A4C42"/>
    <w:rsid w:val="001A50C9"/>
    <w:rsid w:val="001A5A9D"/>
    <w:rsid w:val="001A787D"/>
    <w:rsid w:val="001B05C4"/>
    <w:rsid w:val="001B05F8"/>
    <w:rsid w:val="001B0686"/>
    <w:rsid w:val="001B09D0"/>
    <w:rsid w:val="001B0E7F"/>
    <w:rsid w:val="001B2D86"/>
    <w:rsid w:val="001B3410"/>
    <w:rsid w:val="001B38FA"/>
    <w:rsid w:val="001B3AAB"/>
    <w:rsid w:val="001B4E0F"/>
    <w:rsid w:val="001B5AC9"/>
    <w:rsid w:val="001B64F5"/>
    <w:rsid w:val="001B7D1A"/>
    <w:rsid w:val="001C0E18"/>
    <w:rsid w:val="001C1038"/>
    <w:rsid w:val="001C1FFA"/>
    <w:rsid w:val="001C228E"/>
    <w:rsid w:val="001C511F"/>
    <w:rsid w:val="001C54FA"/>
    <w:rsid w:val="001C637F"/>
    <w:rsid w:val="001C6BCF"/>
    <w:rsid w:val="001C79B0"/>
    <w:rsid w:val="001C7DF3"/>
    <w:rsid w:val="001D18C1"/>
    <w:rsid w:val="001D2C0C"/>
    <w:rsid w:val="001D35CD"/>
    <w:rsid w:val="001D36AA"/>
    <w:rsid w:val="001D375C"/>
    <w:rsid w:val="001D37A7"/>
    <w:rsid w:val="001D3B9A"/>
    <w:rsid w:val="001D41E8"/>
    <w:rsid w:val="001D422E"/>
    <w:rsid w:val="001D479E"/>
    <w:rsid w:val="001D47ED"/>
    <w:rsid w:val="001D5187"/>
    <w:rsid w:val="001D60EF"/>
    <w:rsid w:val="001D6F91"/>
    <w:rsid w:val="001D710A"/>
    <w:rsid w:val="001D761D"/>
    <w:rsid w:val="001D7E45"/>
    <w:rsid w:val="001D7FBF"/>
    <w:rsid w:val="001E00B1"/>
    <w:rsid w:val="001E0560"/>
    <w:rsid w:val="001E1ADD"/>
    <w:rsid w:val="001E3737"/>
    <w:rsid w:val="001E44A7"/>
    <w:rsid w:val="001E45C2"/>
    <w:rsid w:val="001E5C42"/>
    <w:rsid w:val="001E6A6B"/>
    <w:rsid w:val="001E706E"/>
    <w:rsid w:val="001E74E4"/>
    <w:rsid w:val="001E7848"/>
    <w:rsid w:val="001E7C46"/>
    <w:rsid w:val="001E7FC5"/>
    <w:rsid w:val="001F0023"/>
    <w:rsid w:val="001F028A"/>
    <w:rsid w:val="001F02D9"/>
    <w:rsid w:val="001F0BAC"/>
    <w:rsid w:val="001F1041"/>
    <w:rsid w:val="001F12D9"/>
    <w:rsid w:val="001F161D"/>
    <w:rsid w:val="001F1F33"/>
    <w:rsid w:val="001F2A7E"/>
    <w:rsid w:val="001F2D6F"/>
    <w:rsid w:val="001F3101"/>
    <w:rsid w:val="001F40FA"/>
    <w:rsid w:val="001F44A4"/>
    <w:rsid w:val="001F4661"/>
    <w:rsid w:val="001F4C56"/>
    <w:rsid w:val="001F4CB7"/>
    <w:rsid w:val="001F4CF5"/>
    <w:rsid w:val="001F4E61"/>
    <w:rsid w:val="001F54BC"/>
    <w:rsid w:val="001F5F31"/>
    <w:rsid w:val="001F60FD"/>
    <w:rsid w:val="001F6BF7"/>
    <w:rsid w:val="001F6CF9"/>
    <w:rsid w:val="001F6D47"/>
    <w:rsid w:val="001F704F"/>
    <w:rsid w:val="001F71BE"/>
    <w:rsid w:val="001F7868"/>
    <w:rsid w:val="001F7C90"/>
    <w:rsid w:val="00201C1B"/>
    <w:rsid w:val="00201CD9"/>
    <w:rsid w:val="00202694"/>
    <w:rsid w:val="00202E19"/>
    <w:rsid w:val="002033A2"/>
    <w:rsid w:val="0020467F"/>
    <w:rsid w:val="00204E2D"/>
    <w:rsid w:val="00204E37"/>
    <w:rsid w:val="0020603C"/>
    <w:rsid w:val="00206094"/>
    <w:rsid w:val="002070FD"/>
    <w:rsid w:val="00207F29"/>
    <w:rsid w:val="00212164"/>
    <w:rsid w:val="002130C6"/>
    <w:rsid w:val="002138C7"/>
    <w:rsid w:val="00213DD6"/>
    <w:rsid w:val="00214531"/>
    <w:rsid w:val="0021457E"/>
    <w:rsid w:val="00214A5F"/>
    <w:rsid w:val="00214C3C"/>
    <w:rsid w:val="00214ED2"/>
    <w:rsid w:val="00214F62"/>
    <w:rsid w:val="00215EA2"/>
    <w:rsid w:val="002160D6"/>
    <w:rsid w:val="00216620"/>
    <w:rsid w:val="00216C84"/>
    <w:rsid w:val="00216EA8"/>
    <w:rsid w:val="002175BF"/>
    <w:rsid w:val="00217B5F"/>
    <w:rsid w:val="00217FDA"/>
    <w:rsid w:val="00220356"/>
    <w:rsid w:val="0022051A"/>
    <w:rsid w:val="00220E57"/>
    <w:rsid w:val="00221FC5"/>
    <w:rsid w:val="00222037"/>
    <w:rsid w:val="00222869"/>
    <w:rsid w:val="0022288C"/>
    <w:rsid w:val="00223452"/>
    <w:rsid w:val="00223888"/>
    <w:rsid w:val="00223994"/>
    <w:rsid w:val="00224DD3"/>
    <w:rsid w:val="0022529D"/>
    <w:rsid w:val="002255A8"/>
    <w:rsid w:val="00225D0C"/>
    <w:rsid w:val="00225E49"/>
    <w:rsid w:val="002264ED"/>
    <w:rsid w:val="00226E1B"/>
    <w:rsid w:val="00226FF5"/>
    <w:rsid w:val="00230265"/>
    <w:rsid w:val="002303C7"/>
    <w:rsid w:val="002305F7"/>
    <w:rsid w:val="0023071C"/>
    <w:rsid w:val="00230805"/>
    <w:rsid w:val="00230DC3"/>
    <w:rsid w:val="00230F13"/>
    <w:rsid w:val="00234016"/>
    <w:rsid w:val="00234971"/>
    <w:rsid w:val="00234DDA"/>
    <w:rsid w:val="00234E1B"/>
    <w:rsid w:val="00235479"/>
    <w:rsid w:val="002369CA"/>
    <w:rsid w:val="00237617"/>
    <w:rsid w:val="00237681"/>
    <w:rsid w:val="0024087B"/>
    <w:rsid w:val="0024096E"/>
    <w:rsid w:val="00241372"/>
    <w:rsid w:val="002414B8"/>
    <w:rsid w:val="0024171C"/>
    <w:rsid w:val="00241BF5"/>
    <w:rsid w:val="0024212C"/>
    <w:rsid w:val="002421BE"/>
    <w:rsid w:val="00242614"/>
    <w:rsid w:val="00243210"/>
    <w:rsid w:val="0024358C"/>
    <w:rsid w:val="00243701"/>
    <w:rsid w:val="00243E67"/>
    <w:rsid w:val="00243EC7"/>
    <w:rsid w:val="00244594"/>
    <w:rsid w:val="00244B09"/>
    <w:rsid w:val="0024577C"/>
    <w:rsid w:val="0024594C"/>
    <w:rsid w:val="002459C5"/>
    <w:rsid w:val="00245E73"/>
    <w:rsid w:val="00246048"/>
    <w:rsid w:val="0024689C"/>
    <w:rsid w:val="0025340E"/>
    <w:rsid w:val="00253CD5"/>
    <w:rsid w:val="002556A3"/>
    <w:rsid w:val="00255CD1"/>
    <w:rsid w:val="0025630B"/>
    <w:rsid w:val="00256B5C"/>
    <w:rsid w:val="00256C28"/>
    <w:rsid w:val="00257372"/>
    <w:rsid w:val="00257918"/>
    <w:rsid w:val="002606F7"/>
    <w:rsid w:val="002614F2"/>
    <w:rsid w:val="00261899"/>
    <w:rsid w:val="002627E4"/>
    <w:rsid w:val="00262DE3"/>
    <w:rsid w:val="00262E90"/>
    <w:rsid w:val="002637A1"/>
    <w:rsid w:val="002641DD"/>
    <w:rsid w:val="002644A5"/>
    <w:rsid w:val="00264673"/>
    <w:rsid w:val="002651C3"/>
    <w:rsid w:val="002654EC"/>
    <w:rsid w:val="0026567B"/>
    <w:rsid w:val="0026577F"/>
    <w:rsid w:val="00265BFF"/>
    <w:rsid w:val="00267997"/>
    <w:rsid w:val="00267AF0"/>
    <w:rsid w:val="00267F90"/>
    <w:rsid w:val="00270436"/>
    <w:rsid w:val="00270B04"/>
    <w:rsid w:val="00270B7B"/>
    <w:rsid w:val="00271973"/>
    <w:rsid w:val="00271CE3"/>
    <w:rsid w:val="0027369B"/>
    <w:rsid w:val="002740E7"/>
    <w:rsid w:val="002743AB"/>
    <w:rsid w:val="00274478"/>
    <w:rsid w:val="0027569E"/>
    <w:rsid w:val="00276358"/>
    <w:rsid w:val="0027636B"/>
    <w:rsid w:val="00276CEE"/>
    <w:rsid w:val="00277388"/>
    <w:rsid w:val="002804E5"/>
    <w:rsid w:val="00280879"/>
    <w:rsid w:val="002808B6"/>
    <w:rsid w:val="002809EA"/>
    <w:rsid w:val="00280DA4"/>
    <w:rsid w:val="00281879"/>
    <w:rsid w:val="00281CA0"/>
    <w:rsid w:val="00282564"/>
    <w:rsid w:val="002836C9"/>
    <w:rsid w:val="0028392E"/>
    <w:rsid w:val="00283CDD"/>
    <w:rsid w:val="00284288"/>
    <w:rsid w:val="00284328"/>
    <w:rsid w:val="0028481A"/>
    <w:rsid w:val="002848FB"/>
    <w:rsid w:val="00284959"/>
    <w:rsid w:val="002854C2"/>
    <w:rsid w:val="00285CDC"/>
    <w:rsid w:val="00286B65"/>
    <w:rsid w:val="00287084"/>
    <w:rsid w:val="0028712C"/>
    <w:rsid w:val="00287B93"/>
    <w:rsid w:val="00287FCD"/>
    <w:rsid w:val="002903AF"/>
    <w:rsid w:val="002904CC"/>
    <w:rsid w:val="00290621"/>
    <w:rsid w:val="00290C2A"/>
    <w:rsid w:val="0029155C"/>
    <w:rsid w:val="002917EA"/>
    <w:rsid w:val="00292309"/>
    <w:rsid w:val="00294045"/>
    <w:rsid w:val="002940CC"/>
    <w:rsid w:val="00294181"/>
    <w:rsid w:val="00294B12"/>
    <w:rsid w:val="00295D07"/>
    <w:rsid w:val="002970ED"/>
    <w:rsid w:val="00297567"/>
    <w:rsid w:val="00297B25"/>
    <w:rsid w:val="002A0C3D"/>
    <w:rsid w:val="002A0D91"/>
    <w:rsid w:val="002A0EAB"/>
    <w:rsid w:val="002A184B"/>
    <w:rsid w:val="002A23AB"/>
    <w:rsid w:val="002A3926"/>
    <w:rsid w:val="002A4199"/>
    <w:rsid w:val="002A44E1"/>
    <w:rsid w:val="002A5045"/>
    <w:rsid w:val="002A5642"/>
    <w:rsid w:val="002A5C59"/>
    <w:rsid w:val="002A5EA2"/>
    <w:rsid w:val="002A6DA6"/>
    <w:rsid w:val="002A7198"/>
    <w:rsid w:val="002B0A3B"/>
    <w:rsid w:val="002B0AEE"/>
    <w:rsid w:val="002B0AF7"/>
    <w:rsid w:val="002B1365"/>
    <w:rsid w:val="002B2145"/>
    <w:rsid w:val="002B2278"/>
    <w:rsid w:val="002B231E"/>
    <w:rsid w:val="002B317A"/>
    <w:rsid w:val="002B38AF"/>
    <w:rsid w:val="002B3AB8"/>
    <w:rsid w:val="002B41C1"/>
    <w:rsid w:val="002B4AD7"/>
    <w:rsid w:val="002B4D22"/>
    <w:rsid w:val="002B52CC"/>
    <w:rsid w:val="002B5A20"/>
    <w:rsid w:val="002B5BE0"/>
    <w:rsid w:val="002B5FF6"/>
    <w:rsid w:val="002C031B"/>
    <w:rsid w:val="002C0B64"/>
    <w:rsid w:val="002C14F2"/>
    <w:rsid w:val="002C15B7"/>
    <w:rsid w:val="002C21AC"/>
    <w:rsid w:val="002C22DF"/>
    <w:rsid w:val="002C2445"/>
    <w:rsid w:val="002C2957"/>
    <w:rsid w:val="002C2E18"/>
    <w:rsid w:val="002C348A"/>
    <w:rsid w:val="002C405C"/>
    <w:rsid w:val="002C43BF"/>
    <w:rsid w:val="002C4D69"/>
    <w:rsid w:val="002C4EB8"/>
    <w:rsid w:val="002C5D99"/>
    <w:rsid w:val="002C62B4"/>
    <w:rsid w:val="002C6EB6"/>
    <w:rsid w:val="002D01C8"/>
    <w:rsid w:val="002D04FF"/>
    <w:rsid w:val="002D0AD0"/>
    <w:rsid w:val="002D0FEB"/>
    <w:rsid w:val="002D2520"/>
    <w:rsid w:val="002D25A3"/>
    <w:rsid w:val="002D3AF7"/>
    <w:rsid w:val="002D3C0B"/>
    <w:rsid w:val="002D490F"/>
    <w:rsid w:val="002D49C7"/>
    <w:rsid w:val="002D5682"/>
    <w:rsid w:val="002D660B"/>
    <w:rsid w:val="002D7343"/>
    <w:rsid w:val="002D74E6"/>
    <w:rsid w:val="002E002C"/>
    <w:rsid w:val="002E0195"/>
    <w:rsid w:val="002E1048"/>
    <w:rsid w:val="002E1272"/>
    <w:rsid w:val="002E1B57"/>
    <w:rsid w:val="002E1E87"/>
    <w:rsid w:val="002E284D"/>
    <w:rsid w:val="002E2BE6"/>
    <w:rsid w:val="002E356C"/>
    <w:rsid w:val="002E3B29"/>
    <w:rsid w:val="002E468A"/>
    <w:rsid w:val="002E4E7A"/>
    <w:rsid w:val="002E5351"/>
    <w:rsid w:val="002E5B44"/>
    <w:rsid w:val="002E60A9"/>
    <w:rsid w:val="002E6837"/>
    <w:rsid w:val="002E7CE6"/>
    <w:rsid w:val="002F02D5"/>
    <w:rsid w:val="002F0C3E"/>
    <w:rsid w:val="002F0F90"/>
    <w:rsid w:val="002F1216"/>
    <w:rsid w:val="002F12CB"/>
    <w:rsid w:val="002F14F2"/>
    <w:rsid w:val="002F1A05"/>
    <w:rsid w:val="002F1E99"/>
    <w:rsid w:val="002F2AA7"/>
    <w:rsid w:val="002F355F"/>
    <w:rsid w:val="002F4B63"/>
    <w:rsid w:val="002F5883"/>
    <w:rsid w:val="002F642E"/>
    <w:rsid w:val="002F75DE"/>
    <w:rsid w:val="002F799D"/>
    <w:rsid w:val="002F7A72"/>
    <w:rsid w:val="00301036"/>
    <w:rsid w:val="003024F2"/>
    <w:rsid w:val="00302BED"/>
    <w:rsid w:val="0030376A"/>
    <w:rsid w:val="00303B67"/>
    <w:rsid w:val="00304CF7"/>
    <w:rsid w:val="00305126"/>
    <w:rsid w:val="003053CE"/>
    <w:rsid w:val="0030607D"/>
    <w:rsid w:val="003065DA"/>
    <w:rsid w:val="00306953"/>
    <w:rsid w:val="00306E71"/>
    <w:rsid w:val="003073B2"/>
    <w:rsid w:val="0031084B"/>
    <w:rsid w:val="00310E20"/>
    <w:rsid w:val="00311655"/>
    <w:rsid w:val="00311A2E"/>
    <w:rsid w:val="003122D0"/>
    <w:rsid w:val="003133E4"/>
    <w:rsid w:val="00313E87"/>
    <w:rsid w:val="00313EF9"/>
    <w:rsid w:val="003140EB"/>
    <w:rsid w:val="003152A1"/>
    <w:rsid w:val="0031541F"/>
    <w:rsid w:val="003154B1"/>
    <w:rsid w:val="0031616C"/>
    <w:rsid w:val="00317571"/>
    <w:rsid w:val="003177F6"/>
    <w:rsid w:val="00317805"/>
    <w:rsid w:val="00317D7E"/>
    <w:rsid w:val="003200AD"/>
    <w:rsid w:val="00320C2F"/>
    <w:rsid w:val="00320D4E"/>
    <w:rsid w:val="003226CB"/>
    <w:rsid w:val="003228B9"/>
    <w:rsid w:val="00323086"/>
    <w:rsid w:val="003233D7"/>
    <w:rsid w:val="003238D6"/>
    <w:rsid w:val="003245AD"/>
    <w:rsid w:val="003249BF"/>
    <w:rsid w:val="00324AB6"/>
    <w:rsid w:val="00324D0A"/>
    <w:rsid w:val="003252CC"/>
    <w:rsid w:val="00325E11"/>
    <w:rsid w:val="0032621C"/>
    <w:rsid w:val="0032723A"/>
    <w:rsid w:val="003311D0"/>
    <w:rsid w:val="0033124D"/>
    <w:rsid w:val="0033190F"/>
    <w:rsid w:val="003319A3"/>
    <w:rsid w:val="003322D2"/>
    <w:rsid w:val="0033261A"/>
    <w:rsid w:val="00332D76"/>
    <w:rsid w:val="00334DF0"/>
    <w:rsid w:val="00334FD8"/>
    <w:rsid w:val="00335194"/>
    <w:rsid w:val="0033551F"/>
    <w:rsid w:val="00335B39"/>
    <w:rsid w:val="0033613A"/>
    <w:rsid w:val="00336F67"/>
    <w:rsid w:val="003371DA"/>
    <w:rsid w:val="00337A2E"/>
    <w:rsid w:val="00337C07"/>
    <w:rsid w:val="003402C5"/>
    <w:rsid w:val="003404C3"/>
    <w:rsid w:val="00341FC8"/>
    <w:rsid w:val="00343045"/>
    <w:rsid w:val="00343D50"/>
    <w:rsid w:val="003451BA"/>
    <w:rsid w:val="0034641C"/>
    <w:rsid w:val="00346908"/>
    <w:rsid w:val="00347D98"/>
    <w:rsid w:val="00347EF3"/>
    <w:rsid w:val="00350067"/>
    <w:rsid w:val="0035048E"/>
    <w:rsid w:val="00350F99"/>
    <w:rsid w:val="00351274"/>
    <w:rsid w:val="00351328"/>
    <w:rsid w:val="0035158A"/>
    <w:rsid w:val="00352409"/>
    <w:rsid w:val="00353528"/>
    <w:rsid w:val="00354164"/>
    <w:rsid w:val="003544BD"/>
    <w:rsid w:val="00354EB6"/>
    <w:rsid w:val="00355538"/>
    <w:rsid w:val="003560E9"/>
    <w:rsid w:val="003569A4"/>
    <w:rsid w:val="00356C2A"/>
    <w:rsid w:val="00356DD5"/>
    <w:rsid w:val="00356E24"/>
    <w:rsid w:val="00356EFC"/>
    <w:rsid w:val="00357492"/>
    <w:rsid w:val="00360B53"/>
    <w:rsid w:val="00361172"/>
    <w:rsid w:val="00361535"/>
    <w:rsid w:val="0036212E"/>
    <w:rsid w:val="00362238"/>
    <w:rsid w:val="003623F0"/>
    <w:rsid w:val="00362935"/>
    <w:rsid w:val="00362BB4"/>
    <w:rsid w:val="00362C04"/>
    <w:rsid w:val="00363AEE"/>
    <w:rsid w:val="003643B2"/>
    <w:rsid w:val="00364649"/>
    <w:rsid w:val="00364C1F"/>
    <w:rsid w:val="00365974"/>
    <w:rsid w:val="00365D73"/>
    <w:rsid w:val="0036625C"/>
    <w:rsid w:val="003666B6"/>
    <w:rsid w:val="00366B7E"/>
    <w:rsid w:val="00367A9C"/>
    <w:rsid w:val="00367CF6"/>
    <w:rsid w:val="00371BC3"/>
    <w:rsid w:val="003726D6"/>
    <w:rsid w:val="00372E9E"/>
    <w:rsid w:val="003733A1"/>
    <w:rsid w:val="00374067"/>
    <w:rsid w:val="0037444C"/>
    <w:rsid w:val="0037573E"/>
    <w:rsid w:val="00375946"/>
    <w:rsid w:val="00375DA6"/>
    <w:rsid w:val="00375E24"/>
    <w:rsid w:val="003773B3"/>
    <w:rsid w:val="00377762"/>
    <w:rsid w:val="00377CAF"/>
    <w:rsid w:val="00380279"/>
    <w:rsid w:val="0038106C"/>
    <w:rsid w:val="003828F4"/>
    <w:rsid w:val="00383D24"/>
    <w:rsid w:val="0038457B"/>
    <w:rsid w:val="00384BFA"/>
    <w:rsid w:val="00386F77"/>
    <w:rsid w:val="00387004"/>
    <w:rsid w:val="003872BD"/>
    <w:rsid w:val="0039032F"/>
    <w:rsid w:val="00390534"/>
    <w:rsid w:val="00390729"/>
    <w:rsid w:val="0039083A"/>
    <w:rsid w:val="00390AC9"/>
    <w:rsid w:val="003922F4"/>
    <w:rsid w:val="0039248E"/>
    <w:rsid w:val="00393020"/>
    <w:rsid w:val="00396170"/>
    <w:rsid w:val="00396715"/>
    <w:rsid w:val="0039681B"/>
    <w:rsid w:val="00396CB1"/>
    <w:rsid w:val="00396E92"/>
    <w:rsid w:val="003976FC"/>
    <w:rsid w:val="00397CAE"/>
    <w:rsid w:val="00397F8A"/>
    <w:rsid w:val="003A0555"/>
    <w:rsid w:val="003A0CCD"/>
    <w:rsid w:val="003A1FCB"/>
    <w:rsid w:val="003A238A"/>
    <w:rsid w:val="003A2995"/>
    <w:rsid w:val="003A34B0"/>
    <w:rsid w:val="003A3718"/>
    <w:rsid w:val="003A48E2"/>
    <w:rsid w:val="003A4A7C"/>
    <w:rsid w:val="003A53C1"/>
    <w:rsid w:val="003B09C9"/>
    <w:rsid w:val="003B0F97"/>
    <w:rsid w:val="003B10E9"/>
    <w:rsid w:val="003B1D81"/>
    <w:rsid w:val="003B1F74"/>
    <w:rsid w:val="003B2128"/>
    <w:rsid w:val="003B28F2"/>
    <w:rsid w:val="003B3000"/>
    <w:rsid w:val="003B3FA6"/>
    <w:rsid w:val="003B48E8"/>
    <w:rsid w:val="003B49D3"/>
    <w:rsid w:val="003B50D8"/>
    <w:rsid w:val="003B57B8"/>
    <w:rsid w:val="003B5E69"/>
    <w:rsid w:val="003B62DC"/>
    <w:rsid w:val="003B646D"/>
    <w:rsid w:val="003B68E4"/>
    <w:rsid w:val="003B7D35"/>
    <w:rsid w:val="003C02CC"/>
    <w:rsid w:val="003C0C15"/>
    <w:rsid w:val="003C1391"/>
    <w:rsid w:val="003C1549"/>
    <w:rsid w:val="003C2379"/>
    <w:rsid w:val="003C37C8"/>
    <w:rsid w:val="003C4E2C"/>
    <w:rsid w:val="003C5F0B"/>
    <w:rsid w:val="003C643A"/>
    <w:rsid w:val="003C6853"/>
    <w:rsid w:val="003C6962"/>
    <w:rsid w:val="003C71C2"/>
    <w:rsid w:val="003C7679"/>
    <w:rsid w:val="003C7C02"/>
    <w:rsid w:val="003C7DA2"/>
    <w:rsid w:val="003D079A"/>
    <w:rsid w:val="003D0E5A"/>
    <w:rsid w:val="003D11A6"/>
    <w:rsid w:val="003D16BB"/>
    <w:rsid w:val="003D22D8"/>
    <w:rsid w:val="003D2C21"/>
    <w:rsid w:val="003D34C4"/>
    <w:rsid w:val="003D3687"/>
    <w:rsid w:val="003D43DB"/>
    <w:rsid w:val="003D50F2"/>
    <w:rsid w:val="003D54E6"/>
    <w:rsid w:val="003D597B"/>
    <w:rsid w:val="003D6B11"/>
    <w:rsid w:val="003D6F4C"/>
    <w:rsid w:val="003D7392"/>
    <w:rsid w:val="003D7A45"/>
    <w:rsid w:val="003E04AE"/>
    <w:rsid w:val="003E3A14"/>
    <w:rsid w:val="003E3DFD"/>
    <w:rsid w:val="003E475F"/>
    <w:rsid w:val="003E6717"/>
    <w:rsid w:val="003E691D"/>
    <w:rsid w:val="003E6B98"/>
    <w:rsid w:val="003E70FF"/>
    <w:rsid w:val="003E7916"/>
    <w:rsid w:val="003F129F"/>
    <w:rsid w:val="003F25BB"/>
    <w:rsid w:val="003F3176"/>
    <w:rsid w:val="003F37FC"/>
    <w:rsid w:val="003F43D2"/>
    <w:rsid w:val="004011E2"/>
    <w:rsid w:val="004015C5"/>
    <w:rsid w:val="0040241D"/>
    <w:rsid w:val="00402B70"/>
    <w:rsid w:val="00402C5B"/>
    <w:rsid w:val="00403A20"/>
    <w:rsid w:val="00403F9A"/>
    <w:rsid w:val="0040483F"/>
    <w:rsid w:val="0040546E"/>
    <w:rsid w:val="00405762"/>
    <w:rsid w:val="0040667D"/>
    <w:rsid w:val="00406967"/>
    <w:rsid w:val="00407580"/>
    <w:rsid w:val="00407B9E"/>
    <w:rsid w:val="00407BD5"/>
    <w:rsid w:val="00407C14"/>
    <w:rsid w:val="00410871"/>
    <w:rsid w:val="004113F7"/>
    <w:rsid w:val="0041157C"/>
    <w:rsid w:val="00411925"/>
    <w:rsid w:val="00412BD0"/>
    <w:rsid w:val="00412C9D"/>
    <w:rsid w:val="00412F5F"/>
    <w:rsid w:val="00412FB9"/>
    <w:rsid w:val="00413534"/>
    <w:rsid w:val="00415544"/>
    <w:rsid w:val="004156F5"/>
    <w:rsid w:val="0041578A"/>
    <w:rsid w:val="00416EDF"/>
    <w:rsid w:val="004171F5"/>
    <w:rsid w:val="004203C4"/>
    <w:rsid w:val="0042091E"/>
    <w:rsid w:val="00420E9C"/>
    <w:rsid w:val="004210F0"/>
    <w:rsid w:val="00422210"/>
    <w:rsid w:val="004232CD"/>
    <w:rsid w:val="004245F7"/>
    <w:rsid w:val="00424742"/>
    <w:rsid w:val="00424E3F"/>
    <w:rsid w:val="00425567"/>
    <w:rsid w:val="00426B50"/>
    <w:rsid w:val="00426DF1"/>
    <w:rsid w:val="00430DC1"/>
    <w:rsid w:val="00431180"/>
    <w:rsid w:val="0043147A"/>
    <w:rsid w:val="00431F70"/>
    <w:rsid w:val="00432921"/>
    <w:rsid w:val="00432C59"/>
    <w:rsid w:val="004333B0"/>
    <w:rsid w:val="00433DDF"/>
    <w:rsid w:val="004347BE"/>
    <w:rsid w:val="00434E17"/>
    <w:rsid w:val="00434EF1"/>
    <w:rsid w:val="004365E9"/>
    <w:rsid w:val="0043754A"/>
    <w:rsid w:val="00437F74"/>
    <w:rsid w:val="004401BD"/>
    <w:rsid w:val="00441400"/>
    <w:rsid w:val="004428F2"/>
    <w:rsid w:val="00442A93"/>
    <w:rsid w:val="004432FD"/>
    <w:rsid w:val="004448D3"/>
    <w:rsid w:val="00444A33"/>
    <w:rsid w:val="004454FB"/>
    <w:rsid w:val="00445613"/>
    <w:rsid w:val="0044616D"/>
    <w:rsid w:val="00446FF3"/>
    <w:rsid w:val="0044769B"/>
    <w:rsid w:val="0045124B"/>
    <w:rsid w:val="00453940"/>
    <w:rsid w:val="0045454B"/>
    <w:rsid w:val="0045469A"/>
    <w:rsid w:val="00454AD5"/>
    <w:rsid w:val="00457C12"/>
    <w:rsid w:val="00457CCB"/>
    <w:rsid w:val="00460246"/>
    <w:rsid w:val="0046059C"/>
    <w:rsid w:val="004610FB"/>
    <w:rsid w:val="004612BF"/>
    <w:rsid w:val="0046143D"/>
    <w:rsid w:val="00462FF3"/>
    <w:rsid w:val="00463357"/>
    <w:rsid w:val="00463447"/>
    <w:rsid w:val="0046458A"/>
    <w:rsid w:val="00464B7B"/>
    <w:rsid w:val="004650B8"/>
    <w:rsid w:val="004654CC"/>
    <w:rsid w:val="00467250"/>
    <w:rsid w:val="00470566"/>
    <w:rsid w:val="00470E83"/>
    <w:rsid w:val="004711C0"/>
    <w:rsid w:val="004712CC"/>
    <w:rsid w:val="00471E79"/>
    <w:rsid w:val="0047345B"/>
    <w:rsid w:val="004740A5"/>
    <w:rsid w:val="0047464E"/>
    <w:rsid w:val="00475E1B"/>
    <w:rsid w:val="004763DE"/>
    <w:rsid w:val="00476709"/>
    <w:rsid w:val="00476D14"/>
    <w:rsid w:val="004808F6"/>
    <w:rsid w:val="00481879"/>
    <w:rsid w:val="00482AE7"/>
    <w:rsid w:val="00483D17"/>
    <w:rsid w:val="00484CDA"/>
    <w:rsid w:val="0048575D"/>
    <w:rsid w:val="00485E85"/>
    <w:rsid w:val="00486A9A"/>
    <w:rsid w:val="0048713F"/>
    <w:rsid w:val="00487AC1"/>
    <w:rsid w:val="00487D4B"/>
    <w:rsid w:val="00487E80"/>
    <w:rsid w:val="004900D6"/>
    <w:rsid w:val="004904EE"/>
    <w:rsid w:val="00490AC8"/>
    <w:rsid w:val="00491BB7"/>
    <w:rsid w:val="00491FB6"/>
    <w:rsid w:val="00491FD8"/>
    <w:rsid w:val="00492EAA"/>
    <w:rsid w:val="00492FC4"/>
    <w:rsid w:val="00493283"/>
    <w:rsid w:val="0049329E"/>
    <w:rsid w:val="00493869"/>
    <w:rsid w:val="00493C6C"/>
    <w:rsid w:val="004944D4"/>
    <w:rsid w:val="00495161"/>
    <w:rsid w:val="00495191"/>
    <w:rsid w:val="00495765"/>
    <w:rsid w:val="00496299"/>
    <w:rsid w:val="00496ED5"/>
    <w:rsid w:val="004A0D53"/>
    <w:rsid w:val="004A3300"/>
    <w:rsid w:val="004A3447"/>
    <w:rsid w:val="004A34B8"/>
    <w:rsid w:val="004A3863"/>
    <w:rsid w:val="004A560F"/>
    <w:rsid w:val="004A661C"/>
    <w:rsid w:val="004A71FE"/>
    <w:rsid w:val="004A7C81"/>
    <w:rsid w:val="004A7EC3"/>
    <w:rsid w:val="004B0E51"/>
    <w:rsid w:val="004B2C6E"/>
    <w:rsid w:val="004B2C7E"/>
    <w:rsid w:val="004B2FAA"/>
    <w:rsid w:val="004B3A3D"/>
    <w:rsid w:val="004B440A"/>
    <w:rsid w:val="004B4728"/>
    <w:rsid w:val="004B4D89"/>
    <w:rsid w:val="004B4F6E"/>
    <w:rsid w:val="004B5151"/>
    <w:rsid w:val="004B61DF"/>
    <w:rsid w:val="004B6880"/>
    <w:rsid w:val="004B6B13"/>
    <w:rsid w:val="004B7227"/>
    <w:rsid w:val="004B73E4"/>
    <w:rsid w:val="004B7671"/>
    <w:rsid w:val="004C02B0"/>
    <w:rsid w:val="004C038A"/>
    <w:rsid w:val="004C05FD"/>
    <w:rsid w:val="004C1687"/>
    <w:rsid w:val="004C1800"/>
    <w:rsid w:val="004C29FB"/>
    <w:rsid w:val="004C2FC4"/>
    <w:rsid w:val="004C3457"/>
    <w:rsid w:val="004C34B0"/>
    <w:rsid w:val="004C3B5B"/>
    <w:rsid w:val="004C4B2F"/>
    <w:rsid w:val="004C5010"/>
    <w:rsid w:val="004C622D"/>
    <w:rsid w:val="004C70C5"/>
    <w:rsid w:val="004C7113"/>
    <w:rsid w:val="004C74AA"/>
    <w:rsid w:val="004C74DB"/>
    <w:rsid w:val="004C7622"/>
    <w:rsid w:val="004C7F6F"/>
    <w:rsid w:val="004D03D1"/>
    <w:rsid w:val="004D08BF"/>
    <w:rsid w:val="004D0E92"/>
    <w:rsid w:val="004D1071"/>
    <w:rsid w:val="004D2AFF"/>
    <w:rsid w:val="004D35AB"/>
    <w:rsid w:val="004D3B90"/>
    <w:rsid w:val="004D3E7A"/>
    <w:rsid w:val="004D4D4F"/>
    <w:rsid w:val="004D5885"/>
    <w:rsid w:val="004D58AD"/>
    <w:rsid w:val="004D5B7D"/>
    <w:rsid w:val="004D5BE1"/>
    <w:rsid w:val="004D5EB6"/>
    <w:rsid w:val="004D63EA"/>
    <w:rsid w:val="004D69D6"/>
    <w:rsid w:val="004D6BAF"/>
    <w:rsid w:val="004D6F88"/>
    <w:rsid w:val="004D7032"/>
    <w:rsid w:val="004D7516"/>
    <w:rsid w:val="004D7BC1"/>
    <w:rsid w:val="004E0105"/>
    <w:rsid w:val="004E18C0"/>
    <w:rsid w:val="004E1E3F"/>
    <w:rsid w:val="004E27B4"/>
    <w:rsid w:val="004E28A9"/>
    <w:rsid w:val="004E3962"/>
    <w:rsid w:val="004E3983"/>
    <w:rsid w:val="004E4E09"/>
    <w:rsid w:val="004E4E97"/>
    <w:rsid w:val="004E5500"/>
    <w:rsid w:val="004E5668"/>
    <w:rsid w:val="004E5731"/>
    <w:rsid w:val="004E5A43"/>
    <w:rsid w:val="004E5B35"/>
    <w:rsid w:val="004E643B"/>
    <w:rsid w:val="004E68DB"/>
    <w:rsid w:val="004E6C86"/>
    <w:rsid w:val="004E7052"/>
    <w:rsid w:val="004F0009"/>
    <w:rsid w:val="004F0838"/>
    <w:rsid w:val="004F121B"/>
    <w:rsid w:val="004F15DB"/>
    <w:rsid w:val="004F1D8A"/>
    <w:rsid w:val="004F2154"/>
    <w:rsid w:val="004F28C8"/>
    <w:rsid w:val="004F3A0C"/>
    <w:rsid w:val="004F3E69"/>
    <w:rsid w:val="004F4512"/>
    <w:rsid w:val="004F460A"/>
    <w:rsid w:val="004F4C7A"/>
    <w:rsid w:val="004F55F8"/>
    <w:rsid w:val="004F5F34"/>
    <w:rsid w:val="004F6C3C"/>
    <w:rsid w:val="004F6D32"/>
    <w:rsid w:val="004F7291"/>
    <w:rsid w:val="004F77E1"/>
    <w:rsid w:val="004F7A76"/>
    <w:rsid w:val="004F7C24"/>
    <w:rsid w:val="0050061A"/>
    <w:rsid w:val="005011E4"/>
    <w:rsid w:val="00502803"/>
    <w:rsid w:val="00502B66"/>
    <w:rsid w:val="00504515"/>
    <w:rsid w:val="00504E1F"/>
    <w:rsid w:val="00504E27"/>
    <w:rsid w:val="005053DA"/>
    <w:rsid w:val="005064CC"/>
    <w:rsid w:val="00506DD2"/>
    <w:rsid w:val="005074F5"/>
    <w:rsid w:val="00507E5E"/>
    <w:rsid w:val="005106AB"/>
    <w:rsid w:val="005108EE"/>
    <w:rsid w:val="00511305"/>
    <w:rsid w:val="0051171D"/>
    <w:rsid w:val="0051210A"/>
    <w:rsid w:val="00512426"/>
    <w:rsid w:val="00512452"/>
    <w:rsid w:val="00512966"/>
    <w:rsid w:val="00512A97"/>
    <w:rsid w:val="00512DC1"/>
    <w:rsid w:val="005135FE"/>
    <w:rsid w:val="0051507E"/>
    <w:rsid w:val="005159A1"/>
    <w:rsid w:val="00515E98"/>
    <w:rsid w:val="0051606C"/>
    <w:rsid w:val="0051631C"/>
    <w:rsid w:val="0051719B"/>
    <w:rsid w:val="005176E1"/>
    <w:rsid w:val="00517A89"/>
    <w:rsid w:val="0052022C"/>
    <w:rsid w:val="00521864"/>
    <w:rsid w:val="0052194E"/>
    <w:rsid w:val="005223AB"/>
    <w:rsid w:val="005228A9"/>
    <w:rsid w:val="00522CC5"/>
    <w:rsid w:val="00525C70"/>
    <w:rsid w:val="00525D06"/>
    <w:rsid w:val="00526EE2"/>
    <w:rsid w:val="005270E2"/>
    <w:rsid w:val="00530A9A"/>
    <w:rsid w:val="005310A6"/>
    <w:rsid w:val="005312E7"/>
    <w:rsid w:val="00531C5D"/>
    <w:rsid w:val="0053203A"/>
    <w:rsid w:val="005324F0"/>
    <w:rsid w:val="00533B22"/>
    <w:rsid w:val="00534297"/>
    <w:rsid w:val="00534969"/>
    <w:rsid w:val="005354F5"/>
    <w:rsid w:val="00536001"/>
    <w:rsid w:val="0053655F"/>
    <w:rsid w:val="005403F0"/>
    <w:rsid w:val="00540820"/>
    <w:rsid w:val="00540E83"/>
    <w:rsid w:val="00540F93"/>
    <w:rsid w:val="00540FCF"/>
    <w:rsid w:val="005411B9"/>
    <w:rsid w:val="005414C6"/>
    <w:rsid w:val="0054241B"/>
    <w:rsid w:val="005424AE"/>
    <w:rsid w:val="00542FCE"/>
    <w:rsid w:val="00543B56"/>
    <w:rsid w:val="00543E26"/>
    <w:rsid w:val="00543F00"/>
    <w:rsid w:val="0054419B"/>
    <w:rsid w:val="005442A4"/>
    <w:rsid w:val="005451AA"/>
    <w:rsid w:val="00545481"/>
    <w:rsid w:val="0054666E"/>
    <w:rsid w:val="005469F6"/>
    <w:rsid w:val="00546AFC"/>
    <w:rsid w:val="00546BD0"/>
    <w:rsid w:val="00547B2C"/>
    <w:rsid w:val="00547C01"/>
    <w:rsid w:val="0055059E"/>
    <w:rsid w:val="00551667"/>
    <w:rsid w:val="00551A4B"/>
    <w:rsid w:val="00551B24"/>
    <w:rsid w:val="005521A6"/>
    <w:rsid w:val="0055221D"/>
    <w:rsid w:val="005527D0"/>
    <w:rsid w:val="005528DA"/>
    <w:rsid w:val="0055291D"/>
    <w:rsid w:val="00552FD6"/>
    <w:rsid w:val="00553070"/>
    <w:rsid w:val="0055317F"/>
    <w:rsid w:val="005535D0"/>
    <w:rsid w:val="00553B3B"/>
    <w:rsid w:val="00553B58"/>
    <w:rsid w:val="00553C7E"/>
    <w:rsid w:val="005548C1"/>
    <w:rsid w:val="00555523"/>
    <w:rsid w:val="00555531"/>
    <w:rsid w:val="00555BD6"/>
    <w:rsid w:val="005560AC"/>
    <w:rsid w:val="00556CED"/>
    <w:rsid w:val="00556F12"/>
    <w:rsid w:val="005570BE"/>
    <w:rsid w:val="00561919"/>
    <w:rsid w:val="00561D6E"/>
    <w:rsid w:val="00562202"/>
    <w:rsid w:val="00565180"/>
    <w:rsid w:val="0056520E"/>
    <w:rsid w:val="00565765"/>
    <w:rsid w:val="00565969"/>
    <w:rsid w:val="00565F67"/>
    <w:rsid w:val="00566492"/>
    <w:rsid w:val="0056664C"/>
    <w:rsid w:val="005667E3"/>
    <w:rsid w:val="00566AA2"/>
    <w:rsid w:val="0056726C"/>
    <w:rsid w:val="00567F2F"/>
    <w:rsid w:val="005705EA"/>
    <w:rsid w:val="00572369"/>
    <w:rsid w:val="00572B9D"/>
    <w:rsid w:val="005747CC"/>
    <w:rsid w:val="00575D93"/>
    <w:rsid w:val="005770BD"/>
    <w:rsid w:val="00577AD4"/>
    <w:rsid w:val="0058223E"/>
    <w:rsid w:val="005823C5"/>
    <w:rsid w:val="0058346F"/>
    <w:rsid w:val="005839B9"/>
    <w:rsid w:val="005840E0"/>
    <w:rsid w:val="00584485"/>
    <w:rsid w:val="00584609"/>
    <w:rsid w:val="00584CEC"/>
    <w:rsid w:val="0058508A"/>
    <w:rsid w:val="0058557F"/>
    <w:rsid w:val="00586059"/>
    <w:rsid w:val="005865BB"/>
    <w:rsid w:val="00586A27"/>
    <w:rsid w:val="00587A2B"/>
    <w:rsid w:val="00587EB9"/>
    <w:rsid w:val="005900AF"/>
    <w:rsid w:val="00590632"/>
    <w:rsid w:val="00590B96"/>
    <w:rsid w:val="00590D85"/>
    <w:rsid w:val="00590EFA"/>
    <w:rsid w:val="00591977"/>
    <w:rsid w:val="00591B04"/>
    <w:rsid w:val="00592049"/>
    <w:rsid w:val="005922EB"/>
    <w:rsid w:val="00593076"/>
    <w:rsid w:val="0059348C"/>
    <w:rsid w:val="00593808"/>
    <w:rsid w:val="00593D00"/>
    <w:rsid w:val="0059493C"/>
    <w:rsid w:val="00594CC4"/>
    <w:rsid w:val="00595039"/>
    <w:rsid w:val="00595616"/>
    <w:rsid w:val="005966B6"/>
    <w:rsid w:val="0059788A"/>
    <w:rsid w:val="00597A0A"/>
    <w:rsid w:val="005A0589"/>
    <w:rsid w:val="005A0831"/>
    <w:rsid w:val="005A0834"/>
    <w:rsid w:val="005A09D5"/>
    <w:rsid w:val="005A0BB4"/>
    <w:rsid w:val="005A17A8"/>
    <w:rsid w:val="005A19C5"/>
    <w:rsid w:val="005A251B"/>
    <w:rsid w:val="005A3E37"/>
    <w:rsid w:val="005A4D62"/>
    <w:rsid w:val="005A4FAA"/>
    <w:rsid w:val="005A5079"/>
    <w:rsid w:val="005A51C2"/>
    <w:rsid w:val="005A5222"/>
    <w:rsid w:val="005A5733"/>
    <w:rsid w:val="005A5F1C"/>
    <w:rsid w:val="005A62F1"/>
    <w:rsid w:val="005A6CEB"/>
    <w:rsid w:val="005A6E30"/>
    <w:rsid w:val="005A7034"/>
    <w:rsid w:val="005A74B7"/>
    <w:rsid w:val="005B007A"/>
    <w:rsid w:val="005B0233"/>
    <w:rsid w:val="005B023B"/>
    <w:rsid w:val="005B054B"/>
    <w:rsid w:val="005B05E8"/>
    <w:rsid w:val="005B0647"/>
    <w:rsid w:val="005B0AFB"/>
    <w:rsid w:val="005B0F93"/>
    <w:rsid w:val="005B2C4D"/>
    <w:rsid w:val="005B41B5"/>
    <w:rsid w:val="005B44A7"/>
    <w:rsid w:val="005B46AE"/>
    <w:rsid w:val="005B482D"/>
    <w:rsid w:val="005B4FB6"/>
    <w:rsid w:val="005B5AA3"/>
    <w:rsid w:val="005B5CF7"/>
    <w:rsid w:val="005B70AB"/>
    <w:rsid w:val="005B7991"/>
    <w:rsid w:val="005C00E4"/>
    <w:rsid w:val="005C06DB"/>
    <w:rsid w:val="005C0813"/>
    <w:rsid w:val="005C0DAC"/>
    <w:rsid w:val="005C247A"/>
    <w:rsid w:val="005C390A"/>
    <w:rsid w:val="005C3C27"/>
    <w:rsid w:val="005C4621"/>
    <w:rsid w:val="005C4A6F"/>
    <w:rsid w:val="005C5109"/>
    <w:rsid w:val="005C551F"/>
    <w:rsid w:val="005C59A3"/>
    <w:rsid w:val="005C5DC9"/>
    <w:rsid w:val="005D0B97"/>
    <w:rsid w:val="005D1746"/>
    <w:rsid w:val="005D199C"/>
    <w:rsid w:val="005D1B17"/>
    <w:rsid w:val="005D2050"/>
    <w:rsid w:val="005D2260"/>
    <w:rsid w:val="005D22BF"/>
    <w:rsid w:val="005D3A01"/>
    <w:rsid w:val="005D3D9B"/>
    <w:rsid w:val="005D4716"/>
    <w:rsid w:val="005D47C7"/>
    <w:rsid w:val="005D4986"/>
    <w:rsid w:val="005D4E33"/>
    <w:rsid w:val="005D526A"/>
    <w:rsid w:val="005D5301"/>
    <w:rsid w:val="005D5781"/>
    <w:rsid w:val="005D64C0"/>
    <w:rsid w:val="005D6CDF"/>
    <w:rsid w:val="005D7021"/>
    <w:rsid w:val="005D76F0"/>
    <w:rsid w:val="005E0010"/>
    <w:rsid w:val="005E119D"/>
    <w:rsid w:val="005E129C"/>
    <w:rsid w:val="005E152C"/>
    <w:rsid w:val="005E22A8"/>
    <w:rsid w:val="005E2F07"/>
    <w:rsid w:val="005E38E0"/>
    <w:rsid w:val="005E4306"/>
    <w:rsid w:val="005E45CE"/>
    <w:rsid w:val="005E49BC"/>
    <w:rsid w:val="005E4F70"/>
    <w:rsid w:val="005E52BE"/>
    <w:rsid w:val="005E572E"/>
    <w:rsid w:val="005E6A53"/>
    <w:rsid w:val="005E75CA"/>
    <w:rsid w:val="005E75CD"/>
    <w:rsid w:val="005E78F5"/>
    <w:rsid w:val="005E7A20"/>
    <w:rsid w:val="005E7DF9"/>
    <w:rsid w:val="005F18E5"/>
    <w:rsid w:val="005F1ABB"/>
    <w:rsid w:val="005F2754"/>
    <w:rsid w:val="005F29C6"/>
    <w:rsid w:val="005F458F"/>
    <w:rsid w:val="005F53E5"/>
    <w:rsid w:val="005F616D"/>
    <w:rsid w:val="005F667A"/>
    <w:rsid w:val="005F6817"/>
    <w:rsid w:val="005F690B"/>
    <w:rsid w:val="005F6A10"/>
    <w:rsid w:val="005F74E4"/>
    <w:rsid w:val="005F7D87"/>
    <w:rsid w:val="00600155"/>
    <w:rsid w:val="00600428"/>
    <w:rsid w:val="006004C9"/>
    <w:rsid w:val="006011A9"/>
    <w:rsid w:val="00601348"/>
    <w:rsid w:val="00602B5A"/>
    <w:rsid w:val="006032EB"/>
    <w:rsid w:val="006037FF"/>
    <w:rsid w:val="00603AF0"/>
    <w:rsid w:val="00603E66"/>
    <w:rsid w:val="00603EAE"/>
    <w:rsid w:val="00604B43"/>
    <w:rsid w:val="00604C35"/>
    <w:rsid w:val="00606708"/>
    <w:rsid w:val="006074F5"/>
    <w:rsid w:val="006079B1"/>
    <w:rsid w:val="006101D0"/>
    <w:rsid w:val="006105E9"/>
    <w:rsid w:val="006107BC"/>
    <w:rsid w:val="006112CE"/>
    <w:rsid w:val="00612CB0"/>
    <w:rsid w:val="006133DE"/>
    <w:rsid w:val="00613579"/>
    <w:rsid w:val="00613B78"/>
    <w:rsid w:val="00614947"/>
    <w:rsid w:val="006149E6"/>
    <w:rsid w:val="00614F39"/>
    <w:rsid w:val="00615300"/>
    <w:rsid w:val="006166CA"/>
    <w:rsid w:val="006176F1"/>
    <w:rsid w:val="00617D7F"/>
    <w:rsid w:val="00620200"/>
    <w:rsid w:val="00620B33"/>
    <w:rsid w:val="00620C3D"/>
    <w:rsid w:val="00620E98"/>
    <w:rsid w:val="0062126B"/>
    <w:rsid w:val="0062131B"/>
    <w:rsid w:val="006217CB"/>
    <w:rsid w:val="00621C33"/>
    <w:rsid w:val="00622908"/>
    <w:rsid w:val="00623523"/>
    <w:rsid w:val="00623D21"/>
    <w:rsid w:val="00624CA3"/>
    <w:rsid w:val="00625F9C"/>
    <w:rsid w:val="00626100"/>
    <w:rsid w:val="00626A54"/>
    <w:rsid w:val="00626AC6"/>
    <w:rsid w:val="00626B8D"/>
    <w:rsid w:val="0062737D"/>
    <w:rsid w:val="00627E00"/>
    <w:rsid w:val="0063049D"/>
    <w:rsid w:val="00632E4E"/>
    <w:rsid w:val="006330DF"/>
    <w:rsid w:val="0063355E"/>
    <w:rsid w:val="00633A19"/>
    <w:rsid w:val="00633BEB"/>
    <w:rsid w:val="00635815"/>
    <w:rsid w:val="00636659"/>
    <w:rsid w:val="006367F0"/>
    <w:rsid w:val="00636882"/>
    <w:rsid w:val="00636CDE"/>
    <w:rsid w:val="00636DE1"/>
    <w:rsid w:val="00637087"/>
    <w:rsid w:val="006370C8"/>
    <w:rsid w:val="00637C46"/>
    <w:rsid w:val="00637E81"/>
    <w:rsid w:val="00637FF0"/>
    <w:rsid w:val="0064004D"/>
    <w:rsid w:val="00640C1D"/>
    <w:rsid w:val="00641494"/>
    <w:rsid w:val="00641E7E"/>
    <w:rsid w:val="00642475"/>
    <w:rsid w:val="006425FC"/>
    <w:rsid w:val="00642ABD"/>
    <w:rsid w:val="0064389D"/>
    <w:rsid w:val="00643A16"/>
    <w:rsid w:val="00643A88"/>
    <w:rsid w:val="00643B37"/>
    <w:rsid w:val="0064421F"/>
    <w:rsid w:val="00644D55"/>
    <w:rsid w:val="00645122"/>
    <w:rsid w:val="006452C6"/>
    <w:rsid w:val="006452DE"/>
    <w:rsid w:val="00646C47"/>
    <w:rsid w:val="00646D14"/>
    <w:rsid w:val="006472A4"/>
    <w:rsid w:val="006500EC"/>
    <w:rsid w:val="006506D5"/>
    <w:rsid w:val="00650C21"/>
    <w:rsid w:val="00651CAF"/>
    <w:rsid w:val="00652343"/>
    <w:rsid w:val="006523DB"/>
    <w:rsid w:val="00653CDD"/>
    <w:rsid w:val="0065405F"/>
    <w:rsid w:val="0065473D"/>
    <w:rsid w:val="00654811"/>
    <w:rsid w:val="00654A88"/>
    <w:rsid w:val="00655271"/>
    <w:rsid w:val="00655A3C"/>
    <w:rsid w:val="0065649C"/>
    <w:rsid w:val="006571FF"/>
    <w:rsid w:val="00657A7D"/>
    <w:rsid w:val="00660773"/>
    <w:rsid w:val="00661728"/>
    <w:rsid w:val="0066198B"/>
    <w:rsid w:val="00661F62"/>
    <w:rsid w:val="00661FAE"/>
    <w:rsid w:val="0066285A"/>
    <w:rsid w:val="00662E9A"/>
    <w:rsid w:val="006635CD"/>
    <w:rsid w:val="00663E0B"/>
    <w:rsid w:val="0066455E"/>
    <w:rsid w:val="00664687"/>
    <w:rsid w:val="006646B0"/>
    <w:rsid w:val="0066748F"/>
    <w:rsid w:val="006704E3"/>
    <w:rsid w:val="00670CA5"/>
    <w:rsid w:val="00671207"/>
    <w:rsid w:val="006712FD"/>
    <w:rsid w:val="006716EA"/>
    <w:rsid w:val="00671EFF"/>
    <w:rsid w:val="00672063"/>
    <w:rsid w:val="00672899"/>
    <w:rsid w:val="0067410F"/>
    <w:rsid w:val="0067526D"/>
    <w:rsid w:val="006757D0"/>
    <w:rsid w:val="00676041"/>
    <w:rsid w:val="00677F7E"/>
    <w:rsid w:val="00677FEE"/>
    <w:rsid w:val="00680178"/>
    <w:rsid w:val="00680C21"/>
    <w:rsid w:val="00680E6B"/>
    <w:rsid w:val="00681D98"/>
    <w:rsid w:val="00681E60"/>
    <w:rsid w:val="006833C2"/>
    <w:rsid w:val="00683F56"/>
    <w:rsid w:val="00683FC7"/>
    <w:rsid w:val="00684426"/>
    <w:rsid w:val="00684E76"/>
    <w:rsid w:val="006852F4"/>
    <w:rsid w:val="006855D4"/>
    <w:rsid w:val="00686AF9"/>
    <w:rsid w:val="00686D4E"/>
    <w:rsid w:val="006879C3"/>
    <w:rsid w:val="00691361"/>
    <w:rsid w:val="0069140A"/>
    <w:rsid w:val="00692507"/>
    <w:rsid w:val="006926F1"/>
    <w:rsid w:val="00692728"/>
    <w:rsid w:val="00692793"/>
    <w:rsid w:val="00692DEA"/>
    <w:rsid w:val="006939DF"/>
    <w:rsid w:val="006942C7"/>
    <w:rsid w:val="00694FD2"/>
    <w:rsid w:val="006964CF"/>
    <w:rsid w:val="006969A1"/>
    <w:rsid w:val="00696CCF"/>
    <w:rsid w:val="006973C0"/>
    <w:rsid w:val="0069783E"/>
    <w:rsid w:val="00697B97"/>
    <w:rsid w:val="00697D35"/>
    <w:rsid w:val="00697F60"/>
    <w:rsid w:val="006A02D0"/>
    <w:rsid w:val="006A073D"/>
    <w:rsid w:val="006A1DC0"/>
    <w:rsid w:val="006A1FC2"/>
    <w:rsid w:val="006A30B5"/>
    <w:rsid w:val="006A348C"/>
    <w:rsid w:val="006A404C"/>
    <w:rsid w:val="006A54B5"/>
    <w:rsid w:val="006A60FE"/>
    <w:rsid w:val="006A71C3"/>
    <w:rsid w:val="006A7C4B"/>
    <w:rsid w:val="006B010A"/>
    <w:rsid w:val="006B028F"/>
    <w:rsid w:val="006B07BA"/>
    <w:rsid w:val="006B0FD0"/>
    <w:rsid w:val="006B14AC"/>
    <w:rsid w:val="006B18E1"/>
    <w:rsid w:val="006B1FBB"/>
    <w:rsid w:val="006B26F3"/>
    <w:rsid w:val="006B2CA4"/>
    <w:rsid w:val="006B3788"/>
    <w:rsid w:val="006B3909"/>
    <w:rsid w:val="006B410E"/>
    <w:rsid w:val="006B45BA"/>
    <w:rsid w:val="006B50F9"/>
    <w:rsid w:val="006B51E7"/>
    <w:rsid w:val="006B5CFC"/>
    <w:rsid w:val="006B5E2D"/>
    <w:rsid w:val="006B6113"/>
    <w:rsid w:val="006B617C"/>
    <w:rsid w:val="006B7415"/>
    <w:rsid w:val="006B74E0"/>
    <w:rsid w:val="006B7EBF"/>
    <w:rsid w:val="006B7F74"/>
    <w:rsid w:val="006C0CD3"/>
    <w:rsid w:val="006C1948"/>
    <w:rsid w:val="006C1D7E"/>
    <w:rsid w:val="006C20D0"/>
    <w:rsid w:val="006C232D"/>
    <w:rsid w:val="006C3334"/>
    <w:rsid w:val="006C33B8"/>
    <w:rsid w:val="006C39F5"/>
    <w:rsid w:val="006C3EE6"/>
    <w:rsid w:val="006C5007"/>
    <w:rsid w:val="006C5912"/>
    <w:rsid w:val="006C6CBC"/>
    <w:rsid w:val="006C70DD"/>
    <w:rsid w:val="006C75B3"/>
    <w:rsid w:val="006C79AC"/>
    <w:rsid w:val="006C7A16"/>
    <w:rsid w:val="006C7D10"/>
    <w:rsid w:val="006C7D9A"/>
    <w:rsid w:val="006D04F0"/>
    <w:rsid w:val="006D1A24"/>
    <w:rsid w:val="006D1AB0"/>
    <w:rsid w:val="006D2955"/>
    <w:rsid w:val="006D34E1"/>
    <w:rsid w:val="006D414C"/>
    <w:rsid w:val="006D43D4"/>
    <w:rsid w:val="006D47ED"/>
    <w:rsid w:val="006D49C6"/>
    <w:rsid w:val="006D58A8"/>
    <w:rsid w:val="006D598E"/>
    <w:rsid w:val="006D6655"/>
    <w:rsid w:val="006D6F3E"/>
    <w:rsid w:val="006D7C92"/>
    <w:rsid w:val="006E162D"/>
    <w:rsid w:val="006E174B"/>
    <w:rsid w:val="006E2051"/>
    <w:rsid w:val="006E2B92"/>
    <w:rsid w:val="006E2EB2"/>
    <w:rsid w:val="006E3B7A"/>
    <w:rsid w:val="006E4345"/>
    <w:rsid w:val="006E456B"/>
    <w:rsid w:val="006E4B59"/>
    <w:rsid w:val="006E5C2D"/>
    <w:rsid w:val="006E5F5B"/>
    <w:rsid w:val="006E6CC3"/>
    <w:rsid w:val="006E7156"/>
    <w:rsid w:val="006E7BE3"/>
    <w:rsid w:val="006F02CE"/>
    <w:rsid w:val="006F0675"/>
    <w:rsid w:val="006F10D4"/>
    <w:rsid w:val="006F2382"/>
    <w:rsid w:val="006F24F9"/>
    <w:rsid w:val="006F2A86"/>
    <w:rsid w:val="006F2D7F"/>
    <w:rsid w:val="006F2D84"/>
    <w:rsid w:val="006F31FA"/>
    <w:rsid w:val="006F35C1"/>
    <w:rsid w:val="006F3701"/>
    <w:rsid w:val="006F50FD"/>
    <w:rsid w:val="006F5324"/>
    <w:rsid w:val="006F591C"/>
    <w:rsid w:val="006F5D60"/>
    <w:rsid w:val="006F6BED"/>
    <w:rsid w:val="006F732F"/>
    <w:rsid w:val="006F7749"/>
    <w:rsid w:val="00700080"/>
    <w:rsid w:val="00700189"/>
    <w:rsid w:val="00700283"/>
    <w:rsid w:val="00700482"/>
    <w:rsid w:val="00700788"/>
    <w:rsid w:val="00700937"/>
    <w:rsid w:val="00700EF9"/>
    <w:rsid w:val="00700F93"/>
    <w:rsid w:val="007015A1"/>
    <w:rsid w:val="007027F7"/>
    <w:rsid w:val="00702B8D"/>
    <w:rsid w:val="00704261"/>
    <w:rsid w:val="007044A5"/>
    <w:rsid w:val="0070510C"/>
    <w:rsid w:val="007052FA"/>
    <w:rsid w:val="00705D1A"/>
    <w:rsid w:val="0070648D"/>
    <w:rsid w:val="007067C7"/>
    <w:rsid w:val="00706C4A"/>
    <w:rsid w:val="00707ED1"/>
    <w:rsid w:val="0071022C"/>
    <w:rsid w:val="00710710"/>
    <w:rsid w:val="00710917"/>
    <w:rsid w:val="00710C82"/>
    <w:rsid w:val="00711B8B"/>
    <w:rsid w:val="00711F00"/>
    <w:rsid w:val="00712AAD"/>
    <w:rsid w:val="00712E43"/>
    <w:rsid w:val="00713621"/>
    <w:rsid w:val="007138FB"/>
    <w:rsid w:val="00714527"/>
    <w:rsid w:val="00714D2F"/>
    <w:rsid w:val="00715DFE"/>
    <w:rsid w:val="00716189"/>
    <w:rsid w:val="007170B1"/>
    <w:rsid w:val="00717482"/>
    <w:rsid w:val="007211B3"/>
    <w:rsid w:val="00722A7C"/>
    <w:rsid w:val="0072307C"/>
    <w:rsid w:val="00724C49"/>
    <w:rsid w:val="007262AE"/>
    <w:rsid w:val="00726873"/>
    <w:rsid w:val="007269E9"/>
    <w:rsid w:val="00727704"/>
    <w:rsid w:val="00727801"/>
    <w:rsid w:val="0073021F"/>
    <w:rsid w:val="00730900"/>
    <w:rsid w:val="0073153C"/>
    <w:rsid w:val="007326E4"/>
    <w:rsid w:val="00732C08"/>
    <w:rsid w:val="00732C51"/>
    <w:rsid w:val="00732D9E"/>
    <w:rsid w:val="00734B18"/>
    <w:rsid w:val="007352C7"/>
    <w:rsid w:val="0073532A"/>
    <w:rsid w:val="007364E3"/>
    <w:rsid w:val="00737A21"/>
    <w:rsid w:val="00740056"/>
    <w:rsid w:val="00740070"/>
    <w:rsid w:val="00740B5F"/>
    <w:rsid w:val="00742421"/>
    <w:rsid w:val="007425A5"/>
    <w:rsid w:val="007428E2"/>
    <w:rsid w:val="00743DC4"/>
    <w:rsid w:val="00744408"/>
    <w:rsid w:val="00744592"/>
    <w:rsid w:val="00744741"/>
    <w:rsid w:val="00744EB7"/>
    <w:rsid w:val="007452D6"/>
    <w:rsid w:val="00745A26"/>
    <w:rsid w:val="00746750"/>
    <w:rsid w:val="00746F8B"/>
    <w:rsid w:val="007472C8"/>
    <w:rsid w:val="00747F73"/>
    <w:rsid w:val="0075043D"/>
    <w:rsid w:val="007507FC"/>
    <w:rsid w:val="00750F5F"/>
    <w:rsid w:val="007536B1"/>
    <w:rsid w:val="0075380B"/>
    <w:rsid w:val="00753E1E"/>
    <w:rsid w:val="007540A2"/>
    <w:rsid w:val="00754BBB"/>
    <w:rsid w:val="00754EB1"/>
    <w:rsid w:val="00755699"/>
    <w:rsid w:val="00760766"/>
    <w:rsid w:val="00760826"/>
    <w:rsid w:val="00760FB8"/>
    <w:rsid w:val="007618F8"/>
    <w:rsid w:val="00761C06"/>
    <w:rsid w:val="007628DD"/>
    <w:rsid w:val="00762A14"/>
    <w:rsid w:val="00762E2C"/>
    <w:rsid w:val="007636E7"/>
    <w:rsid w:val="00764014"/>
    <w:rsid w:val="007647A9"/>
    <w:rsid w:val="00764878"/>
    <w:rsid w:val="00764EFA"/>
    <w:rsid w:val="00764FEA"/>
    <w:rsid w:val="007650E0"/>
    <w:rsid w:val="007666D7"/>
    <w:rsid w:val="00766A42"/>
    <w:rsid w:val="00766C1D"/>
    <w:rsid w:val="00767D7A"/>
    <w:rsid w:val="0077022C"/>
    <w:rsid w:val="007712F4"/>
    <w:rsid w:val="00771339"/>
    <w:rsid w:val="0077157B"/>
    <w:rsid w:val="00771884"/>
    <w:rsid w:val="00772013"/>
    <w:rsid w:val="0077247C"/>
    <w:rsid w:val="0077488D"/>
    <w:rsid w:val="007749E4"/>
    <w:rsid w:val="00775523"/>
    <w:rsid w:val="00775AD0"/>
    <w:rsid w:val="00775C09"/>
    <w:rsid w:val="00776140"/>
    <w:rsid w:val="00776AB3"/>
    <w:rsid w:val="00776BF2"/>
    <w:rsid w:val="00777141"/>
    <w:rsid w:val="00780435"/>
    <w:rsid w:val="00781A2F"/>
    <w:rsid w:val="00781E55"/>
    <w:rsid w:val="00782E39"/>
    <w:rsid w:val="00783B85"/>
    <w:rsid w:val="0078444A"/>
    <w:rsid w:val="00784C5D"/>
    <w:rsid w:val="00784C8A"/>
    <w:rsid w:val="00786864"/>
    <w:rsid w:val="007904B2"/>
    <w:rsid w:val="00790ABD"/>
    <w:rsid w:val="00790C19"/>
    <w:rsid w:val="00790C75"/>
    <w:rsid w:val="00790F7E"/>
    <w:rsid w:val="0079304F"/>
    <w:rsid w:val="0079306D"/>
    <w:rsid w:val="00794149"/>
    <w:rsid w:val="00794507"/>
    <w:rsid w:val="00795910"/>
    <w:rsid w:val="00796351"/>
    <w:rsid w:val="007A05D4"/>
    <w:rsid w:val="007A1802"/>
    <w:rsid w:val="007A258A"/>
    <w:rsid w:val="007A2FF6"/>
    <w:rsid w:val="007A3236"/>
    <w:rsid w:val="007A4AE9"/>
    <w:rsid w:val="007A50CF"/>
    <w:rsid w:val="007A7202"/>
    <w:rsid w:val="007B03F4"/>
    <w:rsid w:val="007B0FA0"/>
    <w:rsid w:val="007B1315"/>
    <w:rsid w:val="007B3C81"/>
    <w:rsid w:val="007B3D59"/>
    <w:rsid w:val="007B3F86"/>
    <w:rsid w:val="007B4332"/>
    <w:rsid w:val="007B4AED"/>
    <w:rsid w:val="007B59EF"/>
    <w:rsid w:val="007B6E74"/>
    <w:rsid w:val="007C0AD4"/>
    <w:rsid w:val="007C0B88"/>
    <w:rsid w:val="007C12F2"/>
    <w:rsid w:val="007C131D"/>
    <w:rsid w:val="007C1436"/>
    <w:rsid w:val="007C1B59"/>
    <w:rsid w:val="007C1C98"/>
    <w:rsid w:val="007C291E"/>
    <w:rsid w:val="007C35ED"/>
    <w:rsid w:val="007C3970"/>
    <w:rsid w:val="007C3D09"/>
    <w:rsid w:val="007C4322"/>
    <w:rsid w:val="007C4ECD"/>
    <w:rsid w:val="007C51EA"/>
    <w:rsid w:val="007C5526"/>
    <w:rsid w:val="007C5B01"/>
    <w:rsid w:val="007C5E43"/>
    <w:rsid w:val="007C7023"/>
    <w:rsid w:val="007C7FC5"/>
    <w:rsid w:val="007D01FB"/>
    <w:rsid w:val="007D2327"/>
    <w:rsid w:val="007D2693"/>
    <w:rsid w:val="007D35C8"/>
    <w:rsid w:val="007D3AE6"/>
    <w:rsid w:val="007D3DE9"/>
    <w:rsid w:val="007D4E5D"/>
    <w:rsid w:val="007D5485"/>
    <w:rsid w:val="007D742C"/>
    <w:rsid w:val="007D7AA6"/>
    <w:rsid w:val="007E06B1"/>
    <w:rsid w:val="007E0FAA"/>
    <w:rsid w:val="007E1366"/>
    <w:rsid w:val="007E190C"/>
    <w:rsid w:val="007E1B29"/>
    <w:rsid w:val="007E1C9F"/>
    <w:rsid w:val="007E1DFF"/>
    <w:rsid w:val="007E22C7"/>
    <w:rsid w:val="007E235F"/>
    <w:rsid w:val="007E29C0"/>
    <w:rsid w:val="007E393D"/>
    <w:rsid w:val="007E3DAF"/>
    <w:rsid w:val="007E438B"/>
    <w:rsid w:val="007E47EE"/>
    <w:rsid w:val="007E504E"/>
    <w:rsid w:val="007E55F4"/>
    <w:rsid w:val="007E5754"/>
    <w:rsid w:val="007E5D56"/>
    <w:rsid w:val="007E5E45"/>
    <w:rsid w:val="007E62D9"/>
    <w:rsid w:val="007E636C"/>
    <w:rsid w:val="007E6796"/>
    <w:rsid w:val="007E6AAD"/>
    <w:rsid w:val="007E6D13"/>
    <w:rsid w:val="007E7AD2"/>
    <w:rsid w:val="007F14DC"/>
    <w:rsid w:val="007F1C01"/>
    <w:rsid w:val="007F1C2C"/>
    <w:rsid w:val="007F23CA"/>
    <w:rsid w:val="007F2463"/>
    <w:rsid w:val="007F2B6B"/>
    <w:rsid w:val="007F35BA"/>
    <w:rsid w:val="007F3D6A"/>
    <w:rsid w:val="007F40AB"/>
    <w:rsid w:val="007F4D00"/>
    <w:rsid w:val="007F50F5"/>
    <w:rsid w:val="007F52DE"/>
    <w:rsid w:val="007F5BE0"/>
    <w:rsid w:val="007F6163"/>
    <w:rsid w:val="007F6726"/>
    <w:rsid w:val="007F7156"/>
    <w:rsid w:val="007F74A9"/>
    <w:rsid w:val="007F78F9"/>
    <w:rsid w:val="008012A8"/>
    <w:rsid w:val="00801609"/>
    <w:rsid w:val="00802E2A"/>
    <w:rsid w:val="00803873"/>
    <w:rsid w:val="00803A24"/>
    <w:rsid w:val="00804851"/>
    <w:rsid w:val="00804AF1"/>
    <w:rsid w:val="00804DF2"/>
    <w:rsid w:val="0080500D"/>
    <w:rsid w:val="008053E0"/>
    <w:rsid w:val="0080624F"/>
    <w:rsid w:val="00806708"/>
    <w:rsid w:val="00806850"/>
    <w:rsid w:val="00806A54"/>
    <w:rsid w:val="00806D93"/>
    <w:rsid w:val="00807818"/>
    <w:rsid w:val="00811611"/>
    <w:rsid w:val="00812003"/>
    <w:rsid w:val="008127FA"/>
    <w:rsid w:val="00812987"/>
    <w:rsid w:val="00812FA8"/>
    <w:rsid w:val="008131A3"/>
    <w:rsid w:val="008139C0"/>
    <w:rsid w:val="00814E4D"/>
    <w:rsid w:val="008155CC"/>
    <w:rsid w:val="008158D6"/>
    <w:rsid w:val="00815993"/>
    <w:rsid w:val="0081643B"/>
    <w:rsid w:val="00816FCD"/>
    <w:rsid w:val="00817290"/>
    <w:rsid w:val="008179E2"/>
    <w:rsid w:val="00820316"/>
    <w:rsid w:val="008207BE"/>
    <w:rsid w:val="00821CF5"/>
    <w:rsid w:val="00821D75"/>
    <w:rsid w:val="008220D1"/>
    <w:rsid w:val="00823419"/>
    <w:rsid w:val="00823897"/>
    <w:rsid w:val="0082437C"/>
    <w:rsid w:val="00824B98"/>
    <w:rsid w:val="00825851"/>
    <w:rsid w:val="008261C7"/>
    <w:rsid w:val="0082654E"/>
    <w:rsid w:val="0082742B"/>
    <w:rsid w:val="008303E4"/>
    <w:rsid w:val="008308B1"/>
    <w:rsid w:val="00830A5B"/>
    <w:rsid w:val="00830B07"/>
    <w:rsid w:val="00830CB7"/>
    <w:rsid w:val="00830ED7"/>
    <w:rsid w:val="0083129E"/>
    <w:rsid w:val="008322C5"/>
    <w:rsid w:val="00833935"/>
    <w:rsid w:val="008339FA"/>
    <w:rsid w:val="0083470F"/>
    <w:rsid w:val="00835BF2"/>
    <w:rsid w:val="00835FBD"/>
    <w:rsid w:val="00836CC2"/>
    <w:rsid w:val="0083729C"/>
    <w:rsid w:val="00837F7F"/>
    <w:rsid w:val="00840365"/>
    <w:rsid w:val="008407F3"/>
    <w:rsid w:val="00840875"/>
    <w:rsid w:val="0084158B"/>
    <w:rsid w:val="00841D50"/>
    <w:rsid w:val="00841E45"/>
    <w:rsid w:val="00842353"/>
    <w:rsid w:val="00843BB4"/>
    <w:rsid w:val="00843DDC"/>
    <w:rsid w:val="0084456B"/>
    <w:rsid w:val="008446BF"/>
    <w:rsid w:val="00844F2E"/>
    <w:rsid w:val="00845120"/>
    <w:rsid w:val="00845446"/>
    <w:rsid w:val="0084546F"/>
    <w:rsid w:val="008455B8"/>
    <w:rsid w:val="00845610"/>
    <w:rsid w:val="00845934"/>
    <w:rsid w:val="008459AE"/>
    <w:rsid w:val="008475BD"/>
    <w:rsid w:val="00847B9D"/>
    <w:rsid w:val="00847C95"/>
    <w:rsid w:val="0085007E"/>
    <w:rsid w:val="008506D7"/>
    <w:rsid w:val="00850C53"/>
    <w:rsid w:val="00850D9E"/>
    <w:rsid w:val="008513C1"/>
    <w:rsid w:val="008524C8"/>
    <w:rsid w:val="00852537"/>
    <w:rsid w:val="00852564"/>
    <w:rsid w:val="008525B5"/>
    <w:rsid w:val="00852762"/>
    <w:rsid w:val="0085377C"/>
    <w:rsid w:val="0085405D"/>
    <w:rsid w:val="008541B2"/>
    <w:rsid w:val="0085462C"/>
    <w:rsid w:val="008568C8"/>
    <w:rsid w:val="00856C52"/>
    <w:rsid w:val="0085782E"/>
    <w:rsid w:val="00857A64"/>
    <w:rsid w:val="00860D2B"/>
    <w:rsid w:val="008614F7"/>
    <w:rsid w:val="0086159C"/>
    <w:rsid w:val="00861B4F"/>
    <w:rsid w:val="00861C5A"/>
    <w:rsid w:val="00862232"/>
    <w:rsid w:val="0086329F"/>
    <w:rsid w:val="0086388E"/>
    <w:rsid w:val="00865F14"/>
    <w:rsid w:val="008664A2"/>
    <w:rsid w:val="00866996"/>
    <w:rsid w:val="00867296"/>
    <w:rsid w:val="00867D8C"/>
    <w:rsid w:val="00871987"/>
    <w:rsid w:val="00871F11"/>
    <w:rsid w:val="00872348"/>
    <w:rsid w:val="008728EA"/>
    <w:rsid w:val="00872EFA"/>
    <w:rsid w:val="0087306C"/>
    <w:rsid w:val="00873CB0"/>
    <w:rsid w:val="00875509"/>
    <w:rsid w:val="00875759"/>
    <w:rsid w:val="008758CA"/>
    <w:rsid w:val="00875A11"/>
    <w:rsid w:val="00875BD9"/>
    <w:rsid w:val="00875FCD"/>
    <w:rsid w:val="008762D1"/>
    <w:rsid w:val="008764C6"/>
    <w:rsid w:val="00876550"/>
    <w:rsid w:val="0087709C"/>
    <w:rsid w:val="008801D7"/>
    <w:rsid w:val="00881276"/>
    <w:rsid w:val="00881687"/>
    <w:rsid w:val="008822EA"/>
    <w:rsid w:val="008823DF"/>
    <w:rsid w:val="008830FC"/>
    <w:rsid w:val="0088328C"/>
    <w:rsid w:val="00883647"/>
    <w:rsid w:val="00883B73"/>
    <w:rsid w:val="00884EB9"/>
    <w:rsid w:val="008857D1"/>
    <w:rsid w:val="008860EC"/>
    <w:rsid w:val="00887B21"/>
    <w:rsid w:val="00890C8D"/>
    <w:rsid w:val="00891220"/>
    <w:rsid w:val="00891BCD"/>
    <w:rsid w:val="00891E9D"/>
    <w:rsid w:val="00891F4C"/>
    <w:rsid w:val="00892B5A"/>
    <w:rsid w:val="00893053"/>
    <w:rsid w:val="0089341D"/>
    <w:rsid w:val="00893A83"/>
    <w:rsid w:val="00895163"/>
    <w:rsid w:val="008953C4"/>
    <w:rsid w:val="008958D0"/>
    <w:rsid w:val="0089598A"/>
    <w:rsid w:val="00896283"/>
    <w:rsid w:val="00896306"/>
    <w:rsid w:val="00896BDE"/>
    <w:rsid w:val="0089732F"/>
    <w:rsid w:val="00897DE8"/>
    <w:rsid w:val="008A1C62"/>
    <w:rsid w:val="008A2B5D"/>
    <w:rsid w:val="008A2E10"/>
    <w:rsid w:val="008A341B"/>
    <w:rsid w:val="008A3F27"/>
    <w:rsid w:val="008A4C1F"/>
    <w:rsid w:val="008A4DF8"/>
    <w:rsid w:val="008A5B49"/>
    <w:rsid w:val="008A5C7E"/>
    <w:rsid w:val="008A62C2"/>
    <w:rsid w:val="008A6A22"/>
    <w:rsid w:val="008A6EBD"/>
    <w:rsid w:val="008A7CAA"/>
    <w:rsid w:val="008B0194"/>
    <w:rsid w:val="008B0DF7"/>
    <w:rsid w:val="008B1113"/>
    <w:rsid w:val="008B11CD"/>
    <w:rsid w:val="008B2477"/>
    <w:rsid w:val="008B24D2"/>
    <w:rsid w:val="008B258E"/>
    <w:rsid w:val="008B2A29"/>
    <w:rsid w:val="008B2C0F"/>
    <w:rsid w:val="008B3CFE"/>
    <w:rsid w:val="008B3E4D"/>
    <w:rsid w:val="008B4BA2"/>
    <w:rsid w:val="008B609E"/>
    <w:rsid w:val="008B61F4"/>
    <w:rsid w:val="008B6C2E"/>
    <w:rsid w:val="008B6EF5"/>
    <w:rsid w:val="008B7900"/>
    <w:rsid w:val="008C0A36"/>
    <w:rsid w:val="008C104B"/>
    <w:rsid w:val="008C1B4B"/>
    <w:rsid w:val="008C1D12"/>
    <w:rsid w:val="008C2565"/>
    <w:rsid w:val="008C2A8C"/>
    <w:rsid w:val="008C2D36"/>
    <w:rsid w:val="008C2F7F"/>
    <w:rsid w:val="008C4491"/>
    <w:rsid w:val="008C5007"/>
    <w:rsid w:val="008C5368"/>
    <w:rsid w:val="008C55A1"/>
    <w:rsid w:val="008C6429"/>
    <w:rsid w:val="008C6DAE"/>
    <w:rsid w:val="008C71E9"/>
    <w:rsid w:val="008C7685"/>
    <w:rsid w:val="008C7B47"/>
    <w:rsid w:val="008D0533"/>
    <w:rsid w:val="008D13CE"/>
    <w:rsid w:val="008D1689"/>
    <w:rsid w:val="008D1977"/>
    <w:rsid w:val="008D3293"/>
    <w:rsid w:val="008D3549"/>
    <w:rsid w:val="008D3657"/>
    <w:rsid w:val="008D3B6E"/>
    <w:rsid w:val="008D44A9"/>
    <w:rsid w:val="008D466C"/>
    <w:rsid w:val="008D5BFD"/>
    <w:rsid w:val="008D603D"/>
    <w:rsid w:val="008D651B"/>
    <w:rsid w:val="008D68D7"/>
    <w:rsid w:val="008E0A6D"/>
    <w:rsid w:val="008E118B"/>
    <w:rsid w:val="008E260A"/>
    <w:rsid w:val="008E2E8B"/>
    <w:rsid w:val="008E32CC"/>
    <w:rsid w:val="008E38BB"/>
    <w:rsid w:val="008E4123"/>
    <w:rsid w:val="008E5B57"/>
    <w:rsid w:val="008E65DC"/>
    <w:rsid w:val="008E7FC4"/>
    <w:rsid w:val="008F07EE"/>
    <w:rsid w:val="008F0E6B"/>
    <w:rsid w:val="008F272B"/>
    <w:rsid w:val="008F2A12"/>
    <w:rsid w:val="008F2CA8"/>
    <w:rsid w:val="008F2FB5"/>
    <w:rsid w:val="008F33A1"/>
    <w:rsid w:val="008F3B32"/>
    <w:rsid w:val="008F40AC"/>
    <w:rsid w:val="008F516F"/>
    <w:rsid w:val="008F662F"/>
    <w:rsid w:val="008F7348"/>
    <w:rsid w:val="008F777A"/>
    <w:rsid w:val="008F7CA3"/>
    <w:rsid w:val="008F7FB9"/>
    <w:rsid w:val="00900346"/>
    <w:rsid w:val="00900659"/>
    <w:rsid w:val="00900F57"/>
    <w:rsid w:val="0090179F"/>
    <w:rsid w:val="00901C94"/>
    <w:rsid w:val="0090424A"/>
    <w:rsid w:val="00905B3A"/>
    <w:rsid w:val="00905E2E"/>
    <w:rsid w:val="009061F0"/>
    <w:rsid w:val="00906779"/>
    <w:rsid w:val="00906833"/>
    <w:rsid w:val="00906EEC"/>
    <w:rsid w:val="00907FF9"/>
    <w:rsid w:val="009108A4"/>
    <w:rsid w:val="00910CD7"/>
    <w:rsid w:val="00910FB2"/>
    <w:rsid w:val="00911299"/>
    <w:rsid w:val="00911A65"/>
    <w:rsid w:val="00911BBA"/>
    <w:rsid w:val="00911DF5"/>
    <w:rsid w:val="00912749"/>
    <w:rsid w:val="00913AFE"/>
    <w:rsid w:val="00914052"/>
    <w:rsid w:val="00916256"/>
    <w:rsid w:val="009172EE"/>
    <w:rsid w:val="009179D1"/>
    <w:rsid w:val="00920B69"/>
    <w:rsid w:val="00921C0B"/>
    <w:rsid w:val="009231EF"/>
    <w:rsid w:val="009234C6"/>
    <w:rsid w:val="00924799"/>
    <w:rsid w:val="00924E6F"/>
    <w:rsid w:val="00924EEF"/>
    <w:rsid w:val="009252F8"/>
    <w:rsid w:val="009255E0"/>
    <w:rsid w:val="00925CF7"/>
    <w:rsid w:val="0092656B"/>
    <w:rsid w:val="00927ED4"/>
    <w:rsid w:val="009305B7"/>
    <w:rsid w:val="0093133A"/>
    <w:rsid w:val="00931880"/>
    <w:rsid w:val="00931A4A"/>
    <w:rsid w:val="00932CD5"/>
    <w:rsid w:val="00932D9E"/>
    <w:rsid w:val="009331DF"/>
    <w:rsid w:val="009331E3"/>
    <w:rsid w:val="00933C35"/>
    <w:rsid w:val="00934B8F"/>
    <w:rsid w:val="00934BB7"/>
    <w:rsid w:val="00934D46"/>
    <w:rsid w:val="00935457"/>
    <w:rsid w:val="009362DB"/>
    <w:rsid w:val="00937118"/>
    <w:rsid w:val="00937DBC"/>
    <w:rsid w:val="00941881"/>
    <w:rsid w:val="00942BF1"/>
    <w:rsid w:val="009438DE"/>
    <w:rsid w:val="0094404C"/>
    <w:rsid w:val="009445EF"/>
    <w:rsid w:val="009453F3"/>
    <w:rsid w:val="009455EA"/>
    <w:rsid w:val="00945946"/>
    <w:rsid w:val="00945B2E"/>
    <w:rsid w:val="009466DE"/>
    <w:rsid w:val="00946736"/>
    <w:rsid w:val="00950472"/>
    <w:rsid w:val="00950C48"/>
    <w:rsid w:val="00950D12"/>
    <w:rsid w:val="00951319"/>
    <w:rsid w:val="0095196B"/>
    <w:rsid w:val="0095226A"/>
    <w:rsid w:val="00952CC6"/>
    <w:rsid w:val="00954FC2"/>
    <w:rsid w:val="009554D3"/>
    <w:rsid w:val="00955C75"/>
    <w:rsid w:val="009607D0"/>
    <w:rsid w:val="00960B0F"/>
    <w:rsid w:val="00961298"/>
    <w:rsid w:val="00961D9D"/>
    <w:rsid w:val="00962AC3"/>
    <w:rsid w:val="0096447E"/>
    <w:rsid w:val="00964C66"/>
    <w:rsid w:val="00965CC1"/>
    <w:rsid w:val="00966D8B"/>
    <w:rsid w:val="009702B1"/>
    <w:rsid w:val="00971B2B"/>
    <w:rsid w:val="00971CDB"/>
    <w:rsid w:val="00973858"/>
    <w:rsid w:val="00973C57"/>
    <w:rsid w:val="00973C79"/>
    <w:rsid w:val="00974062"/>
    <w:rsid w:val="0097425A"/>
    <w:rsid w:val="00974289"/>
    <w:rsid w:val="009743CF"/>
    <w:rsid w:val="009759FF"/>
    <w:rsid w:val="00975B1F"/>
    <w:rsid w:val="009760D7"/>
    <w:rsid w:val="00977139"/>
    <w:rsid w:val="009779FA"/>
    <w:rsid w:val="0098046D"/>
    <w:rsid w:val="00980862"/>
    <w:rsid w:val="00980918"/>
    <w:rsid w:val="00980E85"/>
    <w:rsid w:val="00980F91"/>
    <w:rsid w:val="00982107"/>
    <w:rsid w:val="00982980"/>
    <w:rsid w:val="00982AE1"/>
    <w:rsid w:val="00983D90"/>
    <w:rsid w:val="009842FE"/>
    <w:rsid w:val="009851A1"/>
    <w:rsid w:val="00986C77"/>
    <w:rsid w:val="00986D6F"/>
    <w:rsid w:val="00987A2E"/>
    <w:rsid w:val="009902E3"/>
    <w:rsid w:val="009907DD"/>
    <w:rsid w:val="009908AD"/>
    <w:rsid w:val="00990CEF"/>
    <w:rsid w:val="00991718"/>
    <w:rsid w:val="00992886"/>
    <w:rsid w:val="009929AF"/>
    <w:rsid w:val="00992F7C"/>
    <w:rsid w:val="0099320D"/>
    <w:rsid w:val="0099421E"/>
    <w:rsid w:val="009945A4"/>
    <w:rsid w:val="0099505B"/>
    <w:rsid w:val="00995563"/>
    <w:rsid w:val="009964A7"/>
    <w:rsid w:val="0099721D"/>
    <w:rsid w:val="009A0950"/>
    <w:rsid w:val="009A1118"/>
    <w:rsid w:val="009A113C"/>
    <w:rsid w:val="009A16CA"/>
    <w:rsid w:val="009A172E"/>
    <w:rsid w:val="009A176C"/>
    <w:rsid w:val="009A1A51"/>
    <w:rsid w:val="009A1F30"/>
    <w:rsid w:val="009A2C9E"/>
    <w:rsid w:val="009A3659"/>
    <w:rsid w:val="009A3C06"/>
    <w:rsid w:val="009A4B42"/>
    <w:rsid w:val="009A4C49"/>
    <w:rsid w:val="009A5007"/>
    <w:rsid w:val="009A517D"/>
    <w:rsid w:val="009A53A4"/>
    <w:rsid w:val="009A5AA4"/>
    <w:rsid w:val="009A604F"/>
    <w:rsid w:val="009A61E2"/>
    <w:rsid w:val="009A6A4E"/>
    <w:rsid w:val="009A6AAE"/>
    <w:rsid w:val="009A7BD9"/>
    <w:rsid w:val="009B1AE4"/>
    <w:rsid w:val="009B2246"/>
    <w:rsid w:val="009B2713"/>
    <w:rsid w:val="009B33A8"/>
    <w:rsid w:val="009B3B27"/>
    <w:rsid w:val="009B3B2C"/>
    <w:rsid w:val="009B3D6A"/>
    <w:rsid w:val="009B442E"/>
    <w:rsid w:val="009B4946"/>
    <w:rsid w:val="009B5987"/>
    <w:rsid w:val="009B5AE3"/>
    <w:rsid w:val="009B65C4"/>
    <w:rsid w:val="009B6C67"/>
    <w:rsid w:val="009B72EA"/>
    <w:rsid w:val="009B7399"/>
    <w:rsid w:val="009B748D"/>
    <w:rsid w:val="009C0580"/>
    <w:rsid w:val="009C1BF8"/>
    <w:rsid w:val="009C1EC9"/>
    <w:rsid w:val="009C234C"/>
    <w:rsid w:val="009C29D8"/>
    <w:rsid w:val="009C33D5"/>
    <w:rsid w:val="009C33DA"/>
    <w:rsid w:val="009C3684"/>
    <w:rsid w:val="009C3B80"/>
    <w:rsid w:val="009C4F1C"/>
    <w:rsid w:val="009C5A5D"/>
    <w:rsid w:val="009C5CF9"/>
    <w:rsid w:val="009C674C"/>
    <w:rsid w:val="009C6C69"/>
    <w:rsid w:val="009C7D14"/>
    <w:rsid w:val="009D0655"/>
    <w:rsid w:val="009D0E3B"/>
    <w:rsid w:val="009D121A"/>
    <w:rsid w:val="009D1699"/>
    <w:rsid w:val="009D17AC"/>
    <w:rsid w:val="009D1DED"/>
    <w:rsid w:val="009D20F6"/>
    <w:rsid w:val="009D230B"/>
    <w:rsid w:val="009D2CAB"/>
    <w:rsid w:val="009D3119"/>
    <w:rsid w:val="009D3185"/>
    <w:rsid w:val="009D3CBC"/>
    <w:rsid w:val="009D52D6"/>
    <w:rsid w:val="009D532A"/>
    <w:rsid w:val="009D5351"/>
    <w:rsid w:val="009D559A"/>
    <w:rsid w:val="009D6511"/>
    <w:rsid w:val="009D659E"/>
    <w:rsid w:val="009D6CA0"/>
    <w:rsid w:val="009D6E3E"/>
    <w:rsid w:val="009D73A9"/>
    <w:rsid w:val="009D7C22"/>
    <w:rsid w:val="009E106A"/>
    <w:rsid w:val="009E124A"/>
    <w:rsid w:val="009E1C7D"/>
    <w:rsid w:val="009E1ECB"/>
    <w:rsid w:val="009E2143"/>
    <w:rsid w:val="009E24B6"/>
    <w:rsid w:val="009E2771"/>
    <w:rsid w:val="009E284B"/>
    <w:rsid w:val="009E29FC"/>
    <w:rsid w:val="009E2B53"/>
    <w:rsid w:val="009E3C8B"/>
    <w:rsid w:val="009E46D6"/>
    <w:rsid w:val="009E539D"/>
    <w:rsid w:val="009F0381"/>
    <w:rsid w:val="009F0C3C"/>
    <w:rsid w:val="009F1232"/>
    <w:rsid w:val="009F1256"/>
    <w:rsid w:val="009F2283"/>
    <w:rsid w:val="009F269A"/>
    <w:rsid w:val="009F31C1"/>
    <w:rsid w:val="009F3257"/>
    <w:rsid w:val="009F37CD"/>
    <w:rsid w:val="009F3A40"/>
    <w:rsid w:val="009F52A0"/>
    <w:rsid w:val="009F5C2F"/>
    <w:rsid w:val="009F7488"/>
    <w:rsid w:val="009F770A"/>
    <w:rsid w:val="009F7F50"/>
    <w:rsid w:val="00A0131C"/>
    <w:rsid w:val="00A01742"/>
    <w:rsid w:val="00A02574"/>
    <w:rsid w:val="00A0266B"/>
    <w:rsid w:val="00A02B0E"/>
    <w:rsid w:val="00A03030"/>
    <w:rsid w:val="00A05DA1"/>
    <w:rsid w:val="00A07746"/>
    <w:rsid w:val="00A07844"/>
    <w:rsid w:val="00A10202"/>
    <w:rsid w:val="00A124D6"/>
    <w:rsid w:val="00A126B9"/>
    <w:rsid w:val="00A12DC1"/>
    <w:rsid w:val="00A14655"/>
    <w:rsid w:val="00A149B5"/>
    <w:rsid w:val="00A14AFA"/>
    <w:rsid w:val="00A14EE6"/>
    <w:rsid w:val="00A14F9D"/>
    <w:rsid w:val="00A15613"/>
    <w:rsid w:val="00A15767"/>
    <w:rsid w:val="00A15931"/>
    <w:rsid w:val="00A160D7"/>
    <w:rsid w:val="00A1648E"/>
    <w:rsid w:val="00A16D4B"/>
    <w:rsid w:val="00A176AB"/>
    <w:rsid w:val="00A17FEB"/>
    <w:rsid w:val="00A2094F"/>
    <w:rsid w:val="00A20D16"/>
    <w:rsid w:val="00A22050"/>
    <w:rsid w:val="00A224B7"/>
    <w:rsid w:val="00A236C7"/>
    <w:rsid w:val="00A23A0D"/>
    <w:rsid w:val="00A23B2A"/>
    <w:rsid w:val="00A247BC"/>
    <w:rsid w:val="00A247C9"/>
    <w:rsid w:val="00A265CF"/>
    <w:rsid w:val="00A269BC"/>
    <w:rsid w:val="00A26E0F"/>
    <w:rsid w:val="00A27F3C"/>
    <w:rsid w:val="00A306D8"/>
    <w:rsid w:val="00A30DA1"/>
    <w:rsid w:val="00A3116A"/>
    <w:rsid w:val="00A3169C"/>
    <w:rsid w:val="00A31C48"/>
    <w:rsid w:val="00A32299"/>
    <w:rsid w:val="00A3229E"/>
    <w:rsid w:val="00A34271"/>
    <w:rsid w:val="00A34668"/>
    <w:rsid w:val="00A348B6"/>
    <w:rsid w:val="00A353BB"/>
    <w:rsid w:val="00A37949"/>
    <w:rsid w:val="00A37B75"/>
    <w:rsid w:val="00A37C57"/>
    <w:rsid w:val="00A40287"/>
    <w:rsid w:val="00A4046D"/>
    <w:rsid w:val="00A40511"/>
    <w:rsid w:val="00A40548"/>
    <w:rsid w:val="00A40789"/>
    <w:rsid w:val="00A414D0"/>
    <w:rsid w:val="00A4174E"/>
    <w:rsid w:val="00A41850"/>
    <w:rsid w:val="00A41858"/>
    <w:rsid w:val="00A41DFC"/>
    <w:rsid w:val="00A441C7"/>
    <w:rsid w:val="00A443A2"/>
    <w:rsid w:val="00A44E4C"/>
    <w:rsid w:val="00A44ED8"/>
    <w:rsid w:val="00A45542"/>
    <w:rsid w:val="00A458E3"/>
    <w:rsid w:val="00A45DE8"/>
    <w:rsid w:val="00A4644C"/>
    <w:rsid w:val="00A46A64"/>
    <w:rsid w:val="00A46D6B"/>
    <w:rsid w:val="00A47A94"/>
    <w:rsid w:val="00A47BD3"/>
    <w:rsid w:val="00A47C9D"/>
    <w:rsid w:val="00A5233B"/>
    <w:rsid w:val="00A528C3"/>
    <w:rsid w:val="00A53020"/>
    <w:rsid w:val="00A53326"/>
    <w:rsid w:val="00A54106"/>
    <w:rsid w:val="00A54C47"/>
    <w:rsid w:val="00A55ABB"/>
    <w:rsid w:val="00A561CE"/>
    <w:rsid w:val="00A56418"/>
    <w:rsid w:val="00A56A4D"/>
    <w:rsid w:val="00A56C00"/>
    <w:rsid w:val="00A57D3D"/>
    <w:rsid w:val="00A6048E"/>
    <w:rsid w:val="00A6077F"/>
    <w:rsid w:val="00A60B30"/>
    <w:rsid w:val="00A61344"/>
    <w:rsid w:val="00A61438"/>
    <w:rsid w:val="00A61991"/>
    <w:rsid w:val="00A62312"/>
    <w:rsid w:val="00A6326C"/>
    <w:rsid w:val="00A64501"/>
    <w:rsid w:val="00A646D4"/>
    <w:rsid w:val="00A64F8D"/>
    <w:rsid w:val="00A66D36"/>
    <w:rsid w:val="00A67340"/>
    <w:rsid w:val="00A67548"/>
    <w:rsid w:val="00A678EE"/>
    <w:rsid w:val="00A70733"/>
    <w:rsid w:val="00A70CEE"/>
    <w:rsid w:val="00A70E57"/>
    <w:rsid w:val="00A71083"/>
    <w:rsid w:val="00A71203"/>
    <w:rsid w:val="00A71AEB"/>
    <w:rsid w:val="00A71C2C"/>
    <w:rsid w:val="00A71F2C"/>
    <w:rsid w:val="00A7269C"/>
    <w:rsid w:val="00A7488C"/>
    <w:rsid w:val="00A74E6A"/>
    <w:rsid w:val="00A75B9A"/>
    <w:rsid w:val="00A75DA0"/>
    <w:rsid w:val="00A762D6"/>
    <w:rsid w:val="00A776DA"/>
    <w:rsid w:val="00A77C60"/>
    <w:rsid w:val="00A806E9"/>
    <w:rsid w:val="00A80BC4"/>
    <w:rsid w:val="00A81917"/>
    <w:rsid w:val="00A81959"/>
    <w:rsid w:val="00A81FF6"/>
    <w:rsid w:val="00A82058"/>
    <w:rsid w:val="00A82F0F"/>
    <w:rsid w:val="00A833D0"/>
    <w:rsid w:val="00A8352E"/>
    <w:rsid w:val="00A84CD2"/>
    <w:rsid w:val="00A8527F"/>
    <w:rsid w:val="00A85CFC"/>
    <w:rsid w:val="00A85E95"/>
    <w:rsid w:val="00A90213"/>
    <w:rsid w:val="00A91384"/>
    <w:rsid w:val="00A914A8"/>
    <w:rsid w:val="00A92AD0"/>
    <w:rsid w:val="00A931FF"/>
    <w:rsid w:val="00A941FE"/>
    <w:rsid w:val="00A94D2B"/>
    <w:rsid w:val="00A95D08"/>
    <w:rsid w:val="00A96BE2"/>
    <w:rsid w:val="00A970CF"/>
    <w:rsid w:val="00AA0D5E"/>
    <w:rsid w:val="00AA13CD"/>
    <w:rsid w:val="00AA1BB8"/>
    <w:rsid w:val="00AA29F5"/>
    <w:rsid w:val="00AA2DBC"/>
    <w:rsid w:val="00AA32EC"/>
    <w:rsid w:val="00AA3DC4"/>
    <w:rsid w:val="00AA57B9"/>
    <w:rsid w:val="00AA6317"/>
    <w:rsid w:val="00AA6818"/>
    <w:rsid w:val="00AA6B2B"/>
    <w:rsid w:val="00AA7CE5"/>
    <w:rsid w:val="00AA7DF5"/>
    <w:rsid w:val="00AB03C2"/>
    <w:rsid w:val="00AB0C2C"/>
    <w:rsid w:val="00AB1389"/>
    <w:rsid w:val="00AB1A8B"/>
    <w:rsid w:val="00AB23D7"/>
    <w:rsid w:val="00AB250E"/>
    <w:rsid w:val="00AB2722"/>
    <w:rsid w:val="00AB37D6"/>
    <w:rsid w:val="00AB413F"/>
    <w:rsid w:val="00AB4440"/>
    <w:rsid w:val="00AB5D7F"/>
    <w:rsid w:val="00AB6C91"/>
    <w:rsid w:val="00AB6E64"/>
    <w:rsid w:val="00AB7596"/>
    <w:rsid w:val="00AB7EF8"/>
    <w:rsid w:val="00AC01BC"/>
    <w:rsid w:val="00AC113D"/>
    <w:rsid w:val="00AC184A"/>
    <w:rsid w:val="00AC253A"/>
    <w:rsid w:val="00AC26E3"/>
    <w:rsid w:val="00AC3B9E"/>
    <w:rsid w:val="00AC455D"/>
    <w:rsid w:val="00AC45F9"/>
    <w:rsid w:val="00AC4D6B"/>
    <w:rsid w:val="00AC6301"/>
    <w:rsid w:val="00AD4A5C"/>
    <w:rsid w:val="00AD509A"/>
    <w:rsid w:val="00AD5C2A"/>
    <w:rsid w:val="00AD5E7C"/>
    <w:rsid w:val="00AD66DB"/>
    <w:rsid w:val="00AE0C74"/>
    <w:rsid w:val="00AE1799"/>
    <w:rsid w:val="00AE1EFF"/>
    <w:rsid w:val="00AE3503"/>
    <w:rsid w:val="00AE3B04"/>
    <w:rsid w:val="00AE3D70"/>
    <w:rsid w:val="00AE4414"/>
    <w:rsid w:val="00AE457C"/>
    <w:rsid w:val="00AE496F"/>
    <w:rsid w:val="00AE4BCB"/>
    <w:rsid w:val="00AE4C41"/>
    <w:rsid w:val="00AE6759"/>
    <w:rsid w:val="00AE6CCD"/>
    <w:rsid w:val="00AE71FB"/>
    <w:rsid w:val="00AE7348"/>
    <w:rsid w:val="00AE761F"/>
    <w:rsid w:val="00AF0289"/>
    <w:rsid w:val="00AF0A15"/>
    <w:rsid w:val="00AF0A32"/>
    <w:rsid w:val="00AF0D18"/>
    <w:rsid w:val="00AF11A4"/>
    <w:rsid w:val="00AF23A9"/>
    <w:rsid w:val="00AF2A12"/>
    <w:rsid w:val="00AF3F7A"/>
    <w:rsid w:val="00AF408B"/>
    <w:rsid w:val="00AF47B8"/>
    <w:rsid w:val="00AF5121"/>
    <w:rsid w:val="00AF5A51"/>
    <w:rsid w:val="00AF5BEB"/>
    <w:rsid w:val="00AF5CE2"/>
    <w:rsid w:val="00AF5D31"/>
    <w:rsid w:val="00AF5F23"/>
    <w:rsid w:val="00AF6851"/>
    <w:rsid w:val="00AF773C"/>
    <w:rsid w:val="00B008DE"/>
    <w:rsid w:val="00B014DB"/>
    <w:rsid w:val="00B01960"/>
    <w:rsid w:val="00B039A1"/>
    <w:rsid w:val="00B03AB8"/>
    <w:rsid w:val="00B03BBE"/>
    <w:rsid w:val="00B04415"/>
    <w:rsid w:val="00B0505A"/>
    <w:rsid w:val="00B06243"/>
    <w:rsid w:val="00B07E07"/>
    <w:rsid w:val="00B10549"/>
    <w:rsid w:val="00B110F0"/>
    <w:rsid w:val="00B11B83"/>
    <w:rsid w:val="00B11F13"/>
    <w:rsid w:val="00B1231D"/>
    <w:rsid w:val="00B126D5"/>
    <w:rsid w:val="00B138ED"/>
    <w:rsid w:val="00B1397C"/>
    <w:rsid w:val="00B13FC4"/>
    <w:rsid w:val="00B14940"/>
    <w:rsid w:val="00B151D1"/>
    <w:rsid w:val="00B15987"/>
    <w:rsid w:val="00B15B4D"/>
    <w:rsid w:val="00B16655"/>
    <w:rsid w:val="00B168A4"/>
    <w:rsid w:val="00B16A8D"/>
    <w:rsid w:val="00B17201"/>
    <w:rsid w:val="00B17296"/>
    <w:rsid w:val="00B20056"/>
    <w:rsid w:val="00B22492"/>
    <w:rsid w:val="00B23334"/>
    <w:rsid w:val="00B24C44"/>
    <w:rsid w:val="00B25A0D"/>
    <w:rsid w:val="00B25FB8"/>
    <w:rsid w:val="00B25FC2"/>
    <w:rsid w:val="00B27774"/>
    <w:rsid w:val="00B278D9"/>
    <w:rsid w:val="00B300FA"/>
    <w:rsid w:val="00B31686"/>
    <w:rsid w:val="00B31CA4"/>
    <w:rsid w:val="00B3278C"/>
    <w:rsid w:val="00B328C1"/>
    <w:rsid w:val="00B32A45"/>
    <w:rsid w:val="00B32C07"/>
    <w:rsid w:val="00B3329F"/>
    <w:rsid w:val="00B333EB"/>
    <w:rsid w:val="00B33421"/>
    <w:rsid w:val="00B3360E"/>
    <w:rsid w:val="00B338B8"/>
    <w:rsid w:val="00B339C1"/>
    <w:rsid w:val="00B33CC5"/>
    <w:rsid w:val="00B345D0"/>
    <w:rsid w:val="00B349EF"/>
    <w:rsid w:val="00B34A16"/>
    <w:rsid w:val="00B357AC"/>
    <w:rsid w:val="00B3668B"/>
    <w:rsid w:val="00B36784"/>
    <w:rsid w:val="00B372AB"/>
    <w:rsid w:val="00B378A6"/>
    <w:rsid w:val="00B40B33"/>
    <w:rsid w:val="00B40C44"/>
    <w:rsid w:val="00B40D38"/>
    <w:rsid w:val="00B41A6A"/>
    <w:rsid w:val="00B42239"/>
    <w:rsid w:val="00B4319C"/>
    <w:rsid w:val="00B43382"/>
    <w:rsid w:val="00B437F3"/>
    <w:rsid w:val="00B44E88"/>
    <w:rsid w:val="00B4517E"/>
    <w:rsid w:val="00B4556E"/>
    <w:rsid w:val="00B455C7"/>
    <w:rsid w:val="00B45998"/>
    <w:rsid w:val="00B464AF"/>
    <w:rsid w:val="00B4653C"/>
    <w:rsid w:val="00B46BF5"/>
    <w:rsid w:val="00B46E2C"/>
    <w:rsid w:val="00B47531"/>
    <w:rsid w:val="00B47B71"/>
    <w:rsid w:val="00B50A4D"/>
    <w:rsid w:val="00B5136A"/>
    <w:rsid w:val="00B525EE"/>
    <w:rsid w:val="00B52C32"/>
    <w:rsid w:val="00B53CAD"/>
    <w:rsid w:val="00B55A14"/>
    <w:rsid w:val="00B5698D"/>
    <w:rsid w:val="00B57B6D"/>
    <w:rsid w:val="00B6109E"/>
    <w:rsid w:val="00B610BE"/>
    <w:rsid w:val="00B610C5"/>
    <w:rsid w:val="00B6166B"/>
    <w:rsid w:val="00B61DF7"/>
    <w:rsid w:val="00B62308"/>
    <w:rsid w:val="00B62371"/>
    <w:rsid w:val="00B62ABA"/>
    <w:rsid w:val="00B63F34"/>
    <w:rsid w:val="00B65118"/>
    <w:rsid w:val="00B652A1"/>
    <w:rsid w:val="00B659C8"/>
    <w:rsid w:val="00B65AD8"/>
    <w:rsid w:val="00B6607B"/>
    <w:rsid w:val="00B67860"/>
    <w:rsid w:val="00B70348"/>
    <w:rsid w:val="00B710B9"/>
    <w:rsid w:val="00B717FC"/>
    <w:rsid w:val="00B719FC"/>
    <w:rsid w:val="00B71B9C"/>
    <w:rsid w:val="00B736AF"/>
    <w:rsid w:val="00B7494F"/>
    <w:rsid w:val="00B75797"/>
    <w:rsid w:val="00B7582B"/>
    <w:rsid w:val="00B75E68"/>
    <w:rsid w:val="00B75F5B"/>
    <w:rsid w:val="00B7766E"/>
    <w:rsid w:val="00B77902"/>
    <w:rsid w:val="00B818B3"/>
    <w:rsid w:val="00B81E2D"/>
    <w:rsid w:val="00B830CA"/>
    <w:rsid w:val="00B8312B"/>
    <w:rsid w:val="00B863D2"/>
    <w:rsid w:val="00B90F2E"/>
    <w:rsid w:val="00B9114E"/>
    <w:rsid w:val="00B921B6"/>
    <w:rsid w:val="00B92B84"/>
    <w:rsid w:val="00B92C9E"/>
    <w:rsid w:val="00B92DB7"/>
    <w:rsid w:val="00B933F0"/>
    <w:rsid w:val="00B93A6F"/>
    <w:rsid w:val="00B94125"/>
    <w:rsid w:val="00B9507C"/>
    <w:rsid w:val="00B9533E"/>
    <w:rsid w:val="00B96D96"/>
    <w:rsid w:val="00BA0D42"/>
    <w:rsid w:val="00BA160C"/>
    <w:rsid w:val="00BA1679"/>
    <w:rsid w:val="00BA1E38"/>
    <w:rsid w:val="00BA1FE7"/>
    <w:rsid w:val="00BA206B"/>
    <w:rsid w:val="00BA2730"/>
    <w:rsid w:val="00BA2950"/>
    <w:rsid w:val="00BA3B9B"/>
    <w:rsid w:val="00BA4722"/>
    <w:rsid w:val="00BA5AA8"/>
    <w:rsid w:val="00BA6C3C"/>
    <w:rsid w:val="00BB01F0"/>
    <w:rsid w:val="00BB1405"/>
    <w:rsid w:val="00BB14FC"/>
    <w:rsid w:val="00BB15B0"/>
    <w:rsid w:val="00BB1BDB"/>
    <w:rsid w:val="00BB1BE1"/>
    <w:rsid w:val="00BB3731"/>
    <w:rsid w:val="00BB387D"/>
    <w:rsid w:val="00BB3E17"/>
    <w:rsid w:val="00BB434D"/>
    <w:rsid w:val="00BB4DCC"/>
    <w:rsid w:val="00BB51C1"/>
    <w:rsid w:val="00BB5ECA"/>
    <w:rsid w:val="00BB62A8"/>
    <w:rsid w:val="00BB7151"/>
    <w:rsid w:val="00BB7521"/>
    <w:rsid w:val="00BB76F3"/>
    <w:rsid w:val="00BC059F"/>
    <w:rsid w:val="00BC0D68"/>
    <w:rsid w:val="00BC1A68"/>
    <w:rsid w:val="00BC1BDA"/>
    <w:rsid w:val="00BC1D2F"/>
    <w:rsid w:val="00BC2BFF"/>
    <w:rsid w:val="00BC4046"/>
    <w:rsid w:val="00BC4542"/>
    <w:rsid w:val="00BC5A84"/>
    <w:rsid w:val="00BC5B71"/>
    <w:rsid w:val="00BC7698"/>
    <w:rsid w:val="00BD03FE"/>
    <w:rsid w:val="00BD0B9A"/>
    <w:rsid w:val="00BD106B"/>
    <w:rsid w:val="00BD1176"/>
    <w:rsid w:val="00BD1D09"/>
    <w:rsid w:val="00BD2593"/>
    <w:rsid w:val="00BD3C07"/>
    <w:rsid w:val="00BD409E"/>
    <w:rsid w:val="00BD41F1"/>
    <w:rsid w:val="00BD435C"/>
    <w:rsid w:val="00BD4B90"/>
    <w:rsid w:val="00BD5EAA"/>
    <w:rsid w:val="00BD6ED3"/>
    <w:rsid w:val="00BD6F3E"/>
    <w:rsid w:val="00BD702A"/>
    <w:rsid w:val="00BD702F"/>
    <w:rsid w:val="00BD7358"/>
    <w:rsid w:val="00BD770A"/>
    <w:rsid w:val="00BE0210"/>
    <w:rsid w:val="00BE03B8"/>
    <w:rsid w:val="00BE051B"/>
    <w:rsid w:val="00BE0EB7"/>
    <w:rsid w:val="00BE15EF"/>
    <w:rsid w:val="00BE1B82"/>
    <w:rsid w:val="00BE348F"/>
    <w:rsid w:val="00BE3640"/>
    <w:rsid w:val="00BE4A3C"/>
    <w:rsid w:val="00BE5883"/>
    <w:rsid w:val="00BE5D48"/>
    <w:rsid w:val="00BE6291"/>
    <w:rsid w:val="00BE6497"/>
    <w:rsid w:val="00BE6806"/>
    <w:rsid w:val="00BE681A"/>
    <w:rsid w:val="00BE69EE"/>
    <w:rsid w:val="00BE723F"/>
    <w:rsid w:val="00BE7CE7"/>
    <w:rsid w:val="00BF0085"/>
    <w:rsid w:val="00BF0BE7"/>
    <w:rsid w:val="00BF1509"/>
    <w:rsid w:val="00BF17D9"/>
    <w:rsid w:val="00BF241F"/>
    <w:rsid w:val="00BF25DD"/>
    <w:rsid w:val="00BF2838"/>
    <w:rsid w:val="00BF2E1A"/>
    <w:rsid w:val="00BF3230"/>
    <w:rsid w:val="00BF39E0"/>
    <w:rsid w:val="00BF3DD8"/>
    <w:rsid w:val="00BF447A"/>
    <w:rsid w:val="00BF44F6"/>
    <w:rsid w:val="00BF4633"/>
    <w:rsid w:val="00BF484B"/>
    <w:rsid w:val="00BF65A4"/>
    <w:rsid w:val="00BF65C6"/>
    <w:rsid w:val="00BF7B05"/>
    <w:rsid w:val="00BF7C25"/>
    <w:rsid w:val="00BF7D06"/>
    <w:rsid w:val="00BF7DE9"/>
    <w:rsid w:val="00BF7EEE"/>
    <w:rsid w:val="00C00064"/>
    <w:rsid w:val="00C002FD"/>
    <w:rsid w:val="00C0274A"/>
    <w:rsid w:val="00C02989"/>
    <w:rsid w:val="00C029A3"/>
    <w:rsid w:val="00C03453"/>
    <w:rsid w:val="00C03DD0"/>
    <w:rsid w:val="00C04AE9"/>
    <w:rsid w:val="00C05873"/>
    <w:rsid w:val="00C05B81"/>
    <w:rsid w:val="00C06AC0"/>
    <w:rsid w:val="00C07C41"/>
    <w:rsid w:val="00C07EAF"/>
    <w:rsid w:val="00C115B8"/>
    <w:rsid w:val="00C118AA"/>
    <w:rsid w:val="00C11969"/>
    <w:rsid w:val="00C11E00"/>
    <w:rsid w:val="00C11EB0"/>
    <w:rsid w:val="00C12207"/>
    <w:rsid w:val="00C1273F"/>
    <w:rsid w:val="00C12808"/>
    <w:rsid w:val="00C13879"/>
    <w:rsid w:val="00C14296"/>
    <w:rsid w:val="00C142E8"/>
    <w:rsid w:val="00C14C33"/>
    <w:rsid w:val="00C14F64"/>
    <w:rsid w:val="00C16EB8"/>
    <w:rsid w:val="00C16F17"/>
    <w:rsid w:val="00C175E1"/>
    <w:rsid w:val="00C1780C"/>
    <w:rsid w:val="00C17EA1"/>
    <w:rsid w:val="00C20014"/>
    <w:rsid w:val="00C20A1C"/>
    <w:rsid w:val="00C20EDE"/>
    <w:rsid w:val="00C2129D"/>
    <w:rsid w:val="00C2179E"/>
    <w:rsid w:val="00C233E6"/>
    <w:rsid w:val="00C236A0"/>
    <w:rsid w:val="00C245D2"/>
    <w:rsid w:val="00C24C8F"/>
    <w:rsid w:val="00C255A6"/>
    <w:rsid w:val="00C25E77"/>
    <w:rsid w:val="00C26424"/>
    <w:rsid w:val="00C267D3"/>
    <w:rsid w:val="00C26E97"/>
    <w:rsid w:val="00C26ECB"/>
    <w:rsid w:val="00C270C8"/>
    <w:rsid w:val="00C27F2D"/>
    <w:rsid w:val="00C27F72"/>
    <w:rsid w:val="00C27FF5"/>
    <w:rsid w:val="00C30DDC"/>
    <w:rsid w:val="00C311FC"/>
    <w:rsid w:val="00C32BDB"/>
    <w:rsid w:val="00C338F6"/>
    <w:rsid w:val="00C33F44"/>
    <w:rsid w:val="00C34A02"/>
    <w:rsid w:val="00C35482"/>
    <w:rsid w:val="00C373DE"/>
    <w:rsid w:val="00C37837"/>
    <w:rsid w:val="00C37BC5"/>
    <w:rsid w:val="00C404FC"/>
    <w:rsid w:val="00C40626"/>
    <w:rsid w:val="00C4077D"/>
    <w:rsid w:val="00C41149"/>
    <w:rsid w:val="00C414DF"/>
    <w:rsid w:val="00C41E61"/>
    <w:rsid w:val="00C42C84"/>
    <w:rsid w:val="00C43124"/>
    <w:rsid w:val="00C43221"/>
    <w:rsid w:val="00C43710"/>
    <w:rsid w:val="00C437CA"/>
    <w:rsid w:val="00C448B4"/>
    <w:rsid w:val="00C4567F"/>
    <w:rsid w:val="00C45AFC"/>
    <w:rsid w:val="00C46F39"/>
    <w:rsid w:val="00C46F59"/>
    <w:rsid w:val="00C476C1"/>
    <w:rsid w:val="00C5019A"/>
    <w:rsid w:val="00C52391"/>
    <w:rsid w:val="00C528D2"/>
    <w:rsid w:val="00C533B2"/>
    <w:rsid w:val="00C5342F"/>
    <w:rsid w:val="00C53782"/>
    <w:rsid w:val="00C53828"/>
    <w:rsid w:val="00C547FB"/>
    <w:rsid w:val="00C54C36"/>
    <w:rsid w:val="00C5567D"/>
    <w:rsid w:val="00C55A3C"/>
    <w:rsid w:val="00C55F29"/>
    <w:rsid w:val="00C561F3"/>
    <w:rsid w:val="00C5628B"/>
    <w:rsid w:val="00C56E88"/>
    <w:rsid w:val="00C57674"/>
    <w:rsid w:val="00C57A3F"/>
    <w:rsid w:val="00C57BE8"/>
    <w:rsid w:val="00C57E1A"/>
    <w:rsid w:val="00C60314"/>
    <w:rsid w:val="00C60828"/>
    <w:rsid w:val="00C61171"/>
    <w:rsid w:val="00C61311"/>
    <w:rsid w:val="00C61CC4"/>
    <w:rsid w:val="00C62D90"/>
    <w:rsid w:val="00C638A3"/>
    <w:rsid w:val="00C65373"/>
    <w:rsid w:val="00C65410"/>
    <w:rsid w:val="00C66086"/>
    <w:rsid w:val="00C665C2"/>
    <w:rsid w:val="00C66EC4"/>
    <w:rsid w:val="00C7081A"/>
    <w:rsid w:val="00C70B1F"/>
    <w:rsid w:val="00C70E2B"/>
    <w:rsid w:val="00C724C3"/>
    <w:rsid w:val="00C72598"/>
    <w:rsid w:val="00C73AFA"/>
    <w:rsid w:val="00C73C02"/>
    <w:rsid w:val="00C7484C"/>
    <w:rsid w:val="00C749FD"/>
    <w:rsid w:val="00C74DED"/>
    <w:rsid w:val="00C7523B"/>
    <w:rsid w:val="00C756C7"/>
    <w:rsid w:val="00C757F2"/>
    <w:rsid w:val="00C75E8D"/>
    <w:rsid w:val="00C76C14"/>
    <w:rsid w:val="00C7719A"/>
    <w:rsid w:val="00C77457"/>
    <w:rsid w:val="00C77F0C"/>
    <w:rsid w:val="00C800FB"/>
    <w:rsid w:val="00C80625"/>
    <w:rsid w:val="00C809EB"/>
    <w:rsid w:val="00C80F89"/>
    <w:rsid w:val="00C81317"/>
    <w:rsid w:val="00C81DA5"/>
    <w:rsid w:val="00C834A1"/>
    <w:rsid w:val="00C85395"/>
    <w:rsid w:val="00C85D46"/>
    <w:rsid w:val="00C85E8B"/>
    <w:rsid w:val="00C86436"/>
    <w:rsid w:val="00C87961"/>
    <w:rsid w:val="00C90934"/>
    <w:rsid w:val="00C90DE0"/>
    <w:rsid w:val="00C91DE9"/>
    <w:rsid w:val="00C92295"/>
    <w:rsid w:val="00C9273A"/>
    <w:rsid w:val="00C94727"/>
    <w:rsid w:val="00C954E3"/>
    <w:rsid w:val="00C95626"/>
    <w:rsid w:val="00C96080"/>
    <w:rsid w:val="00C9714E"/>
    <w:rsid w:val="00C97A2B"/>
    <w:rsid w:val="00CA07C3"/>
    <w:rsid w:val="00CA1257"/>
    <w:rsid w:val="00CA137E"/>
    <w:rsid w:val="00CA1F82"/>
    <w:rsid w:val="00CA212C"/>
    <w:rsid w:val="00CA2BF2"/>
    <w:rsid w:val="00CA340D"/>
    <w:rsid w:val="00CA37E1"/>
    <w:rsid w:val="00CA3B23"/>
    <w:rsid w:val="00CA50B6"/>
    <w:rsid w:val="00CA531F"/>
    <w:rsid w:val="00CA5954"/>
    <w:rsid w:val="00CA68AB"/>
    <w:rsid w:val="00CA6B9B"/>
    <w:rsid w:val="00CB0183"/>
    <w:rsid w:val="00CB0435"/>
    <w:rsid w:val="00CB0951"/>
    <w:rsid w:val="00CB0F65"/>
    <w:rsid w:val="00CB1176"/>
    <w:rsid w:val="00CB16FB"/>
    <w:rsid w:val="00CB2A06"/>
    <w:rsid w:val="00CB2EC0"/>
    <w:rsid w:val="00CB3A06"/>
    <w:rsid w:val="00CB3C0D"/>
    <w:rsid w:val="00CB4347"/>
    <w:rsid w:val="00CB46BE"/>
    <w:rsid w:val="00CB4720"/>
    <w:rsid w:val="00CB4AD3"/>
    <w:rsid w:val="00CB4C41"/>
    <w:rsid w:val="00CB4E00"/>
    <w:rsid w:val="00CB5C71"/>
    <w:rsid w:val="00CB5D3E"/>
    <w:rsid w:val="00CB7461"/>
    <w:rsid w:val="00CB753A"/>
    <w:rsid w:val="00CB77B2"/>
    <w:rsid w:val="00CB7C56"/>
    <w:rsid w:val="00CB7E83"/>
    <w:rsid w:val="00CC0068"/>
    <w:rsid w:val="00CC033B"/>
    <w:rsid w:val="00CC0E76"/>
    <w:rsid w:val="00CC12A7"/>
    <w:rsid w:val="00CC175D"/>
    <w:rsid w:val="00CC179C"/>
    <w:rsid w:val="00CC2029"/>
    <w:rsid w:val="00CC30A9"/>
    <w:rsid w:val="00CC3364"/>
    <w:rsid w:val="00CC3899"/>
    <w:rsid w:val="00CC3DA4"/>
    <w:rsid w:val="00CC4A93"/>
    <w:rsid w:val="00CC59F8"/>
    <w:rsid w:val="00CC66FE"/>
    <w:rsid w:val="00CC709F"/>
    <w:rsid w:val="00CD00DE"/>
    <w:rsid w:val="00CD0CFA"/>
    <w:rsid w:val="00CD0EAC"/>
    <w:rsid w:val="00CD1D61"/>
    <w:rsid w:val="00CD2682"/>
    <w:rsid w:val="00CD2A2E"/>
    <w:rsid w:val="00CD2EC0"/>
    <w:rsid w:val="00CD2F83"/>
    <w:rsid w:val="00CD33D1"/>
    <w:rsid w:val="00CD3455"/>
    <w:rsid w:val="00CD37BF"/>
    <w:rsid w:val="00CD442A"/>
    <w:rsid w:val="00CD45B6"/>
    <w:rsid w:val="00CD4E7D"/>
    <w:rsid w:val="00CD5C26"/>
    <w:rsid w:val="00CD5D1B"/>
    <w:rsid w:val="00CD5F7D"/>
    <w:rsid w:val="00CD6936"/>
    <w:rsid w:val="00CD6AFF"/>
    <w:rsid w:val="00CD702E"/>
    <w:rsid w:val="00CD7428"/>
    <w:rsid w:val="00CD798B"/>
    <w:rsid w:val="00CE0745"/>
    <w:rsid w:val="00CE0A09"/>
    <w:rsid w:val="00CE0DDD"/>
    <w:rsid w:val="00CE1023"/>
    <w:rsid w:val="00CE10F2"/>
    <w:rsid w:val="00CE1100"/>
    <w:rsid w:val="00CE157C"/>
    <w:rsid w:val="00CE1AE1"/>
    <w:rsid w:val="00CE2735"/>
    <w:rsid w:val="00CE2B44"/>
    <w:rsid w:val="00CE2F86"/>
    <w:rsid w:val="00CE3075"/>
    <w:rsid w:val="00CE31BD"/>
    <w:rsid w:val="00CE31D5"/>
    <w:rsid w:val="00CE3697"/>
    <w:rsid w:val="00CE383A"/>
    <w:rsid w:val="00CE4231"/>
    <w:rsid w:val="00CE4D52"/>
    <w:rsid w:val="00CE4F11"/>
    <w:rsid w:val="00CE56EE"/>
    <w:rsid w:val="00CE6150"/>
    <w:rsid w:val="00CE6BA8"/>
    <w:rsid w:val="00CE70CC"/>
    <w:rsid w:val="00CE791D"/>
    <w:rsid w:val="00CE792C"/>
    <w:rsid w:val="00CE7A8A"/>
    <w:rsid w:val="00CE7E74"/>
    <w:rsid w:val="00CF02CC"/>
    <w:rsid w:val="00CF05C5"/>
    <w:rsid w:val="00CF090F"/>
    <w:rsid w:val="00CF09BC"/>
    <w:rsid w:val="00CF10F8"/>
    <w:rsid w:val="00CF27F7"/>
    <w:rsid w:val="00CF2B02"/>
    <w:rsid w:val="00CF3213"/>
    <w:rsid w:val="00CF3E01"/>
    <w:rsid w:val="00CF4646"/>
    <w:rsid w:val="00CF71B7"/>
    <w:rsid w:val="00CF7580"/>
    <w:rsid w:val="00CF7CC7"/>
    <w:rsid w:val="00CF7D81"/>
    <w:rsid w:val="00D00D12"/>
    <w:rsid w:val="00D00F4E"/>
    <w:rsid w:val="00D01648"/>
    <w:rsid w:val="00D01D4B"/>
    <w:rsid w:val="00D01E1A"/>
    <w:rsid w:val="00D01FB5"/>
    <w:rsid w:val="00D0260D"/>
    <w:rsid w:val="00D027C3"/>
    <w:rsid w:val="00D02A33"/>
    <w:rsid w:val="00D0325C"/>
    <w:rsid w:val="00D03A45"/>
    <w:rsid w:val="00D04B4B"/>
    <w:rsid w:val="00D052BC"/>
    <w:rsid w:val="00D07085"/>
    <w:rsid w:val="00D074E6"/>
    <w:rsid w:val="00D1006D"/>
    <w:rsid w:val="00D11728"/>
    <w:rsid w:val="00D12C6D"/>
    <w:rsid w:val="00D141A4"/>
    <w:rsid w:val="00D144F9"/>
    <w:rsid w:val="00D149EA"/>
    <w:rsid w:val="00D14C59"/>
    <w:rsid w:val="00D14D15"/>
    <w:rsid w:val="00D156F6"/>
    <w:rsid w:val="00D16457"/>
    <w:rsid w:val="00D1735F"/>
    <w:rsid w:val="00D176A9"/>
    <w:rsid w:val="00D2127F"/>
    <w:rsid w:val="00D22CA8"/>
    <w:rsid w:val="00D22CBC"/>
    <w:rsid w:val="00D232DC"/>
    <w:rsid w:val="00D235F2"/>
    <w:rsid w:val="00D238E2"/>
    <w:rsid w:val="00D23A8A"/>
    <w:rsid w:val="00D23B2B"/>
    <w:rsid w:val="00D23B47"/>
    <w:rsid w:val="00D23D07"/>
    <w:rsid w:val="00D24143"/>
    <w:rsid w:val="00D25126"/>
    <w:rsid w:val="00D253C9"/>
    <w:rsid w:val="00D2711B"/>
    <w:rsid w:val="00D301A2"/>
    <w:rsid w:val="00D30770"/>
    <w:rsid w:val="00D307E4"/>
    <w:rsid w:val="00D30D09"/>
    <w:rsid w:val="00D30F48"/>
    <w:rsid w:val="00D31A30"/>
    <w:rsid w:val="00D31B4F"/>
    <w:rsid w:val="00D324B6"/>
    <w:rsid w:val="00D32FFC"/>
    <w:rsid w:val="00D333BF"/>
    <w:rsid w:val="00D333CF"/>
    <w:rsid w:val="00D3535B"/>
    <w:rsid w:val="00D35725"/>
    <w:rsid w:val="00D36473"/>
    <w:rsid w:val="00D37F7E"/>
    <w:rsid w:val="00D4136C"/>
    <w:rsid w:val="00D41E60"/>
    <w:rsid w:val="00D42247"/>
    <w:rsid w:val="00D4259B"/>
    <w:rsid w:val="00D42B7A"/>
    <w:rsid w:val="00D44380"/>
    <w:rsid w:val="00D44508"/>
    <w:rsid w:val="00D45709"/>
    <w:rsid w:val="00D45D66"/>
    <w:rsid w:val="00D461C2"/>
    <w:rsid w:val="00D47FA5"/>
    <w:rsid w:val="00D50135"/>
    <w:rsid w:val="00D508D0"/>
    <w:rsid w:val="00D508F9"/>
    <w:rsid w:val="00D510BE"/>
    <w:rsid w:val="00D5334E"/>
    <w:rsid w:val="00D5428D"/>
    <w:rsid w:val="00D54B4B"/>
    <w:rsid w:val="00D54E3C"/>
    <w:rsid w:val="00D55780"/>
    <w:rsid w:val="00D5654A"/>
    <w:rsid w:val="00D57E1F"/>
    <w:rsid w:val="00D604BF"/>
    <w:rsid w:val="00D60DFE"/>
    <w:rsid w:val="00D60EBD"/>
    <w:rsid w:val="00D6165E"/>
    <w:rsid w:val="00D61BF0"/>
    <w:rsid w:val="00D61EF5"/>
    <w:rsid w:val="00D62F9D"/>
    <w:rsid w:val="00D63835"/>
    <w:rsid w:val="00D6387D"/>
    <w:rsid w:val="00D63CF5"/>
    <w:rsid w:val="00D6421D"/>
    <w:rsid w:val="00D64760"/>
    <w:rsid w:val="00D647AC"/>
    <w:rsid w:val="00D64F4F"/>
    <w:rsid w:val="00D6517E"/>
    <w:rsid w:val="00D6548C"/>
    <w:rsid w:val="00D65613"/>
    <w:rsid w:val="00D661AA"/>
    <w:rsid w:val="00D66378"/>
    <w:rsid w:val="00D666A4"/>
    <w:rsid w:val="00D66F23"/>
    <w:rsid w:val="00D67CFD"/>
    <w:rsid w:val="00D67EDF"/>
    <w:rsid w:val="00D708AB"/>
    <w:rsid w:val="00D71368"/>
    <w:rsid w:val="00D71481"/>
    <w:rsid w:val="00D714C9"/>
    <w:rsid w:val="00D71994"/>
    <w:rsid w:val="00D71A0D"/>
    <w:rsid w:val="00D71C3B"/>
    <w:rsid w:val="00D71ED0"/>
    <w:rsid w:val="00D72061"/>
    <w:rsid w:val="00D744AA"/>
    <w:rsid w:val="00D7469E"/>
    <w:rsid w:val="00D74836"/>
    <w:rsid w:val="00D750AB"/>
    <w:rsid w:val="00D75F2B"/>
    <w:rsid w:val="00D77052"/>
    <w:rsid w:val="00D77560"/>
    <w:rsid w:val="00D77EA8"/>
    <w:rsid w:val="00D809D5"/>
    <w:rsid w:val="00D81892"/>
    <w:rsid w:val="00D81B06"/>
    <w:rsid w:val="00D81CFF"/>
    <w:rsid w:val="00D83629"/>
    <w:rsid w:val="00D837C4"/>
    <w:rsid w:val="00D84E84"/>
    <w:rsid w:val="00D8504C"/>
    <w:rsid w:val="00D86219"/>
    <w:rsid w:val="00D8629B"/>
    <w:rsid w:val="00D86817"/>
    <w:rsid w:val="00D873AA"/>
    <w:rsid w:val="00D87772"/>
    <w:rsid w:val="00D87FF9"/>
    <w:rsid w:val="00D90045"/>
    <w:rsid w:val="00D908E4"/>
    <w:rsid w:val="00D911B5"/>
    <w:rsid w:val="00D91593"/>
    <w:rsid w:val="00D91796"/>
    <w:rsid w:val="00D91F56"/>
    <w:rsid w:val="00D92043"/>
    <w:rsid w:val="00D927FE"/>
    <w:rsid w:val="00D94284"/>
    <w:rsid w:val="00D946FB"/>
    <w:rsid w:val="00D948E8"/>
    <w:rsid w:val="00D95758"/>
    <w:rsid w:val="00D967D5"/>
    <w:rsid w:val="00D96AB1"/>
    <w:rsid w:val="00D9770E"/>
    <w:rsid w:val="00D97F1E"/>
    <w:rsid w:val="00DA0807"/>
    <w:rsid w:val="00DA0E7A"/>
    <w:rsid w:val="00DA2214"/>
    <w:rsid w:val="00DA2AD3"/>
    <w:rsid w:val="00DA3BD1"/>
    <w:rsid w:val="00DA3CFC"/>
    <w:rsid w:val="00DA4207"/>
    <w:rsid w:val="00DA4D6A"/>
    <w:rsid w:val="00DA5060"/>
    <w:rsid w:val="00DA5116"/>
    <w:rsid w:val="00DA53D8"/>
    <w:rsid w:val="00DA56AD"/>
    <w:rsid w:val="00DA579D"/>
    <w:rsid w:val="00DA5829"/>
    <w:rsid w:val="00DA59C0"/>
    <w:rsid w:val="00DA5B53"/>
    <w:rsid w:val="00DA5F62"/>
    <w:rsid w:val="00DA61B3"/>
    <w:rsid w:val="00DA672B"/>
    <w:rsid w:val="00DA69DB"/>
    <w:rsid w:val="00DA6C47"/>
    <w:rsid w:val="00DA70EE"/>
    <w:rsid w:val="00DA77FC"/>
    <w:rsid w:val="00DB05C8"/>
    <w:rsid w:val="00DB09AE"/>
    <w:rsid w:val="00DB0BE4"/>
    <w:rsid w:val="00DB152F"/>
    <w:rsid w:val="00DB18D9"/>
    <w:rsid w:val="00DB18E0"/>
    <w:rsid w:val="00DB18E1"/>
    <w:rsid w:val="00DB27C4"/>
    <w:rsid w:val="00DB302E"/>
    <w:rsid w:val="00DB3EBD"/>
    <w:rsid w:val="00DB429C"/>
    <w:rsid w:val="00DB5596"/>
    <w:rsid w:val="00DB61B6"/>
    <w:rsid w:val="00DB6696"/>
    <w:rsid w:val="00DB70DC"/>
    <w:rsid w:val="00DC0FC1"/>
    <w:rsid w:val="00DC1778"/>
    <w:rsid w:val="00DC1D85"/>
    <w:rsid w:val="00DC24FE"/>
    <w:rsid w:val="00DC257C"/>
    <w:rsid w:val="00DC3A0F"/>
    <w:rsid w:val="00DC3AF9"/>
    <w:rsid w:val="00DC3D3B"/>
    <w:rsid w:val="00DC4C7A"/>
    <w:rsid w:val="00DC52F9"/>
    <w:rsid w:val="00DC61C0"/>
    <w:rsid w:val="00DC6A34"/>
    <w:rsid w:val="00DC72DB"/>
    <w:rsid w:val="00DD0283"/>
    <w:rsid w:val="00DD0F83"/>
    <w:rsid w:val="00DD1667"/>
    <w:rsid w:val="00DD177C"/>
    <w:rsid w:val="00DD2045"/>
    <w:rsid w:val="00DD2918"/>
    <w:rsid w:val="00DD3431"/>
    <w:rsid w:val="00DD3720"/>
    <w:rsid w:val="00DD3761"/>
    <w:rsid w:val="00DD3D34"/>
    <w:rsid w:val="00DD3EE7"/>
    <w:rsid w:val="00DD4858"/>
    <w:rsid w:val="00DD4BD8"/>
    <w:rsid w:val="00DD72A4"/>
    <w:rsid w:val="00DD7977"/>
    <w:rsid w:val="00DE01FF"/>
    <w:rsid w:val="00DE0240"/>
    <w:rsid w:val="00DE07F7"/>
    <w:rsid w:val="00DE0898"/>
    <w:rsid w:val="00DE10D9"/>
    <w:rsid w:val="00DE149D"/>
    <w:rsid w:val="00DE1BF1"/>
    <w:rsid w:val="00DE2762"/>
    <w:rsid w:val="00DE2E2E"/>
    <w:rsid w:val="00DE3C27"/>
    <w:rsid w:val="00DE4368"/>
    <w:rsid w:val="00DE4BAF"/>
    <w:rsid w:val="00DE4D25"/>
    <w:rsid w:val="00DE5237"/>
    <w:rsid w:val="00DE58D3"/>
    <w:rsid w:val="00DE5A98"/>
    <w:rsid w:val="00DE6886"/>
    <w:rsid w:val="00DF038E"/>
    <w:rsid w:val="00DF0392"/>
    <w:rsid w:val="00DF173F"/>
    <w:rsid w:val="00DF1A6E"/>
    <w:rsid w:val="00DF20A8"/>
    <w:rsid w:val="00DF366A"/>
    <w:rsid w:val="00DF4601"/>
    <w:rsid w:val="00DF4C7D"/>
    <w:rsid w:val="00DF4D08"/>
    <w:rsid w:val="00DF52B6"/>
    <w:rsid w:val="00DF60D7"/>
    <w:rsid w:val="00DF618D"/>
    <w:rsid w:val="00DF6D4B"/>
    <w:rsid w:val="00DF701E"/>
    <w:rsid w:val="00DF76DC"/>
    <w:rsid w:val="00E003C7"/>
    <w:rsid w:val="00E00800"/>
    <w:rsid w:val="00E00EBE"/>
    <w:rsid w:val="00E01610"/>
    <w:rsid w:val="00E01B14"/>
    <w:rsid w:val="00E02068"/>
    <w:rsid w:val="00E02266"/>
    <w:rsid w:val="00E025A9"/>
    <w:rsid w:val="00E02D4C"/>
    <w:rsid w:val="00E0375C"/>
    <w:rsid w:val="00E03A93"/>
    <w:rsid w:val="00E03FE6"/>
    <w:rsid w:val="00E04282"/>
    <w:rsid w:val="00E042EE"/>
    <w:rsid w:val="00E04B77"/>
    <w:rsid w:val="00E04BC5"/>
    <w:rsid w:val="00E04E86"/>
    <w:rsid w:val="00E05070"/>
    <w:rsid w:val="00E051DF"/>
    <w:rsid w:val="00E0563B"/>
    <w:rsid w:val="00E05788"/>
    <w:rsid w:val="00E07361"/>
    <w:rsid w:val="00E1017E"/>
    <w:rsid w:val="00E1087E"/>
    <w:rsid w:val="00E10B31"/>
    <w:rsid w:val="00E10CDF"/>
    <w:rsid w:val="00E119DD"/>
    <w:rsid w:val="00E11DA7"/>
    <w:rsid w:val="00E13533"/>
    <w:rsid w:val="00E13648"/>
    <w:rsid w:val="00E13A24"/>
    <w:rsid w:val="00E13ADB"/>
    <w:rsid w:val="00E150C8"/>
    <w:rsid w:val="00E15390"/>
    <w:rsid w:val="00E15BD8"/>
    <w:rsid w:val="00E16D7F"/>
    <w:rsid w:val="00E17808"/>
    <w:rsid w:val="00E17D6F"/>
    <w:rsid w:val="00E208CB"/>
    <w:rsid w:val="00E20AF0"/>
    <w:rsid w:val="00E20B0D"/>
    <w:rsid w:val="00E2199A"/>
    <w:rsid w:val="00E22491"/>
    <w:rsid w:val="00E2376C"/>
    <w:rsid w:val="00E2380B"/>
    <w:rsid w:val="00E2495A"/>
    <w:rsid w:val="00E24A55"/>
    <w:rsid w:val="00E24FF2"/>
    <w:rsid w:val="00E25370"/>
    <w:rsid w:val="00E2580D"/>
    <w:rsid w:val="00E25CEE"/>
    <w:rsid w:val="00E2686A"/>
    <w:rsid w:val="00E2704B"/>
    <w:rsid w:val="00E27164"/>
    <w:rsid w:val="00E2736F"/>
    <w:rsid w:val="00E27DAF"/>
    <w:rsid w:val="00E3190F"/>
    <w:rsid w:val="00E31B40"/>
    <w:rsid w:val="00E32312"/>
    <w:rsid w:val="00E3291E"/>
    <w:rsid w:val="00E33198"/>
    <w:rsid w:val="00E3335F"/>
    <w:rsid w:val="00E33466"/>
    <w:rsid w:val="00E3373E"/>
    <w:rsid w:val="00E33CC3"/>
    <w:rsid w:val="00E34B37"/>
    <w:rsid w:val="00E35F49"/>
    <w:rsid w:val="00E3614B"/>
    <w:rsid w:val="00E3646D"/>
    <w:rsid w:val="00E36565"/>
    <w:rsid w:val="00E367C9"/>
    <w:rsid w:val="00E3682D"/>
    <w:rsid w:val="00E37617"/>
    <w:rsid w:val="00E402E7"/>
    <w:rsid w:val="00E4152E"/>
    <w:rsid w:val="00E41571"/>
    <w:rsid w:val="00E43A15"/>
    <w:rsid w:val="00E43E64"/>
    <w:rsid w:val="00E44511"/>
    <w:rsid w:val="00E44F9E"/>
    <w:rsid w:val="00E45921"/>
    <w:rsid w:val="00E46188"/>
    <w:rsid w:val="00E46219"/>
    <w:rsid w:val="00E4634B"/>
    <w:rsid w:val="00E46419"/>
    <w:rsid w:val="00E465E7"/>
    <w:rsid w:val="00E467BF"/>
    <w:rsid w:val="00E46EC7"/>
    <w:rsid w:val="00E4722D"/>
    <w:rsid w:val="00E50BAF"/>
    <w:rsid w:val="00E50E61"/>
    <w:rsid w:val="00E52C45"/>
    <w:rsid w:val="00E52F94"/>
    <w:rsid w:val="00E538AE"/>
    <w:rsid w:val="00E53D22"/>
    <w:rsid w:val="00E5557C"/>
    <w:rsid w:val="00E55B61"/>
    <w:rsid w:val="00E562A5"/>
    <w:rsid w:val="00E5721B"/>
    <w:rsid w:val="00E576EC"/>
    <w:rsid w:val="00E61154"/>
    <w:rsid w:val="00E612A7"/>
    <w:rsid w:val="00E61F8C"/>
    <w:rsid w:val="00E62163"/>
    <w:rsid w:val="00E62FEF"/>
    <w:rsid w:val="00E6343A"/>
    <w:rsid w:val="00E63575"/>
    <w:rsid w:val="00E63A23"/>
    <w:rsid w:val="00E63CDD"/>
    <w:rsid w:val="00E65704"/>
    <w:rsid w:val="00E663A7"/>
    <w:rsid w:val="00E668D9"/>
    <w:rsid w:val="00E66FC7"/>
    <w:rsid w:val="00E67ACB"/>
    <w:rsid w:val="00E70E50"/>
    <w:rsid w:val="00E70F29"/>
    <w:rsid w:val="00E711AD"/>
    <w:rsid w:val="00E72D97"/>
    <w:rsid w:val="00E7307B"/>
    <w:rsid w:val="00E7379E"/>
    <w:rsid w:val="00E747DD"/>
    <w:rsid w:val="00E75CFB"/>
    <w:rsid w:val="00E77425"/>
    <w:rsid w:val="00E7752C"/>
    <w:rsid w:val="00E775E5"/>
    <w:rsid w:val="00E779AD"/>
    <w:rsid w:val="00E77E81"/>
    <w:rsid w:val="00E801E9"/>
    <w:rsid w:val="00E80D60"/>
    <w:rsid w:val="00E81587"/>
    <w:rsid w:val="00E81907"/>
    <w:rsid w:val="00E826CB"/>
    <w:rsid w:val="00E83051"/>
    <w:rsid w:val="00E83BF6"/>
    <w:rsid w:val="00E8443D"/>
    <w:rsid w:val="00E84B67"/>
    <w:rsid w:val="00E84C9B"/>
    <w:rsid w:val="00E84D10"/>
    <w:rsid w:val="00E85086"/>
    <w:rsid w:val="00E85CC4"/>
    <w:rsid w:val="00E861F0"/>
    <w:rsid w:val="00E86B5B"/>
    <w:rsid w:val="00E86E22"/>
    <w:rsid w:val="00E910D2"/>
    <w:rsid w:val="00E914B2"/>
    <w:rsid w:val="00E91D00"/>
    <w:rsid w:val="00E92441"/>
    <w:rsid w:val="00E93398"/>
    <w:rsid w:val="00E93605"/>
    <w:rsid w:val="00E93722"/>
    <w:rsid w:val="00E93AF7"/>
    <w:rsid w:val="00E93B03"/>
    <w:rsid w:val="00E9465D"/>
    <w:rsid w:val="00E94947"/>
    <w:rsid w:val="00E94A2F"/>
    <w:rsid w:val="00E9523F"/>
    <w:rsid w:val="00E95DD4"/>
    <w:rsid w:val="00E9662C"/>
    <w:rsid w:val="00E97831"/>
    <w:rsid w:val="00E97EDF"/>
    <w:rsid w:val="00EA03B0"/>
    <w:rsid w:val="00EA055F"/>
    <w:rsid w:val="00EA0657"/>
    <w:rsid w:val="00EA0804"/>
    <w:rsid w:val="00EA093A"/>
    <w:rsid w:val="00EA0BE8"/>
    <w:rsid w:val="00EA0D50"/>
    <w:rsid w:val="00EA1ED1"/>
    <w:rsid w:val="00EA2ED1"/>
    <w:rsid w:val="00EA2F33"/>
    <w:rsid w:val="00EA327A"/>
    <w:rsid w:val="00EA3F78"/>
    <w:rsid w:val="00EA4079"/>
    <w:rsid w:val="00EA40C3"/>
    <w:rsid w:val="00EA4283"/>
    <w:rsid w:val="00EA46B3"/>
    <w:rsid w:val="00EA4948"/>
    <w:rsid w:val="00EA4F38"/>
    <w:rsid w:val="00EA5655"/>
    <w:rsid w:val="00EA5955"/>
    <w:rsid w:val="00EA5EA2"/>
    <w:rsid w:val="00EA61E5"/>
    <w:rsid w:val="00EA7E85"/>
    <w:rsid w:val="00EB0BAB"/>
    <w:rsid w:val="00EB124E"/>
    <w:rsid w:val="00EB23DF"/>
    <w:rsid w:val="00EB2B18"/>
    <w:rsid w:val="00EB2D98"/>
    <w:rsid w:val="00EB2F5E"/>
    <w:rsid w:val="00EB338A"/>
    <w:rsid w:val="00EB378F"/>
    <w:rsid w:val="00EB3AEB"/>
    <w:rsid w:val="00EB43ED"/>
    <w:rsid w:val="00EB45A4"/>
    <w:rsid w:val="00EB5BCE"/>
    <w:rsid w:val="00EB5D92"/>
    <w:rsid w:val="00EB65F3"/>
    <w:rsid w:val="00EB71FE"/>
    <w:rsid w:val="00EB7C11"/>
    <w:rsid w:val="00EC0D75"/>
    <w:rsid w:val="00EC1045"/>
    <w:rsid w:val="00EC149B"/>
    <w:rsid w:val="00EC1AD5"/>
    <w:rsid w:val="00EC2DD5"/>
    <w:rsid w:val="00EC44EA"/>
    <w:rsid w:val="00EC4AD5"/>
    <w:rsid w:val="00EC538F"/>
    <w:rsid w:val="00EC607A"/>
    <w:rsid w:val="00EC6772"/>
    <w:rsid w:val="00EC6B95"/>
    <w:rsid w:val="00EC7CCE"/>
    <w:rsid w:val="00ED143F"/>
    <w:rsid w:val="00ED14FF"/>
    <w:rsid w:val="00ED2F69"/>
    <w:rsid w:val="00ED3238"/>
    <w:rsid w:val="00ED397A"/>
    <w:rsid w:val="00ED457F"/>
    <w:rsid w:val="00ED4A21"/>
    <w:rsid w:val="00ED552E"/>
    <w:rsid w:val="00ED75F0"/>
    <w:rsid w:val="00ED7D53"/>
    <w:rsid w:val="00EE051F"/>
    <w:rsid w:val="00EE0B85"/>
    <w:rsid w:val="00EE1009"/>
    <w:rsid w:val="00EE1233"/>
    <w:rsid w:val="00EE1369"/>
    <w:rsid w:val="00EE17BD"/>
    <w:rsid w:val="00EE1B85"/>
    <w:rsid w:val="00EE36D5"/>
    <w:rsid w:val="00EE39A5"/>
    <w:rsid w:val="00EE43A3"/>
    <w:rsid w:val="00EE44B5"/>
    <w:rsid w:val="00EE451A"/>
    <w:rsid w:val="00EE465B"/>
    <w:rsid w:val="00EE4BA3"/>
    <w:rsid w:val="00EE4DAE"/>
    <w:rsid w:val="00EE5304"/>
    <w:rsid w:val="00EE5652"/>
    <w:rsid w:val="00EE5C2D"/>
    <w:rsid w:val="00EE63CD"/>
    <w:rsid w:val="00EE64C6"/>
    <w:rsid w:val="00EE66B1"/>
    <w:rsid w:val="00EE74C7"/>
    <w:rsid w:val="00EE79B7"/>
    <w:rsid w:val="00EF0867"/>
    <w:rsid w:val="00EF132D"/>
    <w:rsid w:val="00EF251F"/>
    <w:rsid w:val="00EF2C8F"/>
    <w:rsid w:val="00EF30CA"/>
    <w:rsid w:val="00EF3134"/>
    <w:rsid w:val="00EF3177"/>
    <w:rsid w:val="00EF42FE"/>
    <w:rsid w:val="00EF4828"/>
    <w:rsid w:val="00EF49C1"/>
    <w:rsid w:val="00EF6D25"/>
    <w:rsid w:val="00EF6D80"/>
    <w:rsid w:val="00EF6EBA"/>
    <w:rsid w:val="00EF75B0"/>
    <w:rsid w:val="00EF7F4B"/>
    <w:rsid w:val="00F01038"/>
    <w:rsid w:val="00F01A64"/>
    <w:rsid w:val="00F01B06"/>
    <w:rsid w:val="00F02ED5"/>
    <w:rsid w:val="00F02FFC"/>
    <w:rsid w:val="00F03E88"/>
    <w:rsid w:val="00F04519"/>
    <w:rsid w:val="00F0564A"/>
    <w:rsid w:val="00F06D27"/>
    <w:rsid w:val="00F07818"/>
    <w:rsid w:val="00F07CDD"/>
    <w:rsid w:val="00F10486"/>
    <w:rsid w:val="00F10CEB"/>
    <w:rsid w:val="00F1192F"/>
    <w:rsid w:val="00F132A3"/>
    <w:rsid w:val="00F134E2"/>
    <w:rsid w:val="00F13790"/>
    <w:rsid w:val="00F1435D"/>
    <w:rsid w:val="00F15438"/>
    <w:rsid w:val="00F155AD"/>
    <w:rsid w:val="00F15854"/>
    <w:rsid w:val="00F16470"/>
    <w:rsid w:val="00F17685"/>
    <w:rsid w:val="00F21076"/>
    <w:rsid w:val="00F21928"/>
    <w:rsid w:val="00F21DFF"/>
    <w:rsid w:val="00F2241E"/>
    <w:rsid w:val="00F22A18"/>
    <w:rsid w:val="00F22FB0"/>
    <w:rsid w:val="00F246CE"/>
    <w:rsid w:val="00F247BD"/>
    <w:rsid w:val="00F248E6"/>
    <w:rsid w:val="00F24C40"/>
    <w:rsid w:val="00F24C64"/>
    <w:rsid w:val="00F26C9A"/>
    <w:rsid w:val="00F30389"/>
    <w:rsid w:val="00F305D3"/>
    <w:rsid w:val="00F31C9F"/>
    <w:rsid w:val="00F32083"/>
    <w:rsid w:val="00F32349"/>
    <w:rsid w:val="00F32FB2"/>
    <w:rsid w:val="00F33045"/>
    <w:rsid w:val="00F334B3"/>
    <w:rsid w:val="00F34592"/>
    <w:rsid w:val="00F359F4"/>
    <w:rsid w:val="00F35DC8"/>
    <w:rsid w:val="00F35E6B"/>
    <w:rsid w:val="00F369DC"/>
    <w:rsid w:val="00F37295"/>
    <w:rsid w:val="00F40026"/>
    <w:rsid w:val="00F40160"/>
    <w:rsid w:val="00F40207"/>
    <w:rsid w:val="00F40E2F"/>
    <w:rsid w:val="00F40E7E"/>
    <w:rsid w:val="00F40F3A"/>
    <w:rsid w:val="00F41255"/>
    <w:rsid w:val="00F4138F"/>
    <w:rsid w:val="00F41525"/>
    <w:rsid w:val="00F41650"/>
    <w:rsid w:val="00F425AF"/>
    <w:rsid w:val="00F42D43"/>
    <w:rsid w:val="00F42E8D"/>
    <w:rsid w:val="00F43671"/>
    <w:rsid w:val="00F43BE2"/>
    <w:rsid w:val="00F43FC8"/>
    <w:rsid w:val="00F43FFA"/>
    <w:rsid w:val="00F44822"/>
    <w:rsid w:val="00F4564C"/>
    <w:rsid w:val="00F45F83"/>
    <w:rsid w:val="00F46F3F"/>
    <w:rsid w:val="00F4783F"/>
    <w:rsid w:val="00F50CAE"/>
    <w:rsid w:val="00F51373"/>
    <w:rsid w:val="00F52E4C"/>
    <w:rsid w:val="00F531CC"/>
    <w:rsid w:val="00F539A0"/>
    <w:rsid w:val="00F54863"/>
    <w:rsid w:val="00F54EDF"/>
    <w:rsid w:val="00F551AF"/>
    <w:rsid w:val="00F55449"/>
    <w:rsid w:val="00F55924"/>
    <w:rsid w:val="00F55BAF"/>
    <w:rsid w:val="00F55FAC"/>
    <w:rsid w:val="00F5630B"/>
    <w:rsid w:val="00F56D63"/>
    <w:rsid w:val="00F606E3"/>
    <w:rsid w:val="00F61D28"/>
    <w:rsid w:val="00F61D66"/>
    <w:rsid w:val="00F61EA0"/>
    <w:rsid w:val="00F6244F"/>
    <w:rsid w:val="00F62F53"/>
    <w:rsid w:val="00F63B96"/>
    <w:rsid w:val="00F65110"/>
    <w:rsid w:val="00F655F8"/>
    <w:rsid w:val="00F6571B"/>
    <w:rsid w:val="00F65FB3"/>
    <w:rsid w:val="00F66380"/>
    <w:rsid w:val="00F665C2"/>
    <w:rsid w:val="00F66962"/>
    <w:rsid w:val="00F66BD7"/>
    <w:rsid w:val="00F67770"/>
    <w:rsid w:val="00F67EE3"/>
    <w:rsid w:val="00F70047"/>
    <w:rsid w:val="00F7038F"/>
    <w:rsid w:val="00F70620"/>
    <w:rsid w:val="00F70BD8"/>
    <w:rsid w:val="00F71323"/>
    <w:rsid w:val="00F72ED8"/>
    <w:rsid w:val="00F7427E"/>
    <w:rsid w:val="00F749CE"/>
    <w:rsid w:val="00F74AE8"/>
    <w:rsid w:val="00F74B86"/>
    <w:rsid w:val="00F75711"/>
    <w:rsid w:val="00F75BDF"/>
    <w:rsid w:val="00F75C16"/>
    <w:rsid w:val="00F76605"/>
    <w:rsid w:val="00F77B06"/>
    <w:rsid w:val="00F802A9"/>
    <w:rsid w:val="00F81140"/>
    <w:rsid w:val="00F81895"/>
    <w:rsid w:val="00F81CE2"/>
    <w:rsid w:val="00F8252E"/>
    <w:rsid w:val="00F82B49"/>
    <w:rsid w:val="00F82BA4"/>
    <w:rsid w:val="00F82CEA"/>
    <w:rsid w:val="00F82E70"/>
    <w:rsid w:val="00F83350"/>
    <w:rsid w:val="00F84D8D"/>
    <w:rsid w:val="00F867B1"/>
    <w:rsid w:val="00F867E6"/>
    <w:rsid w:val="00F87DA5"/>
    <w:rsid w:val="00F9021A"/>
    <w:rsid w:val="00F90275"/>
    <w:rsid w:val="00F9054F"/>
    <w:rsid w:val="00F907CF"/>
    <w:rsid w:val="00F91167"/>
    <w:rsid w:val="00F92BA9"/>
    <w:rsid w:val="00F92E49"/>
    <w:rsid w:val="00F93B88"/>
    <w:rsid w:val="00F93E03"/>
    <w:rsid w:val="00F94A36"/>
    <w:rsid w:val="00F94E4C"/>
    <w:rsid w:val="00F94E67"/>
    <w:rsid w:val="00F95340"/>
    <w:rsid w:val="00F95A0E"/>
    <w:rsid w:val="00F96034"/>
    <w:rsid w:val="00F96993"/>
    <w:rsid w:val="00FA0B34"/>
    <w:rsid w:val="00FA0B99"/>
    <w:rsid w:val="00FA0DFB"/>
    <w:rsid w:val="00FA16A2"/>
    <w:rsid w:val="00FA203E"/>
    <w:rsid w:val="00FA2246"/>
    <w:rsid w:val="00FA27D6"/>
    <w:rsid w:val="00FA2C37"/>
    <w:rsid w:val="00FA31E6"/>
    <w:rsid w:val="00FA37BB"/>
    <w:rsid w:val="00FA38CB"/>
    <w:rsid w:val="00FA4770"/>
    <w:rsid w:val="00FA47AE"/>
    <w:rsid w:val="00FA4D68"/>
    <w:rsid w:val="00FA5C3E"/>
    <w:rsid w:val="00FA708A"/>
    <w:rsid w:val="00FA71BC"/>
    <w:rsid w:val="00FB05DF"/>
    <w:rsid w:val="00FB31BD"/>
    <w:rsid w:val="00FB34E9"/>
    <w:rsid w:val="00FB37C2"/>
    <w:rsid w:val="00FB3973"/>
    <w:rsid w:val="00FB4A1F"/>
    <w:rsid w:val="00FB4B16"/>
    <w:rsid w:val="00FB62A8"/>
    <w:rsid w:val="00FB71A2"/>
    <w:rsid w:val="00FB794B"/>
    <w:rsid w:val="00FB7EA2"/>
    <w:rsid w:val="00FC0A18"/>
    <w:rsid w:val="00FC0FCA"/>
    <w:rsid w:val="00FC0FF2"/>
    <w:rsid w:val="00FC112C"/>
    <w:rsid w:val="00FC21AD"/>
    <w:rsid w:val="00FC2A6C"/>
    <w:rsid w:val="00FC3238"/>
    <w:rsid w:val="00FC3356"/>
    <w:rsid w:val="00FC4502"/>
    <w:rsid w:val="00FC50BB"/>
    <w:rsid w:val="00FC5250"/>
    <w:rsid w:val="00FC575C"/>
    <w:rsid w:val="00FC5FC6"/>
    <w:rsid w:val="00FC6AD5"/>
    <w:rsid w:val="00FC7C6D"/>
    <w:rsid w:val="00FC7F53"/>
    <w:rsid w:val="00FD0C01"/>
    <w:rsid w:val="00FD0D76"/>
    <w:rsid w:val="00FD16FF"/>
    <w:rsid w:val="00FD1E39"/>
    <w:rsid w:val="00FD3919"/>
    <w:rsid w:val="00FD3EC2"/>
    <w:rsid w:val="00FD4078"/>
    <w:rsid w:val="00FD40D3"/>
    <w:rsid w:val="00FD5AEC"/>
    <w:rsid w:val="00FD5BB2"/>
    <w:rsid w:val="00FD5EC6"/>
    <w:rsid w:val="00FD63D1"/>
    <w:rsid w:val="00FD71FB"/>
    <w:rsid w:val="00FE0A23"/>
    <w:rsid w:val="00FE1730"/>
    <w:rsid w:val="00FE2595"/>
    <w:rsid w:val="00FE3550"/>
    <w:rsid w:val="00FE3B98"/>
    <w:rsid w:val="00FE3E2C"/>
    <w:rsid w:val="00FE3F99"/>
    <w:rsid w:val="00FE405A"/>
    <w:rsid w:val="00FE4168"/>
    <w:rsid w:val="00FE4DFB"/>
    <w:rsid w:val="00FE4E38"/>
    <w:rsid w:val="00FE4EB3"/>
    <w:rsid w:val="00FE568B"/>
    <w:rsid w:val="00FE5890"/>
    <w:rsid w:val="00FE6070"/>
    <w:rsid w:val="00FE6E3E"/>
    <w:rsid w:val="00FE722D"/>
    <w:rsid w:val="00FF00D8"/>
    <w:rsid w:val="00FF0374"/>
    <w:rsid w:val="00FF22A7"/>
    <w:rsid w:val="00FF2778"/>
    <w:rsid w:val="00FF2BA6"/>
    <w:rsid w:val="00FF2E8D"/>
    <w:rsid w:val="00FF2ED2"/>
    <w:rsid w:val="00FF31D8"/>
    <w:rsid w:val="00FF3713"/>
    <w:rsid w:val="00FF3B2C"/>
    <w:rsid w:val="00FF3CD5"/>
    <w:rsid w:val="00FF4A55"/>
    <w:rsid w:val="00FF50FE"/>
    <w:rsid w:val="00FF5DA8"/>
    <w:rsid w:val="00FF600C"/>
    <w:rsid w:val="00FF6520"/>
    <w:rsid w:val="00FF7109"/>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C133A89-4A25-461F-8FF8-4C93566B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qFormat/>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35292270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775756249">
      <w:bodyDiv w:val="1"/>
      <w:marLeft w:val="0"/>
      <w:marRight w:val="0"/>
      <w:marTop w:val="0"/>
      <w:marBottom w:val="0"/>
      <w:divBdr>
        <w:top w:val="none" w:sz="0" w:space="0" w:color="auto"/>
        <w:left w:val="none" w:sz="0" w:space="0" w:color="auto"/>
        <w:bottom w:val="none" w:sz="0" w:space="0" w:color="auto"/>
        <w:right w:val="none" w:sz="0" w:space="0" w:color="auto"/>
      </w:divBdr>
    </w:div>
    <w:div w:id="848637043">
      <w:bodyDiv w:val="1"/>
      <w:marLeft w:val="150"/>
      <w:marRight w:val="150"/>
      <w:marTop w:val="0"/>
      <w:marBottom w:val="0"/>
      <w:divBdr>
        <w:top w:val="none" w:sz="0" w:space="0" w:color="auto"/>
        <w:left w:val="none" w:sz="0" w:space="0" w:color="auto"/>
        <w:bottom w:val="none" w:sz="0" w:space="0" w:color="auto"/>
        <w:right w:val="none" w:sz="0" w:space="0" w:color="auto"/>
      </w:divBdr>
      <w:divsChild>
        <w:div w:id="1915778207">
          <w:marLeft w:val="0"/>
          <w:marRight w:val="0"/>
          <w:marTop w:val="0"/>
          <w:marBottom w:val="0"/>
          <w:divBdr>
            <w:top w:val="none" w:sz="0" w:space="0" w:color="auto"/>
            <w:left w:val="none" w:sz="0" w:space="0" w:color="auto"/>
            <w:bottom w:val="none" w:sz="0" w:space="0" w:color="auto"/>
            <w:right w:val="none" w:sz="0" w:space="0" w:color="auto"/>
          </w:divBdr>
          <w:divsChild>
            <w:div w:id="1705518446">
              <w:marLeft w:val="0"/>
              <w:marRight w:val="0"/>
              <w:marTop w:val="240"/>
              <w:marBottom w:val="0"/>
              <w:divBdr>
                <w:top w:val="none" w:sz="0" w:space="0" w:color="auto"/>
                <w:left w:val="none" w:sz="0" w:space="0" w:color="auto"/>
                <w:bottom w:val="none" w:sz="0" w:space="0" w:color="auto"/>
                <w:right w:val="none" w:sz="0" w:space="0" w:color="auto"/>
              </w:divBdr>
              <w:divsChild>
                <w:div w:id="1599828786">
                  <w:marLeft w:val="0"/>
                  <w:marRight w:val="0"/>
                  <w:marTop w:val="120"/>
                  <w:marBottom w:val="0"/>
                  <w:divBdr>
                    <w:top w:val="none" w:sz="0" w:space="0" w:color="auto"/>
                    <w:left w:val="none" w:sz="0" w:space="0" w:color="auto"/>
                    <w:bottom w:val="none" w:sz="0" w:space="0" w:color="auto"/>
                    <w:right w:val="none" w:sz="0" w:space="0" w:color="auto"/>
                  </w:divBdr>
                  <w:divsChild>
                    <w:div w:id="11209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C0619-06EA-4798-B1EE-A39D09A45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225</Words>
  <Characters>1283</Characters>
  <Application>Microsoft Office Word</Application>
  <DocSecurity>0</DocSecurity>
  <Lines>10</Lines>
  <Paragraphs>3</Paragraphs>
  <ScaleCrop>false</ScaleCrop>
  <Company/>
  <LinksUpToDate>false</LinksUpToDate>
  <CharactersWithSpaces>1505</CharactersWithSpaces>
  <SharedDoc>false</SharedDoc>
  <HLinks>
    <vt:vector size="54" baseType="variant">
      <vt:variant>
        <vt:i4>1310777</vt:i4>
      </vt:variant>
      <vt:variant>
        <vt:i4>50</vt:i4>
      </vt:variant>
      <vt:variant>
        <vt:i4>0</vt:i4>
      </vt:variant>
      <vt:variant>
        <vt:i4>5</vt:i4>
      </vt:variant>
      <vt:variant>
        <vt:lpwstr/>
      </vt:variant>
      <vt:variant>
        <vt:lpwstr>_Toc181900928</vt:lpwstr>
      </vt:variant>
      <vt:variant>
        <vt:i4>1310777</vt:i4>
      </vt:variant>
      <vt:variant>
        <vt:i4>44</vt:i4>
      </vt:variant>
      <vt:variant>
        <vt:i4>0</vt:i4>
      </vt:variant>
      <vt:variant>
        <vt:i4>5</vt:i4>
      </vt:variant>
      <vt:variant>
        <vt:lpwstr/>
      </vt:variant>
      <vt:variant>
        <vt:lpwstr>_Toc181900927</vt:lpwstr>
      </vt:variant>
      <vt:variant>
        <vt:i4>1310777</vt:i4>
      </vt:variant>
      <vt:variant>
        <vt:i4>38</vt:i4>
      </vt:variant>
      <vt:variant>
        <vt:i4>0</vt:i4>
      </vt:variant>
      <vt:variant>
        <vt:i4>5</vt:i4>
      </vt:variant>
      <vt:variant>
        <vt:lpwstr/>
      </vt:variant>
      <vt:variant>
        <vt:lpwstr>_Toc181900926</vt:lpwstr>
      </vt:variant>
      <vt:variant>
        <vt:i4>1310777</vt:i4>
      </vt:variant>
      <vt:variant>
        <vt:i4>32</vt:i4>
      </vt:variant>
      <vt:variant>
        <vt:i4>0</vt:i4>
      </vt:variant>
      <vt:variant>
        <vt:i4>5</vt:i4>
      </vt:variant>
      <vt:variant>
        <vt:lpwstr/>
      </vt:variant>
      <vt:variant>
        <vt:lpwstr>_Toc181900925</vt:lpwstr>
      </vt:variant>
      <vt:variant>
        <vt:i4>1310777</vt:i4>
      </vt:variant>
      <vt:variant>
        <vt:i4>26</vt:i4>
      </vt:variant>
      <vt:variant>
        <vt:i4>0</vt:i4>
      </vt:variant>
      <vt:variant>
        <vt:i4>5</vt:i4>
      </vt:variant>
      <vt:variant>
        <vt:lpwstr/>
      </vt:variant>
      <vt:variant>
        <vt:lpwstr>_Toc181900924</vt:lpwstr>
      </vt:variant>
      <vt:variant>
        <vt:i4>1310777</vt:i4>
      </vt:variant>
      <vt:variant>
        <vt:i4>20</vt:i4>
      </vt:variant>
      <vt:variant>
        <vt:i4>0</vt:i4>
      </vt:variant>
      <vt:variant>
        <vt:i4>5</vt:i4>
      </vt:variant>
      <vt:variant>
        <vt:lpwstr/>
      </vt:variant>
      <vt:variant>
        <vt:lpwstr>_Toc181900923</vt:lpwstr>
      </vt:variant>
      <vt:variant>
        <vt:i4>1310777</vt:i4>
      </vt:variant>
      <vt:variant>
        <vt:i4>14</vt:i4>
      </vt:variant>
      <vt:variant>
        <vt:i4>0</vt:i4>
      </vt:variant>
      <vt:variant>
        <vt:i4>5</vt:i4>
      </vt:variant>
      <vt:variant>
        <vt:lpwstr/>
      </vt:variant>
      <vt:variant>
        <vt:lpwstr>_Toc181900922</vt:lpwstr>
      </vt:variant>
      <vt:variant>
        <vt:i4>1310777</vt:i4>
      </vt:variant>
      <vt:variant>
        <vt:i4>8</vt:i4>
      </vt:variant>
      <vt:variant>
        <vt:i4>0</vt:i4>
      </vt:variant>
      <vt:variant>
        <vt:i4>5</vt:i4>
      </vt:variant>
      <vt:variant>
        <vt:lpwstr/>
      </vt:variant>
      <vt:variant>
        <vt:lpwstr>_Toc181900921</vt:lpwstr>
      </vt:variant>
      <vt:variant>
        <vt:i4>1310777</vt:i4>
      </vt:variant>
      <vt:variant>
        <vt:i4>2</vt:i4>
      </vt:variant>
      <vt:variant>
        <vt:i4>0</vt:i4>
      </vt:variant>
      <vt:variant>
        <vt:i4>5</vt:i4>
      </vt:variant>
      <vt:variant>
        <vt:lpwstr/>
      </vt:variant>
      <vt:variant>
        <vt:lpwstr>_Toc181900920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2024-11-08T06:49:00Z</dcterms:created>
  <dcterms:modified xsi:type="dcterms:W3CDTF">2024-11-08T06:49:00Z</dcterms:modified>
</cp:coreProperties>
</file>