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Default="00925CF7" w:rsidP="00700F93">
      <w:pPr>
        <w:pStyle w:val="aa"/>
      </w:pPr>
      <w:bookmarkStart w:id="0" w:name="_GoBack"/>
      <w:bookmarkEnd w:id="0"/>
      <w:r w:rsidRPr="00925CF7">
        <w:rPr>
          <w:rFonts w:hint="eastAsia"/>
        </w:rPr>
        <w:t>中央政府債務基金1</w:t>
      </w:r>
      <w:r w:rsidR="00790ABD">
        <w:t>1</w:t>
      </w:r>
      <w:r w:rsidR="005E49BC">
        <w:rPr>
          <w:rFonts w:hint="eastAsia"/>
        </w:rPr>
        <w:t>4</w:t>
      </w:r>
      <w:r w:rsidRPr="00925CF7">
        <w:rPr>
          <w:rFonts w:hint="eastAsia"/>
        </w:rPr>
        <w:t>年度預算評估報告</w:t>
      </w:r>
    </w:p>
    <w:p w:rsidR="009F3A40" w:rsidRDefault="009F3A40" w:rsidP="009F3A40">
      <w:pPr>
        <w:pStyle w:val="a8"/>
        <w:ind w:firstLine="566"/>
      </w:pPr>
      <w:r w:rsidRPr="009F3A40">
        <w:rPr>
          <w:rFonts w:hint="eastAsia"/>
          <w:snapToGrid/>
        </w:rPr>
        <w:t>中央政府債務基金</w:t>
      </w:r>
      <w:r w:rsidR="004808F6">
        <w:rPr>
          <w:rFonts w:hint="eastAsia"/>
          <w:snapToGrid/>
        </w:rPr>
        <w:t>（</w:t>
      </w:r>
      <w:r w:rsidR="00A05DA1">
        <w:rPr>
          <w:rFonts w:hint="eastAsia"/>
          <w:snapToGrid/>
        </w:rPr>
        <w:t>以</w:t>
      </w:r>
      <w:r w:rsidRPr="009F3A40">
        <w:rPr>
          <w:rFonts w:hint="eastAsia"/>
          <w:snapToGrid/>
        </w:rPr>
        <w:t>下</w:t>
      </w:r>
      <w:r w:rsidR="00A05DA1">
        <w:rPr>
          <w:rFonts w:hint="eastAsia"/>
          <w:snapToGrid/>
        </w:rPr>
        <w:t>簡</w:t>
      </w:r>
      <w:r w:rsidRPr="009F3A40">
        <w:rPr>
          <w:rFonts w:hint="eastAsia"/>
          <w:snapToGrid/>
        </w:rPr>
        <w:t>稱</w:t>
      </w: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 w:rsidR="004808F6">
        <w:rPr>
          <w:rFonts w:hint="eastAsia"/>
          <w:snapToGrid/>
        </w:rPr>
        <w:t>）</w:t>
      </w:r>
      <w:r w:rsidR="00D0325C">
        <w:rPr>
          <w:rFonts w:hint="eastAsia"/>
        </w:rPr>
        <w:t>11</w:t>
      </w:r>
      <w:r w:rsidR="005E49BC">
        <w:rPr>
          <w:rFonts w:hint="eastAsia"/>
        </w:rPr>
        <w:t>4</w:t>
      </w:r>
      <w:r w:rsidR="004D03D1" w:rsidRPr="004D03D1">
        <w:rPr>
          <w:rFonts w:hint="eastAsia"/>
        </w:rPr>
        <w:t>年度預算案編列基金來源</w:t>
      </w:r>
      <w:r w:rsidR="005E49BC">
        <w:rPr>
          <w:rFonts w:hint="eastAsia"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871987">
        <w:rPr>
          <w:snapToGrid/>
        </w:rPr>
        <w:t>,</w:t>
      </w:r>
      <w:r w:rsidR="005E49BC">
        <w:rPr>
          <w:rFonts w:hint="eastAsia"/>
          <w:snapToGrid/>
        </w:rPr>
        <w:t>726</w:t>
      </w:r>
      <w:r w:rsidRPr="009F3A40">
        <w:rPr>
          <w:rFonts w:hint="eastAsia"/>
          <w:snapToGrid/>
        </w:rPr>
        <w:t>萬</w:t>
      </w:r>
      <w:r w:rsidR="00D0325C">
        <w:rPr>
          <w:rFonts w:hint="eastAsia"/>
          <w:snapToGrid/>
        </w:rPr>
        <w:t>5</w:t>
      </w:r>
      <w:r w:rsidR="00F70BD8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基金用途</w:t>
      </w:r>
      <w:r w:rsidR="005E49BC">
        <w:rPr>
          <w:rFonts w:hint="eastAsia"/>
          <w:snapToGrid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D0325C">
        <w:rPr>
          <w:snapToGrid/>
        </w:rPr>
        <w:t>,</w:t>
      </w:r>
      <w:r w:rsidR="005E49BC">
        <w:rPr>
          <w:rFonts w:hint="eastAsia"/>
          <w:snapToGrid/>
        </w:rPr>
        <w:t>525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1</w:t>
      </w:r>
      <w:r w:rsidR="00790ABD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基金來源及用途</w:t>
      </w:r>
      <w:r w:rsidRPr="009F3A40">
        <w:rPr>
          <w:rFonts w:hint="eastAsia"/>
          <w:snapToGrid/>
        </w:rPr>
        <w:t>相抵後</w:t>
      </w:r>
      <w:r>
        <w:rPr>
          <w:rFonts w:hint="eastAsia"/>
          <w:snapToGrid/>
        </w:rPr>
        <w:t>賸餘</w:t>
      </w:r>
      <w:r w:rsidR="005E49BC">
        <w:rPr>
          <w:rFonts w:hint="eastAsia"/>
          <w:snapToGrid/>
        </w:rPr>
        <w:t>201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Pr="009F3A40">
        <w:rPr>
          <w:rFonts w:hint="eastAsia"/>
          <w:snapToGrid/>
        </w:rPr>
        <w:t>元，</w:t>
      </w:r>
      <w:r w:rsidR="00F70BD8">
        <w:rPr>
          <w:rFonts w:hint="eastAsia"/>
          <w:snapToGrid/>
        </w:rPr>
        <w:t>較</w:t>
      </w:r>
      <w:r w:rsidRPr="009F3A40">
        <w:rPr>
          <w:rFonts w:hint="eastAsia"/>
          <w:snapToGrid/>
        </w:rPr>
        <w:t>1</w:t>
      </w:r>
      <w:r w:rsidR="00790ABD">
        <w:rPr>
          <w:snapToGrid/>
        </w:rPr>
        <w:t>1</w:t>
      </w:r>
      <w:r w:rsidR="005E49BC">
        <w:rPr>
          <w:rFonts w:hint="eastAsia"/>
          <w:snapToGrid/>
        </w:rPr>
        <w:t>3</w:t>
      </w:r>
      <w:r w:rsidRPr="009F3A40">
        <w:rPr>
          <w:rFonts w:hint="eastAsia"/>
          <w:snapToGrid/>
        </w:rPr>
        <w:t>年度預算</w:t>
      </w:r>
      <w:r w:rsidR="00B8312B">
        <w:rPr>
          <w:rFonts w:hint="eastAsia"/>
          <w:snapToGrid/>
        </w:rPr>
        <w:t>賸餘</w:t>
      </w:r>
      <w:r w:rsidR="00D0325C">
        <w:rPr>
          <w:rFonts w:hint="eastAsia"/>
          <w:snapToGrid/>
        </w:rPr>
        <w:t>增加</w:t>
      </w:r>
      <w:r w:rsidR="005E49BC">
        <w:rPr>
          <w:rFonts w:hint="eastAsia"/>
          <w:snapToGrid/>
        </w:rPr>
        <w:t>106</w:t>
      </w:r>
      <w:r w:rsidR="00F70BD8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="00F70BD8">
        <w:rPr>
          <w:rFonts w:hint="eastAsia"/>
          <w:snapToGrid/>
        </w:rPr>
        <w:t>元</w:t>
      </w:r>
      <w:r w:rsidR="003F37FC">
        <w:rPr>
          <w:rFonts w:hint="eastAsia"/>
          <w:snapToGrid/>
        </w:rPr>
        <w:t>(</w:t>
      </w:r>
      <w:r w:rsidR="00961D9D">
        <w:rPr>
          <w:rFonts w:hint="eastAsia"/>
          <w:snapToGrid/>
        </w:rPr>
        <w:t>增</w:t>
      </w:r>
      <w:r w:rsidR="003F37FC">
        <w:rPr>
          <w:rFonts w:hint="eastAsia"/>
          <w:snapToGrid/>
        </w:rPr>
        <w:t>幅</w:t>
      </w:r>
      <w:r w:rsidR="005E49BC">
        <w:rPr>
          <w:rFonts w:hint="eastAsia"/>
          <w:snapToGrid/>
        </w:rPr>
        <w:t>112</w:t>
      </w:r>
      <w:r w:rsidR="003F37FC">
        <w:rPr>
          <w:rFonts w:hint="eastAsia"/>
          <w:snapToGrid/>
        </w:rPr>
        <w:t>%)</w:t>
      </w:r>
      <w:r w:rsidRPr="009F3A40">
        <w:rPr>
          <w:rFonts w:hint="eastAsia"/>
          <w:snapToGrid/>
        </w:rPr>
        <w:t>。謹就</w:t>
      </w:r>
      <w:r>
        <w:rPr>
          <w:rFonts w:hint="eastAsia"/>
          <w:snapToGrid/>
        </w:rPr>
        <w:t>債務基金</w:t>
      </w:r>
      <w:r w:rsidRPr="009F3A40">
        <w:rPr>
          <w:rFonts w:hint="eastAsia"/>
          <w:snapToGrid/>
        </w:rPr>
        <w:t>1</w:t>
      </w:r>
      <w:r w:rsidR="00555523">
        <w:rPr>
          <w:snapToGrid/>
        </w:rPr>
        <w:t>1</w:t>
      </w:r>
      <w:r w:rsidR="005E49BC">
        <w:rPr>
          <w:rFonts w:hint="eastAsia"/>
          <w:snapToGrid/>
        </w:rPr>
        <w:t>4</w:t>
      </w:r>
      <w:r w:rsidR="00B8312B" w:rsidRPr="003F54E6">
        <w:rPr>
          <w:rFonts w:hint="eastAsia"/>
        </w:rPr>
        <w:t>年度預算評估如下</w:t>
      </w:r>
      <w:r w:rsidRPr="009F3A40">
        <w:rPr>
          <w:rFonts w:hint="eastAsia"/>
          <w:snapToGrid/>
        </w:rPr>
        <w:t>：</w:t>
      </w:r>
    </w:p>
    <w:p w:rsidR="007F6163" w:rsidRPr="005C1275" w:rsidRDefault="00155359" w:rsidP="007F6163">
      <w:pPr>
        <w:pStyle w:val="14"/>
        <w:ind w:left="567" w:hanging="567"/>
      </w:pPr>
      <w:bookmarkStart w:id="1" w:name="_Toc181900926"/>
      <w:r>
        <w:rPr>
          <w:rFonts w:hint="eastAsia"/>
        </w:rPr>
        <w:t>七、</w:t>
      </w:r>
      <w:r w:rsidR="005A4D62">
        <w:rPr>
          <w:rFonts w:hint="eastAsia"/>
        </w:rPr>
        <w:t>113</w:t>
      </w:r>
      <w:r>
        <w:rPr>
          <w:rFonts w:hint="eastAsia"/>
        </w:rPr>
        <w:t>年</w:t>
      </w:r>
      <w:r w:rsidR="001A2175">
        <w:rPr>
          <w:rFonts w:hint="eastAsia"/>
        </w:rPr>
        <w:t>1至</w:t>
      </w:r>
      <w:r>
        <w:rPr>
          <w:rFonts w:hint="eastAsia"/>
        </w:rPr>
        <w:t>9月</w:t>
      </w:r>
      <w:r w:rsidR="001A2175">
        <w:rPr>
          <w:rFonts w:hint="eastAsia"/>
        </w:rPr>
        <w:t>間</w:t>
      </w:r>
      <w:r w:rsidR="0001611D">
        <w:rPr>
          <w:rFonts w:hint="eastAsia"/>
        </w:rPr>
        <w:t>，</w:t>
      </w:r>
      <w:r>
        <w:rPr>
          <w:rFonts w:hint="eastAsia"/>
          <w:color w:val="000000"/>
        </w:rPr>
        <w:t>10年期</w:t>
      </w:r>
      <w:r w:rsidRPr="003D5EAD">
        <w:rPr>
          <w:rFonts w:hint="eastAsia"/>
          <w:color w:val="000000"/>
        </w:rPr>
        <w:t>公債</w:t>
      </w:r>
      <w:r>
        <w:rPr>
          <w:rFonts w:hAnsi="標楷體" w:hint="eastAsia"/>
        </w:rPr>
        <w:t>標售最高得標利率加權平均值</w:t>
      </w:r>
      <w:r w:rsidRPr="003D5EAD">
        <w:rPr>
          <w:rFonts w:hint="eastAsia"/>
          <w:color w:val="000000"/>
        </w:rPr>
        <w:t>較</w:t>
      </w:r>
      <w:r w:rsidR="001A2175">
        <w:rPr>
          <w:rFonts w:hint="eastAsia"/>
          <w:color w:val="000000"/>
        </w:rPr>
        <w:t>112</w:t>
      </w:r>
      <w:r w:rsidRPr="003D5EAD">
        <w:rPr>
          <w:rFonts w:hint="eastAsia"/>
          <w:color w:val="000000"/>
        </w:rPr>
        <w:t>年</w:t>
      </w:r>
      <w:r w:rsidR="001A2175">
        <w:rPr>
          <w:rFonts w:hint="eastAsia"/>
          <w:color w:val="000000"/>
        </w:rPr>
        <w:t>同期上升34個基點，</w:t>
      </w:r>
      <w:r w:rsidRPr="003D5EAD">
        <w:rPr>
          <w:rFonts w:hint="eastAsia"/>
          <w:color w:val="000000"/>
        </w:rPr>
        <w:t>宜</w:t>
      </w:r>
      <w:r w:rsidR="001A2175">
        <w:rPr>
          <w:rFonts w:hint="eastAsia"/>
          <w:color w:val="000000"/>
        </w:rPr>
        <w:t>持續觀察及妥為應處</w:t>
      </w:r>
      <w:r>
        <w:rPr>
          <w:rFonts w:hint="eastAsia"/>
          <w:color w:val="000000"/>
        </w:rPr>
        <w:t>，</w:t>
      </w:r>
      <w:r w:rsidRPr="003D5EAD">
        <w:rPr>
          <w:rFonts w:hint="eastAsia"/>
          <w:color w:val="000000"/>
        </w:rPr>
        <w:t>以</w:t>
      </w:r>
      <w:r w:rsidR="001A2175">
        <w:rPr>
          <w:rFonts w:hint="eastAsia"/>
          <w:color w:val="000000"/>
        </w:rPr>
        <w:t>減少利</w:t>
      </w:r>
      <w:r w:rsidRPr="003D5EAD">
        <w:rPr>
          <w:rFonts w:hint="eastAsia"/>
          <w:color w:val="000000"/>
        </w:rPr>
        <w:t>息</w:t>
      </w:r>
      <w:r w:rsidR="001A2175">
        <w:rPr>
          <w:rFonts w:hint="eastAsia"/>
          <w:color w:val="000000"/>
        </w:rPr>
        <w:t>負擔</w:t>
      </w:r>
      <w:bookmarkEnd w:id="1"/>
    </w:p>
    <w:p w:rsidR="007F6163" w:rsidRPr="000A396A" w:rsidRDefault="00E94947" w:rsidP="007F6163">
      <w:pPr>
        <w:ind w:left="566" w:firstLine="566"/>
      </w:pPr>
      <w:r w:rsidRPr="00980918">
        <w:rPr>
          <w:rFonts w:hint="eastAsia"/>
        </w:rPr>
        <w:t>債務基金</w:t>
      </w:r>
      <w:r>
        <w:rPr>
          <w:rFonts w:hint="eastAsia"/>
        </w:rPr>
        <w:t>11</w:t>
      </w:r>
      <w:r w:rsidR="00AD5E7C">
        <w:rPr>
          <w:rFonts w:hint="eastAsia"/>
        </w:rPr>
        <w:t>4</w:t>
      </w:r>
      <w:r w:rsidRPr="00980918">
        <w:rPr>
          <w:rFonts w:hint="eastAsia"/>
        </w:rPr>
        <w:t>年度預算案於「基金用途-還本付息計畫</w:t>
      </w:r>
      <w:r>
        <w:rPr>
          <w:rFonts w:hint="eastAsia"/>
        </w:rPr>
        <w:t>-</w:t>
      </w:r>
      <w:r w:rsidRPr="00980918">
        <w:rPr>
          <w:rFonts w:hint="eastAsia"/>
        </w:rPr>
        <w:t>債務付息支出」項下</w:t>
      </w:r>
      <w:r>
        <w:rPr>
          <w:rFonts w:hint="eastAsia"/>
        </w:rPr>
        <w:t>編列</w:t>
      </w:r>
      <w:r w:rsidR="007F6163">
        <w:rPr>
          <w:rFonts w:hint="eastAsia"/>
          <w:color w:val="000000"/>
        </w:rPr>
        <w:t>「</w:t>
      </w:r>
      <w:r>
        <w:rPr>
          <w:rFonts w:hint="eastAsia"/>
          <w:color w:val="000000"/>
        </w:rPr>
        <w:t>償付中央政府建設</w:t>
      </w:r>
      <w:r w:rsidR="007F6163">
        <w:rPr>
          <w:rFonts w:hint="eastAsia"/>
          <w:color w:val="000000"/>
        </w:rPr>
        <w:t>公債利息」81</w:t>
      </w:r>
      <w:r w:rsidR="00AD5E7C">
        <w:rPr>
          <w:rFonts w:hint="eastAsia"/>
          <w:color w:val="000000"/>
        </w:rPr>
        <w:t>8</w:t>
      </w:r>
      <w:r w:rsidR="007F6163" w:rsidRPr="0064432C">
        <w:rPr>
          <w:rFonts w:hint="eastAsia"/>
          <w:color w:val="000000"/>
        </w:rPr>
        <w:t>億</w:t>
      </w:r>
      <w:r w:rsidR="00AD5E7C">
        <w:rPr>
          <w:rFonts w:hint="eastAsia"/>
          <w:color w:val="000000"/>
        </w:rPr>
        <w:t>6</w:t>
      </w:r>
      <w:r w:rsidR="00AD5E7C">
        <w:rPr>
          <w:color w:val="000000"/>
        </w:rPr>
        <w:t>,919</w:t>
      </w:r>
      <w:r w:rsidR="007F6163" w:rsidRPr="0064432C">
        <w:rPr>
          <w:rFonts w:hint="eastAsia"/>
          <w:color w:val="000000"/>
        </w:rPr>
        <w:t>萬元</w:t>
      </w:r>
      <w:r w:rsidR="007F6163">
        <w:rPr>
          <w:rFonts w:hint="eastAsia"/>
          <w:color w:val="000000"/>
        </w:rPr>
        <w:t>，較11</w:t>
      </w:r>
      <w:r w:rsidR="00AD5E7C">
        <w:rPr>
          <w:color w:val="000000"/>
        </w:rPr>
        <w:t>3</w:t>
      </w:r>
      <w:r w:rsidR="007F6163">
        <w:rPr>
          <w:rFonts w:hint="eastAsia"/>
          <w:color w:val="000000"/>
        </w:rPr>
        <w:t>年度增加</w:t>
      </w:r>
      <w:r w:rsidR="00AD5E7C">
        <w:rPr>
          <w:color w:val="000000"/>
        </w:rPr>
        <w:t>4</w:t>
      </w:r>
      <w:r w:rsidR="007F6163">
        <w:rPr>
          <w:rFonts w:hint="eastAsia"/>
          <w:color w:val="000000"/>
        </w:rPr>
        <w:t>億6</w:t>
      </w:r>
      <w:r w:rsidR="007F6163">
        <w:t>,8</w:t>
      </w:r>
      <w:r w:rsidR="00AD5E7C">
        <w:t>75</w:t>
      </w:r>
      <w:r w:rsidR="007F6163">
        <w:rPr>
          <w:rFonts w:hint="eastAsia"/>
        </w:rPr>
        <w:t>萬元(增幅</w:t>
      </w:r>
      <w:r w:rsidR="00AD5E7C">
        <w:t>0.</w:t>
      </w:r>
      <w:r w:rsidR="007F6163">
        <w:rPr>
          <w:rFonts w:hint="eastAsia"/>
        </w:rPr>
        <w:t>5</w:t>
      </w:r>
      <w:r w:rsidR="00AD5E7C">
        <w:t>8</w:t>
      </w:r>
      <w:r w:rsidR="007F6163">
        <w:rPr>
          <w:rFonts w:hint="eastAsia"/>
        </w:rPr>
        <w:t>%)</w:t>
      </w:r>
      <w:r w:rsidR="007F6163" w:rsidRPr="00980918">
        <w:rPr>
          <w:rFonts w:hint="eastAsia"/>
        </w:rPr>
        <w:t>。</w:t>
      </w:r>
      <w:r w:rsidR="007F6163">
        <w:rPr>
          <w:rFonts w:hint="eastAsia"/>
        </w:rPr>
        <w:t>經查</w:t>
      </w:r>
      <w:r w:rsidR="007F6163" w:rsidRPr="007E4177">
        <w:rPr>
          <w:rFonts w:hint="eastAsia"/>
        </w:rPr>
        <w:t>：</w:t>
      </w:r>
    </w:p>
    <w:p w:rsidR="007F6163" w:rsidRDefault="007F6163" w:rsidP="007F6163">
      <w:pPr>
        <w:pStyle w:val="a4"/>
        <w:ind w:left="849" w:hanging="283"/>
        <w:rPr>
          <w:rFonts w:hAnsi="標楷體" w:cs="細明體"/>
          <w:b/>
        </w:rPr>
      </w:pPr>
      <w:r>
        <w:rPr>
          <w:rFonts w:hAnsi="標楷體" w:cs="細明體" w:hint="eastAsia"/>
          <w:b/>
        </w:rPr>
        <w:t>(一</w:t>
      </w:r>
      <w:r w:rsidR="000D50CB">
        <w:rPr>
          <w:rFonts w:hAnsi="標楷體" w:cs="細明體" w:hint="eastAsia"/>
          <w:b/>
        </w:rPr>
        <w:t>)110</w:t>
      </w:r>
      <w:r w:rsidR="0001611D">
        <w:rPr>
          <w:rFonts w:hAnsi="標楷體" w:cs="細明體" w:hint="eastAsia"/>
          <w:b/>
        </w:rPr>
        <w:t>至</w:t>
      </w:r>
      <w:r>
        <w:rPr>
          <w:rFonts w:hAnsi="標楷體" w:cs="細明體" w:hint="eastAsia"/>
          <w:b/>
        </w:rPr>
        <w:t>11</w:t>
      </w:r>
      <w:r w:rsidR="000D50CB">
        <w:rPr>
          <w:rFonts w:hAnsi="標楷體" w:cs="細明體" w:hint="eastAsia"/>
          <w:b/>
        </w:rPr>
        <w:t>2</w:t>
      </w:r>
      <w:r>
        <w:rPr>
          <w:rFonts w:hAnsi="標楷體" w:cs="細明體" w:hint="eastAsia"/>
          <w:b/>
        </w:rPr>
        <w:t>年度</w:t>
      </w:r>
      <w:r w:rsidRPr="00B32E43">
        <w:rPr>
          <w:rFonts w:hAnsi="標楷體" w:cs="細明體" w:hint="eastAsia"/>
          <w:b/>
        </w:rPr>
        <w:t>公債利息</w:t>
      </w:r>
      <w:r>
        <w:rPr>
          <w:rFonts w:hAnsi="標楷體" w:cs="細明體" w:hint="eastAsia"/>
          <w:b/>
        </w:rPr>
        <w:t>決算數逐年下降</w:t>
      </w:r>
    </w:p>
    <w:p w:rsidR="007F6163" w:rsidRDefault="007F6163" w:rsidP="007F6163">
      <w:pPr>
        <w:pStyle w:val="21"/>
        <w:ind w:left="850" w:firstLine="566"/>
      </w:pPr>
      <w:r>
        <w:rPr>
          <w:rFonts w:hint="eastAsia"/>
        </w:rPr>
        <w:t>近3年度</w:t>
      </w:r>
      <w:r w:rsidR="000D50CB">
        <w:rPr>
          <w:rFonts w:hint="eastAsia"/>
        </w:rPr>
        <w:t>(110</w:t>
      </w:r>
      <w:r>
        <w:rPr>
          <w:rFonts w:hint="eastAsia"/>
        </w:rPr>
        <w:t>至11</w:t>
      </w:r>
      <w:r w:rsidR="000D50CB">
        <w:rPr>
          <w:rFonts w:hint="eastAsia"/>
        </w:rPr>
        <w:t>2</w:t>
      </w:r>
      <w:r>
        <w:rPr>
          <w:rFonts w:hint="eastAsia"/>
        </w:rPr>
        <w:t>年</w:t>
      </w:r>
      <w:r w:rsidR="000D50CB">
        <w:rPr>
          <w:rFonts w:hint="eastAsia"/>
        </w:rPr>
        <w:t>度，以下同</w:t>
      </w:r>
      <w:r>
        <w:rPr>
          <w:rFonts w:hint="eastAsia"/>
        </w:rPr>
        <w:t>)中央政府甲類公債分別發行5</w:t>
      </w:r>
      <w:r>
        <w:t>,550</w:t>
      </w:r>
      <w:r w:rsidR="000D50CB">
        <w:rPr>
          <w:rFonts w:hint="eastAsia"/>
        </w:rPr>
        <w:t>億元、</w:t>
      </w:r>
      <w:r>
        <w:rPr>
          <w:rFonts w:hint="eastAsia"/>
        </w:rPr>
        <w:t>4,857億元</w:t>
      </w:r>
      <w:r w:rsidR="000D50CB">
        <w:rPr>
          <w:rFonts w:hint="eastAsia"/>
        </w:rPr>
        <w:t>及4</w:t>
      </w:r>
      <w:r w:rsidR="000D50CB">
        <w:t>,600</w:t>
      </w:r>
      <w:r w:rsidR="000D50CB">
        <w:rPr>
          <w:rFonts w:hint="eastAsia"/>
        </w:rPr>
        <w:t>億元</w:t>
      </w:r>
      <w:r>
        <w:rPr>
          <w:rFonts w:hint="eastAsia"/>
        </w:rPr>
        <w:t>，同期間</w:t>
      </w:r>
      <w:r w:rsidRPr="00B32E43">
        <w:rPr>
          <w:rFonts w:hint="eastAsia"/>
        </w:rPr>
        <w:t>公債利息</w:t>
      </w:r>
      <w:r>
        <w:rPr>
          <w:rFonts w:hint="eastAsia"/>
        </w:rPr>
        <w:t>決算數分別為866.61</w:t>
      </w:r>
      <w:r w:rsidR="000D50CB">
        <w:rPr>
          <w:rFonts w:hint="eastAsia"/>
        </w:rPr>
        <w:t>億元、</w:t>
      </w:r>
      <w:r>
        <w:rPr>
          <w:rFonts w:hint="eastAsia"/>
        </w:rPr>
        <w:t>805.39億元</w:t>
      </w:r>
      <w:r w:rsidR="000D50CB">
        <w:rPr>
          <w:rFonts w:hint="eastAsia"/>
        </w:rPr>
        <w:t>及794.71億元</w:t>
      </w:r>
      <w:r>
        <w:rPr>
          <w:rFonts w:hint="eastAsia"/>
        </w:rPr>
        <w:t>，呈</w:t>
      </w:r>
      <w:r w:rsidR="000D50CB">
        <w:rPr>
          <w:rFonts w:hint="eastAsia"/>
        </w:rPr>
        <w:t>逐年</w:t>
      </w:r>
      <w:r>
        <w:rPr>
          <w:rFonts w:hint="eastAsia"/>
        </w:rPr>
        <w:t>下降，國庫署說明110年度因國內資金較為充沛，且中央銀行曾於109年</w:t>
      </w:r>
      <w:r w:rsidR="000D50CB">
        <w:rPr>
          <w:rFonts w:hint="eastAsia"/>
        </w:rPr>
        <w:t>3月間</w:t>
      </w:r>
      <w:r>
        <w:rPr>
          <w:rFonts w:hint="eastAsia"/>
        </w:rPr>
        <w:t>調降</w:t>
      </w:r>
      <w:r w:rsidRPr="001925D5">
        <w:rPr>
          <w:rFonts w:hint="eastAsia"/>
        </w:rPr>
        <w:t>政策利率</w:t>
      </w:r>
      <w:r>
        <w:rPr>
          <w:rFonts w:hint="eastAsia"/>
        </w:rPr>
        <w:t>0.25個百分點，加以標售利率較預估值為低</w:t>
      </w:r>
      <w:r w:rsidR="009438DE">
        <w:rPr>
          <w:rFonts w:hint="eastAsia"/>
        </w:rPr>
        <w:t>，另</w:t>
      </w:r>
      <w:r>
        <w:rPr>
          <w:rFonts w:hint="eastAsia"/>
        </w:rPr>
        <w:t>11</w:t>
      </w:r>
      <w:r w:rsidR="009438DE">
        <w:rPr>
          <w:rFonts w:hint="eastAsia"/>
        </w:rPr>
        <w:t>0至</w:t>
      </w:r>
      <w:r w:rsidR="000D50CB">
        <w:rPr>
          <w:rFonts w:hint="eastAsia"/>
        </w:rPr>
        <w:t>112</w:t>
      </w:r>
      <w:r>
        <w:rPr>
          <w:rFonts w:hint="eastAsia"/>
        </w:rPr>
        <w:t>年度因總預算並未舉債致公債發行量較預期為低，爰公債付息決算數近年呈現逐年下降趨勢。</w:t>
      </w:r>
    </w:p>
    <w:p w:rsidR="007F6163" w:rsidRPr="00482374" w:rsidRDefault="007F6163" w:rsidP="007F6163">
      <w:pPr>
        <w:pStyle w:val="a4"/>
        <w:ind w:left="849" w:hanging="283"/>
        <w:rPr>
          <w:rFonts w:ascii="華康楷書體W5外字集" w:eastAsia="華康楷書體W5外字集"/>
          <w:b/>
        </w:rPr>
      </w:pPr>
      <w:r>
        <w:rPr>
          <w:rFonts w:hint="eastAsia"/>
          <w:b/>
        </w:rPr>
        <w:t>(二</w:t>
      </w:r>
      <w:r w:rsidR="000D50CB">
        <w:rPr>
          <w:rFonts w:hint="eastAsia"/>
          <w:b/>
        </w:rPr>
        <w:t>)113</w:t>
      </w:r>
      <w:r>
        <w:rPr>
          <w:rFonts w:hint="eastAsia"/>
          <w:b/>
        </w:rPr>
        <w:t>年</w:t>
      </w:r>
      <w:r w:rsidR="00167E57">
        <w:rPr>
          <w:rFonts w:hint="eastAsia"/>
          <w:b/>
        </w:rPr>
        <w:t>1至</w:t>
      </w:r>
      <w:r w:rsidR="008F7CA3">
        <w:rPr>
          <w:rFonts w:hint="eastAsia"/>
          <w:b/>
        </w:rPr>
        <w:t>9月</w:t>
      </w:r>
      <w:r w:rsidR="00167E57">
        <w:rPr>
          <w:rFonts w:hint="eastAsia"/>
          <w:b/>
        </w:rPr>
        <w:t>間，</w:t>
      </w:r>
      <w:r w:rsidR="00F82BA4">
        <w:rPr>
          <w:rFonts w:hint="eastAsia"/>
          <w:b/>
        </w:rPr>
        <w:t>我國10年期</w:t>
      </w:r>
      <w:r>
        <w:rPr>
          <w:rFonts w:hint="eastAsia"/>
          <w:b/>
        </w:rPr>
        <w:t>公債</w:t>
      </w:r>
      <w:r w:rsidR="005E572E" w:rsidRPr="005E572E">
        <w:rPr>
          <w:rFonts w:hint="eastAsia"/>
          <w:b/>
        </w:rPr>
        <w:t>最高得標利率加權平均值</w:t>
      </w:r>
      <w:r>
        <w:rPr>
          <w:rFonts w:hint="eastAsia"/>
          <w:b/>
        </w:rPr>
        <w:t>較11</w:t>
      </w:r>
      <w:r w:rsidR="000D50CB">
        <w:rPr>
          <w:rFonts w:hint="eastAsia"/>
          <w:b/>
        </w:rPr>
        <w:t>2</w:t>
      </w:r>
      <w:r>
        <w:rPr>
          <w:rFonts w:hint="eastAsia"/>
          <w:b/>
        </w:rPr>
        <w:t>年度同期上升</w:t>
      </w:r>
      <w:r w:rsidR="00167E57">
        <w:rPr>
          <w:rFonts w:hint="eastAsia"/>
          <w:b/>
        </w:rPr>
        <w:t>約34個基點</w:t>
      </w:r>
    </w:p>
    <w:p w:rsidR="00A16D4B" w:rsidRDefault="007F6163" w:rsidP="000D50CB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據</w:t>
      </w:r>
      <w:r w:rsidR="008B0DF7">
        <w:rPr>
          <w:rFonts w:hAnsi="標楷體" w:hint="eastAsia"/>
        </w:rPr>
        <w:t>中</w:t>
      </w:r>
      <w:r>
        <w:rPr>
          <w:rFonts w:hAnsi="標楷體" w:hint="eastAsia"/>
        </w:rPr>
        <w:t>央</w:t>
      </w:r>
      <w:r w:rsidR="008B0DF7">
        <w:rPr>
          <w:rFonts w:hAnsi="標楷體" w:hint="eastAsia"/>
        </w:rPr>
        <w:t>銀</w:t>
      </w:r>
      <w:r>
        <w:rPr>
          <w:rFonts w:hAnsi="標楷體" w:hint="eastAsia"/>
        </w:rPr>
        <w:t>行</w:t>
      </w:r>
      <w:r w:rsidR="008B0DF7">
        <w:rPr>
          <w:rFonts w:hAnsi="標楷體" w:hint="eastAsia"/>
        </w:rPr>
        <w:t>2023</w:t>
      </w:r>
      <w:r>
        <w:rPr>
          <w:rFonts w:hAnsi="標楷體" w:hint="eastAsia"/>
        </w:rPr>
        <w:t>年報</w:t>
      </w:r>
      <w:r w:rsidR="00A16D4B">
        <w:rPr>
          <w:rStyle w:val="af5"/>
          <w:rFonts w:hAnsi="標楷體"/>
        </w:rPr>
        <w:footnoteReference w:id="1"/>
      </w:r>
      <w:r>
        <w:rPr>
          <w:rFonts w:hAnsi="標楷體" w:hint="eastAsia"/>
        </w:rPr>
        <w:t>指出，</w:t>
      </w:r>
      <w:r w:rsidR="00167E57">
        <w:rPr>
          <w:rFonts w:hAnsi="標楷體" w:hint="eastAsia"/>
        </w:rPr>
        <w:t>2023</w:t>
      </w:r>
      <w:r w:rsidRPr="00C2445E">
        <w:rPr>
          <w:rFonts w:hAnsi="標楷體" w:hint="eastAsia"/>
        </w:rPr>
        <w:t>年</w:t>
      </w:r>
      <w:r w:rsidR="000D50CB">
        <w:rPr>
          <w:rFonts w:hAnsi="標楷體" w:hint="eastAsia"/>
        </w:rPr>
        <w:t>各國公債殖利率走勢不定，美國因</w:t>
      </w:r>
      <w:r w:rsidR="000D50CB" w:rsidRPr="000D50CB">
        <w:rPr>
          <w:rFonts w:hAnsi="標楷體" w:hint="eastAsia"/>
        </w:rPr>
        <w:t>市場預期</w:t>
      </w:r>
      <w:r w:rsidR="00167E57" w:rsidRPr="00167E57">
        <w:rPr>
          <w:rFonts w:hAnsi="標楷體" w:hint="eastAsia"/>
        </w:rPr>
        <w:t>聯準會(Fed)</w:t>
      </w:r>
      <w:r w:rsidR="000D50CB" w:rsidRPr="000D50CB">
        <w:rPr>
          <w:rFonts w:hAnsi="標楷體" w:hint="eastAsia"/>
        </w:rPr>
        <w:t>將維持高利率一段時間，加以</w:t>
      </w:r>
      <w:r w:rsidR="000D50CB">
        <w:rPr>
          <w:rFonts w:hAnsi="標楷體" w:hint="eastAsia"/>
        </w:rPr>
        <w:t>公債發行量增加，其</w:t>
      </w:r>
      <w:r w:rsidR="00F82BA4">
        <w:rPr>
          <w:rFonts w:hAnsi="標楷體" w:hint="eastAsia"/>
        </w:rPr>
        <w:t>10</w:t>
      </w:r>
      <w:r w:rsidR="000D50CB" w:rsidRPr="000D50CB">
        <w:rPr>
          <w:rFonts w:hAnsi="標楷體" w:hint="eastAsia"/>
        </w:rPr>
        <w:t>年期公債殖利率</w:t>
      </w:r>
      <w:r w:rsidR="000D50CB">
        <w:rPr>
          <w:rFonts w:hAnsi="標楷體" w:hint="eastAsia"/>
        </w:rPr>
        <w:t>曾</w:t>
      </w:r>
      <w:r w:rsidR="000D50CB" w:rsidRPr="000D50CB">
        <w:rPr>
          <w:rFonts w:hAnsi="標楷體" w:hint="eastAsia"/>
        </w:rPr>
        <w:t>彈升至近5%，嗣因Fed立場</w:t>
      </w:r>
      <w:r w:rsidR="000D50CB">
        <w:rPr>
          <w:rFonts w:hAnsi="標楷體" w:hint="eastAsia"/>
        </w:rPr>
        <w:t>轉向而回落至</w:t>
      </w:r>
      <w:r w:rsidR="00094503">
        <w:rPr>
          <w:rFonts w:hAnsi="標楷體" w:hint="eastAsia"/>
        </w:rPr>
        <w:t>2023年</w:t>
      </w:r>
      <w:r w:rsidR="000D50CB" w:rsidRPr="000D50CB">
        <w:rPr>
          <w:rFonts w:hAnsi="標楷體" w:hint="eastAsia"/>
        </w:rPr>
        <w:t>底之3.88%，與上年底持平</w:t>
      </w:r>
      <w:r>
        <w:rPr>
          <w:rFonts w:hAnsi="標楷體" w:hint="eastAsia"/>
        </w:rPr>
        <w:t>。</w:t>
      </w:r>
      <w:r w:rsidR="000D50CB" w:rsidRPr="000D50CB">
        <w:rPr>
          <w:rFonts w:hAnsi="標楷體" w:hint="eastAsia"/>
        </w:rPr>
        <w:t>德</w:t>
      </w:r>
      <w:r w:rsidR="000D50CB" w:rsidRPr="000D50CB">
        <w:rPr>
          <w:rFonts w:hAnsi="標楷體" w:hint="eastAsia"/>
        </w:rPr>
        <w:lastRenderedPageBreak/>
        <w:t>國</w:t>
      </w:r>
      <w:r w:rsidR="000D50CB">
        <w:rPr>
          <w:rFonts w:hAnsi="標楷體" w:hint="eastAsia"/>
        </w:rPr>
        <w:t>10</w:t>
      </w:r>
      <w:r w:rsidR="000D50CB" w:rsidRPr="000D50CB">
        <w:rPr>
          <w:rFonts w:hAnsi="標楷體" w:hint="eastAsia"/>
        </w:rPr>
        <w:t>年期公債殖利率因歐元區通膨率高而走揚，嗣</w:t>
      </w:r>
      <w:r w:rsidR="000D50CB">
        <w:rPr>
          <w:rFonts w:hAnsi="標楷體" w:hint="eastAsia"/>
        </w:rPr>
        <w:t>因通膨壓力大幅趨緩且經濟前景悲觀而</w:t>
      </w:r>
      <w:r w:rsidR="000D50CB" w:rsidRPr="000D50CB">
        <w:rPr>
          <w:rFonts w:hAnsi="標楷體" w:hint="eastAsia"/>
        </w:rPr>
        <w:t>跌至2.03%，較上年底下降53個基點；日本因</w:t>
      </w:r>
      <w:r w:rsidR="00167E57">
        <w:rPr>
          <w:rFonts w:hAnsi="標楷體" w:hint="eastAsia"/>
        </w:rPr>
        <w:t>該國央行(</w:t>
      </w:r>
      <w:r w:rsidR="000D50CB" w:rsidRPr="000D50CB">
        <w:rPr>
          <w:rFonts w:hAnsi="標楷體" w:hint="eastAsia"/>
        </w:rPr>
        <w:t>BoJ</w:t>
      </w:r>
      <w:r w:rsidR="00167E57">
        <w:rPr>
          <w:rFonts w:hAnsi="標楷體" w:hint="eastAsia"/>
        </w:rPr>
        <w:t>)</w:t>
      </w:r>
      <w:r w:rsidR="000D50CB" w:rsidRPr="000D50CB">
        <w:rPr>
          <w:rFonts w:hAnsi="標楷體" w:hint="eastAsia"/>
        </w:rPr>
        <w:t>調升殖利率曲線控制區間上限</w:t>
      </w:r>
      <w:r w:rsidR="00167E57">
        <w:rPr>
          <w:rStyle w:val="af5"/>
          <w:rFonts w:hAnsi="標楷體"/>
        </w:rPr>
        <w:footnoteReference w:id="2"/>
      </w:r>
      <w:r w:rsidR="000D50CB" w:rsidRPr="000D50CB">
        <w:rPr>
          <w:rFonts w:hAnsi="標楷體" w:hint="eastAsia"/>
        </w:rPr>
        <w:t>，</w:t>
      </w:r>
      <w:r w:rsidR="000D50CB">
        <w:rPr>
          <w:rFonts w:hAnsi="標楷體" w:hint="eastAsia"/>
        </w:rPr>
        <w:t>10</w:t>
      </w:r>
      <w:r w:rsidR="000D50CB" w:rsidRPr="000D50CB">
        <w:rPr>
          <w:rFonts w:hAnsi="標楷體" w:hint="eastAsia"/>
        </w:rPr>
        <w:t>年期公債殖利率較上年底走揚</w:t>
      </w:r>
      <w:r w:rsidR="00A16D4B">
        <w:rPr>
          <w:rFonts w:hAnsi="標楷體" w:hint="eastAsia"/>
        </w:rPr>
        <w:t>21</w:t>
      </w:r>
      <w:r w:rsidR="000D50CB" w:rsidRPr="000D50CB">
        <w:rPr>
          <w:rFonts w:hAnsi="標楷體" w:hint="eastAsia"/>
        </w:rPr>
        <w:t>個基點至0.63%</w:t>
      </w:r>
      <w:r w:rsidR="00A16D4B">
        <w:rPr>
          <w:rFonts w:hAnsi="標楷體" w:hint="eastAsia"/>
        </w:rPr>
        <w:t>。</w:t>
      </w:r>
    </w:p>
    <w:p w:rsidR="007F6163" w:rsidRDefault="007F6163" w:rsidP="000D50CB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我國11</w:t>
      </w:r>
      <w:r w:rsidR="00A16D4B">
        <w:rPr>
          <w:rFonts w:hAnsi="標楷體" w:hint="eastAsia"/>
        </w:rPr>
        <w:t>2</w:t>
      </w:r>
      <w:r>
        <w:rPr>
          <w:rFonts w:hAnsi="標楷體" w:hint="eastAsia"/>
        </w:rPr>
        <w:t>年</w:t>
      </w:r>
      <w:r w:rsidR="006855D4">
        <w:rPr>
          <w:rFonts w:hAnsi="標楷體" w:hint="eastAsia"/>
        </w:rPr>
        <w:t>雖國內資金充裕，惟</w:t>
      </w:r>
      <w:r w:rsidR="00A16D4B">
        <w:rPr>
          <w:rFonts w:hAnsi="標楷體" w:hint="eastAsia"/>
        </w:rPr>
        <w:t>受中央銀行調升政策利率等因素影響，</w:t>
      </w:r>
      <w:r>
        <w:rPr>
          <w:rFonts w:hAnsi="標楷體" w:hint="eastAsia"/>
        </w:rPr>
        <w:t>10</w:t>
      </w:r>
      <w:r w:rsidRPr="00C2445E">
        <w:rPr>
          <w:rFonts w:hAnsi="標楷體" w:hint="eastAsia"/>
        </w:rPr>
        <w:t>年期指標公債</w:t>
      </w:r>
      <w:r w:rsidR="00A16D4B" w:rsidRPr="00C2445E">
        <w:rPr>
          <w:rFonts w:hAnsi="標楷體" w:hint="eastAsia"/>
        </w:rPr>
        <w:t>平均</w:t>
      </w:r>
      <w:r w:rsidRPr="00C2445E">
        <w:rPr>
          <w:rFonts w:hAnsi="標楷體" w:hint="eastAsia"/>
        </w:rPr>
        <w:t>殖利率</w:t>
      </w:r>
      <w:r w:rsidR="00A16D4B">
        <w:rPr>
          <w:rFonts w:hAnsi="標楷體" w:hint="eastAsia"/>
        </w:rPr>
        <w:t>上</w:t>
      </w:r>
      <w:r w:rsidR="00094503">
        <w:rPr>
          <w:rFonts w:hAnsi="標楷體" w:hint="eastAsia"/>
        </w:rPr>
        <w:t>升至</w:t>
      </w:r>
      <w:r w:rsidRPr="00C2445E">
        <w:rPr>
          <w:rFonts w:hAnsi="標楷體" w:hint="eastAsia"/>
        </w:rPr>
        <w:t>1.</w:t>
      </w:r>
      <w:r w:rsidR="00A16D4B">
        <w:rPr>
          <w:rFonts w:hAnsi="標楷體" w:hint="eastAsia"/>
        </w:rPr>
        <w:t>21</w:t>
      </w:r>
      <w:r w:rsidRPr="00C2445E">
        <w:rPr>
          <w:rFonts w:hAnsi="標楷體" w:hint="eastAsia"/>
        </w:rPr>
        <w:t>%，較</w:t>
      </w:r>
      <w:r>
        <w:rPr>
          <w:rFonts w:hAnsi="標楷體" w:hint="eastAsia"/>
        </w:rPr>
        <w:t>11</w:t>
      </w:r>
      <w:r w:rsidR="00A16D4B">
        <w:rPr>
          <w:rFonts w:hAnsi="標楷體" w:hint="eastAsia"/>
        </w:rPr>
        <w:t>1</w:t>
      </w:r>
      <w:r>
        <w:rPr>
          <w:rFonts w:hAnsi="標楷體" w:hint="eastAsia"/>
        </w:rPr>
        <w:t>年之</w:t>
      </w:r>
      <w:r w:rsidR="00A16D4B">
        <w:rPr>
          <w:rFonts w:hAnsi="標楷體" w:hint="eastAsia"/>
        </w:rPr>
        <w:t>1.09</w:t>
      </w:r>
      <w:r w:rsidRPr="00C2445E">
        <w:rPr>
          <w:rFonts w:hAnsi="標楷體" w:hint="eastAsia"/>
        </w:rPr>
        <w:t>%，增加</w:t>
      </w:r>
      <w:r w:rsidR="00A16D4B">
        <w:rPr>
          <w:rFonts w:hAnsi="標楷體" w:hint="eastAsia"/>
        </w:rPr>
        <w:t>12</w:t>
      </w:r>
      <w:r w:rsidRPr="00C2445E">
        <w:rPr>
          <w:rFonts w:hAnsi="標楷體" w:hint="eastAsia"/>
        </w:rPr>
        <w:t>個基點</w:t>
      </w:r>
      <w:r w:rsidR="00852564">
        <w:rPr>
          <w:rFonts w:hAnsi="標楷體" w:hint="eastAsia"/>
        </w:rPr>
        <w:t>。</w:t>
      </w:r>
      <w:r w:rsidR="00A16D4B">
        <w:rPr>
          <w:rFonts w:hAnsi="標楷體" w:hint="eastAsia"/>
        </w:rPr>
        <w:t>113</w:t>
      </w:r>
      <w:r>
        <w:rPr>
          <w:rFonts w:hAnsi="標楷體" w:hint="eastAsia"/>
        </w:rPr>
        <w:t>年1月至</w:t>
      </w:r>
      <w:r w:rsidR="001A2E9D">
        <w:rPr>
          <w:rFonts w:hAnsi="標楷體" w:hint="eastAsia"/>
        </w:rPr>
        <w:t>9</w:t>
      </w:r>
      <w:r>
        <w:rPr>
          <w:rFonts w:hAnsi="標楷體" w:hint="eastAsia"/>
        </w:rPr>
        <w:t>月間我國10年期主流公債發行1</w:t>
      </w:r>
      <w:r>
        <w:rPr>
          <w:rFonts w:hAnsi="標楷體"/>
        </w:rPr>
        <w:t>,</w:t>
      </w:r>
      <w:r w:rsidR="00A16D4B">
        <w:rPr>
          <w:rFonts w:hAnsi="標楷體" w:hint="eastAsia"/>
        </w:rPr>
        <w:t>3</w:t>
      </w:r>
      <w:r w:rsidR="001A2175">
        <w:rPr>
          <w:rFonts w:hAnsi="標楷體" w:hint="eastAsia"/>
        </w:rPr>
        <w:t>5</w:t>
      </w:r>
      <w:r>
        <w:rPr>
          <w:rFonts w:hAnsi="標楷體" w:hint="eastAsia"/>
        </w:rPr>
        <w:t>0億元(詳表1)，</w:t>
      </w:r>
      <w:r w:rsidR="00A16D4B">
        <w:rPr>
          <w:rFonts w:hAnsi="標楷體" w:hint="eastAsia"/>
        </w:rPr>
        <w:t>較</w:t>
      </w:r>
      <w:r>
        <w:rPr>
          <w:rFonts w:hAnsi="標楷體" w:hint="eastAsia"/>
        </w:rPr>
        <w:t>11</w:t>
      </w:r>
      <w:r w:rsidR="00A16D4B">
        <w:rPr>
          <w:rFonts w:hAnsi="標楷體" w:hint="eastAsia"/>
        </w:rPr>
        <w:t>2</w:t>
      </w:r>
      <w:r>
        <w:rPr>
          <w:rFonts w:hAnsi="標楷體" w:hint="eastAsia"/>
        </w:rPr>
        <w:t>年同期</w:t>
      </w:r>
      <w:r w:rsidR="00A16D4B">
        <w:rPr>
          <w:rFonts w:hAnsi="標楷體" w:hint="eastAsia"/>
        </w:rPr>
        <w:t>增加</w:t>
      </w:r>
      <w:r w:rsidR="001A2175">
        <w:rPr>
          <w:rFonts w:hAnsi="標楷體" w:hint="eastAsia"/>
        </w:rPr>
        <w:t>1</w:t>
      </w:r>
      <w:r w:rsidR="00A16D4B">
        <w:rPr>
          <w:rFonts w:hAnsi="標楷體" w:hint="eastAsia"/>
        </w:rPr>
        <w:t>50億元</w:t>
      </w:r>
      <w:r w:rsidR="009C6C69">
        <w:rPr>
          <w:rFonts w:hAnsi="標楷體" w:hint="eastAsia"/>
        </w:rPr>
        <w:t>，</w:t>
      </w:r>
      <w:r w:rsidR="005E572E">
        <w:rPr>
          <w:rFonts w:hAnsi="標楷體" w:hint="eastAsia"/>
        </w:rPr>
        <w:t>最高得標利率加權平均值</w:t>
      </w:r>
      <w:r>
        <w:rPr>
          <w:rFonts w:hAnsi="標楷體" w:hint="eastAsia"/>
        </w:rPr>
        <w:t>為1.</w:t>
      </w:r>
      <w:r w:rsidR="00A16D4B">
        <w:rPr>
          <w:rFonts w:hAnsi="標楷體" w:hint="eastAsia"/>
        </w:rPr>
        <w:t>5</w:t>
      </w:r>
      <w:r w:rsidR="001A2175">
        <w:rPr>
          <w:rFonts w:hAnsi="標楷體" w:hint="eastAsia"/>
        </w:rPr>
        <w:t>39</w:t>
      </w:r>
      <w:r>
        <w:rPr>
          <w:rFonts w:hAnsi="標楷體" w:hint="eastAsia"/>
        </w:rPr>
        <w:t>%，較11</w:t>
      </w:r>
      <w:r w:rsidR="00A16D4B">
        <w:rPr>
          <w:rFonts w:hAnsi="標楷體" w:hint="eastAsia"/>
        </w:rPr>
        <w:t>2</w:t>
      </w:r>
      <w:r>
        <w:rPr>
          <w:rFonts w:hAnsi="標楷體" w:hint="eastAsia"/>
        </w:rPr>
        <w:t>年同期之1.</w:t>
      </w:r>
      <w:r w:rsidR="001A2175">
        <w:rPr>
          <w:rFonts w:hAnsi="標楷體" w:hint="eastAsia"/>
        </w:rPr>
        <w:t>196</w:t>
      </w:r>
      <w:r>
        <w:rPr>
          <w:rFonts w:hAnsi="標楷體" w:hint="eastAsia"/>
        </w:rPr>
        <w:t>%，增加</w:t>
      </w:r>
      <w:r w:rsidR="009D6CA0">
        <w:rPr>
          <w:rFonts w:hAnsi="標楷體" w:hint="eastAsia"/>
        </w:rPr>
        <w:t>約</w:t>
      </w:r>
      <w:r w:rsidR="00A16D4B">
        <w:rPr>
          <w:rFonts w:hAnsi="標楷體" w:hint="eastAsia"/>
        </w:rPr>
        <w:t>34</w:t>
      </w:r>
      <w:r>
        <w:rPr>
          <w:rFonts w:hAnsi="標楷體" w:hint="eastAsia"/>
        </w:rPr>
        <w:t>個基點。</w:t>
      </w:r>
      <w:r w:rsidR="006855D4">
        <w:rPr>
          <w:rFonts w:hAnsi="標楷體" w:hint="eastAsia"/>
        </w:rPr>
        <w:t>另美國聯準會113年9月18日宣布降息2碼，該國10年期公債殖利率已彈升20個基準點</w:t>
      </w:r>
      <w:r w:rsidR="006855D4">
        <w:rPr>
          <w:rStyle w:val="af5"/>
          <w:rFonts w:hAnsi="標楷體"/>
        </w:rPr>
        <w:footnoteReference w:id="3"/>
      </w:r>
      <w:r w:rsidR="006855D4">
        <w:rPr>
          <w:rFonts w:hAnsi="標楷體" w:hint="eastAsia"/>
        </w:rPr>
        <w:t>，允宜密切觀察。</w:t>
      </w:r>
    </w:p>
    <w:p w:rsidR="007F6163" w:rsidRDefault="007F6163" w:rsidP="007F6163">
      <w:pPr>
        <w:ind w:left="566" w:firstLine="566"/>
        <w:rPr>
          <w:szCs w:val="24"/>
        </w:rPr>
      </w:pPr>
      <w:r w:rsidRPr="0047628E">
        <w:rPr>
          <w:rFonts w:hint="eastAsia"/>
        </w:rPr>
        <w:t>綜上，</w:t>
      </w:r>
      <w:r w:rsidR="001A2175">
        <w:rPr>
          <w:rFonts w:hint="eastAsia"/>
        </w:rPr>
        <w:t>近3年</w:t>
      </w:r>
      <w:r>
        <w:rPr>
          <w:rFonts w:hint="eastAsia"/>
        </w:rPr>
        <w:t>度由於國內資金較為充沛，</w:t>
      </w:r>
      <w:r w:rsidR="009438DE">
        <w:rPr>
          <w:rFonts w:hint="eastAsia"/>
        </w:rPr>
        <w:t>且總預算並未舉債，致</w:t>
      </w:r>
      <w:r w:rsidR="001A2175">
        <w:rPr>
          <w:rFonts w:hint="eastAsia"/>
        </w:rPr>
        <w:t>公債發行數逐年下降，</w:t>
      </w:r>
      <w:r>
        <w:rPr>
          <w:rFonts w:hint="eastAsia"/>
        </w:rPr>
        <w:t>公債付息數</w:t>
      </w:r>
      <w:r w:rsidR="001A2175">
        <w:rPr>
          <w:rFonts w:hint="eastAsia"/>
        </w:rPr>
        <w:t>亦</w:t>
      </w:r>
      <w:r>
        <w:rPr>
          <w:rFonts w:hint="eastAsia"/>
        </w:rPr>
        <w:t>呈逐年下降，</w:t>
      </w:r>
      <w:r>
        <w:rPr>
          <w:rFonts w:hint="eastAsia"/>
          <w:color w:val="000000"/>
        </w:rPr>
        <w:t>惟中央銀行111年</w:t>
      </w:r>
      <w:r w:rsidR="005E572E">
        <w:rPr>
          <w:rFonts w:hint="eastAsia"/>
          <w:color w:val="000000"/>
        </w:rPr>
        <w:t>3月迄今已</w:t>
      </w:r>
      <w:r w:rsidR="001A2175">
        <w:rPr>
          <w:rFonts w:hint="eastAsia"/>
          <w:color w:val="000000"/>
        </w:rPr>
        <w:t>6</w:t>
      </w:r>
      <w:r>
        <w:rPr>
          <w:rFonts w:hint="eastAsia"/>
          <w:color w:val="000000"/>
        </w:rPr>
        <w:t>度調升政策利率共0.</w:t>
      </w:r>
      <w:r w:rsidR="001A2175">
        <w:rPr>
          <w:rFonts w:hint="eastAsia"/>
          <w:color w:val="000000"/>
        </w:rPr>
        <w:t>8</w:t>
      </w:r>
      <w:r w:rsidR="005E572E">
        <w:rPr>
          <w:rFonts w:hint="eastAsia"/>
          <w:color w:val="000000"/>
        </w:rPr>
        <w:t>7</w:t>
      </w:r>
      <w:r>
        <w:rPr>
          <w:rFonts w:hint="eastAsia"/>
          <w:color w:val="000000"/>
        </w:rPr>
        <w:t>5個百分點，致11</w:t>
      </w:r>
      <w:r w:rsidR="001A2175">
        <w:rPr>
          <w:rFonts w:hint="eastAsia"/>
          <w:color w:val="000000"/>
        </w:rPr>
        <w:t>3</w:t>
      </w:r>
      <w:r>
        <w:rPr>
          <w:rFonts w:hint="eastAsia"/>
          <w:color w:val="000000"/>
        </w:rPr>
        <w:t>年</w:t>
      </w:r>
      <w:r w:rsidR="0001611D">
        <w:rPr>
          <w:rFonts w:hint="eastAsia"/>
          <w:color w:val="000000"/>
        </w:rPr>
        <w:t>1至9月</w:t>
      </w:r>
      <w:r w:rsidRPr="003D5EAD">
        <w:rPr>
          <w:rFonts w:hint="eastAsia"/>
          <w:color w:val="000000"/>
        </w:rPr>
        <w:t>公債</w:t>
      </w:r>
      <w:r>
        <w:rPr>
          <w:rFonts w:hAnsi="標楷體" w:hint="eastAsia"/>
        </w:rPr>
        <w:t>標售</w:t>
      </w:r>
      <w:r w:rsidR="00590632">
        <w:rPr>
          <w:rFonts w:hAnsi="標楷體" w:hint="eastAsia"/>
        </w:rPr>
        <w:t>最高得標利率加權平均值</w:t>
      </w:r>
      <w:r w:rsidRPr="003D5EAD">
        <w:rPr>
          <w:rFonts w:hint="eastAsia"/>
          <w:color w:val="000000"/>
        </w:rPr>
        <w:t>較</w:t>
      </w:r>
      <w:r w:rsidR="00590632">
        <w:rPr>
          <w:rFonts w:hint="eastAsia"/>
          <w:color w:val="000000"/>
        </w:rPr>
        <w:t>1</w:t>
      </w:r>
      <w:r w:rsidR="001A2175">
        <w:rPr>
          <w:color w:val="000000"/>
        </w:rPr>
        <w:t>1</w:t>
      </w:r>
      <w:r w:rsidR="001A2175">
        <w:rPr>
          <w:rFonts w:hint="eastAsia"/>
          <w:color w:val="000000"/>
        </w:rPr>
        <w:t>2</w:t>
      </w:r>
      <w:r w:rsidRPr="003D5EAD">
        <w:rPr>
          <w:rFonts w:hint="eastAsia"/>
          <w:color w:val="000000"/>
        </w:rPr>
        <w:t>年</w:t>
      </w:r>
      <w:r w:rsidR="0001611D">
        <w:rPr>
          <w:rFonts w:hint="eastAsia"/>
          <w:color w:val="000000"/>
        </w:rPr>
        <w:t>同期</w:t>
      </w:r>
      <w:r w:rsidR="009438DE">
        <w:rPr>
          <w:rFonts w:hint="eastAsia"/>
          <w:color w:val="000000"/>
        </w:rPr>
        <w:t>增加</w:t>
      </w:r>
      <w:r w:rsidR="009D6CA0">
        <w:rPr>
          <w:rFonts w:hAnsi="標楷體" w:hint="eastAsia"/>
        </w:rPr>
        <w:t>約</w:t>
      </w:r>
      <w:r w:rsidR="009438DE">
        <w:rPr>
          <w:rFonts w:hint="eastAsia"/>
          <w:color w:val="000000"/>
        </w:rPr>
        <w:t>34個基點</w:t>
      </w:r>
      <w:r w:rsidRPr="003D5EAD">
        <w:rPr>
          <w:rFonts w:hint="eastAsia"/>
          <w:color w:val="000000"/>
        </w:rPr>
        <w:t>，</w:t>
      </w:r>
      <w:r w:rsidR="009438DE" w:rsidRPr="003D5EAD">
        <w:rPr>
          <w:rFonts w:hint="eastAsia"/>
          <w:color w:val="000000"/>
        </w:rPr>
        <w:t>宜</w:t>
      </w:r>
      <w:r w:rsidR="009438DE">
        <w:rPr>
          <w:rFonts w:hint="eastAsia"/>
          <w:color w:val="000000"/>
        </w:rPr>
        <w:t>持續觀察及妥為應處，</w:t>
      </w:r>
      <w:r w:rsidR="009438DE" w:rsidRPr="003D5EAD">
        <w:rPr>
          <w:rFonts w:hint="eastAsia"/>
          <w:color w:val="000000"/>
        </w:rPr>
        <w:t>以</w:t>
      </w:r>
      <w:r w:rsidR="009438DE">
        <w:rPr>
          <w:rFonts w:hint="eastAsia"/>
          <w:color w:val="000000"/>
        </w:rPr>
        <w:t>減少利</w:t>
      </w:r>
      <w:r w:rsidR="009438DE" w:rsidRPr="003D5EAD">
        <w:rPr>
          <w:rFonts w:hint="eastAsia"/>
          <w:color w:val="000000"/>
        </w:rPr>
        <w:t>息</w:t>
      </w:r>
      <w:r w:rsidR="009438DE">
        <w:rPr>
          <w:rFonts w:hint="eastAsia"/>
          <w:color w:val="000000"/>
        </w:rPr>
        <w:t>負擔</w:t>
      </w:r>
      <w:r w:rsidRPr="0047628E">
        <w:rPr>
          <w:rFonts w:hint="eastAsia"/>
          <w:szCs w:val="24"/>
        </w:rPr>
        <w:t>。</w:t>
      </w:r>
    </w:p>
    <w:p w:rsidR="007F6163" w:rsidRDefault="007F6163" w:rsidP="007F6163">
      <w:pPr>
        <w:spacing w:beforeLines="25" w:before="125" w:line="400" w:lineRule="exact"/>
        <w:ind w:leftChars="-50" w:left="638" w:rightChars="-50" w:right="-142" w:hangingChars="275" w:hanging="780"/>
        <w:jc w:val="left"/>
        <w:rPr>
          <w:b/>
        </w:rPr>
      </w:pPr>
      <w:r>
        <w:rPr>
          <w:rFonts w:hint="eastAsia"/>
          <w:b/>
        </w:rPr>
        <w:t xml:space="preserve"> </w:t>
      </w:r>
      <w:r w:rsidRPr="00C077DC">
        <w:rPr>
          <w:rFonts w:hint="eastAsia"/>
          <w:b/>
        </w:rPr>
        <w:t>表</w:t>
      </w:r>
      <w:r w:rsidR="009438DE">
        <w:rPr>
          <w:rFonts w:hint="eastAsia"/>
          <w:b/>
        </w:rPr>
        <w:t>1  112</w:t>
      </w:r>
      <w:r>
        <w:rPr>
          <w:rFonts w:hint="eastAsia"/>
          <w:b/>
        </w:rPr>
        <w:t>年</w:t>
      </w:r>
      <w:r w:rsidR="00CF4646">
        <w:rPr>
          <w:rFonts w:hint="eastAsia"/>
          <w:b/>
        </w:rPr>
        <w:t>1-9</w:t>
      </w:r>
      <w:r>
        <w:rPr>
          <w:rFonts w:hint="eastAsia"/>
          <w:b/>
        </w:rPr>
        <w:t>月及11</w:t>
      </w:r>
      <w:r w:rsidR="009438DE">
        <w:rPr>
          <w:rFonts w:hint="eastAsia"/>
          <w:b/>
        </w:rPr>
        <w:t>3</w:t>
      </w:r>
      <w:r>
        <w:rPr>
          <w:rFonts w:hint="eastAsia"/>
          <w:b/>
        </w:rPr>
        <w:t>年1-</w:t>
      </w:r>
      <w:r w:rsidR="00CF4646">
        <w:rPr>
          <w:rFonts w:hint="eastAsia"/>
          <w:b/>
        </w:rPr>
        <w:t>9</w:t>
      </w:r>
      <w:r>
        <w:rPr>
          <w:rFonts w:hint="eastAsia"/>
          <w:b/>
        </w:rPr>
        <w:t>月</w:t>
      </w:r>
      <w:r w:rsidR="00094503">
        <w:rPr>
          <w:rFonts w:hint="eastAsia"/>
          <w:b/>
        </w:rPr>
        <w:t>我國</w:t>
      </w:r>
      <w:r>
        <w:rPr>
          <w:rFonts w:hint="eastAsia"/>
          <w:b/>
        </w:rPr>
        <w:t>10年期公債標售概況表</w:t>
      </w:r>
    </w:p>
    <w:p w:rsidR="007F6163" w:rsidRDefault="008B0DF7" w:rsidP="008B0DF7">
      <w:pPr>
        <w:spacing w:line="400" w:lineRule="exact"/>
        <w:ind w:leftChars="0" w:left="669" w:hangingChars="275" w:hanging="669"/>
        <w:jc w:val="right"/>
      </w:pPr>
      <w:r>
        <w:rPr>
          <w:rFonts w:hint="eastAsia"/>
          <w:sz w:val="24"/>
          <w:szCs w:val="24"/>
        </w:rPr>
        <w:t xml:space="preserve">  </w:t>
      </w:r>
      <w:r w:rsidR="009438DE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 w:rsidR="007F6163" w:rsidRPr="00120FBB">
        <w:rPr>
          <w:rFonts w:hint="eastAsia"/>
          <w:sz w:val="24"/>
          <w:szCs w:val="24"/>
        </w:rPr>
        <w:t>單位：</w:t>
      </w:r>
      <w:r w:rsidR="00FC2A6C">
        <w:rPr>
          <w:rFonts w:hint="eastAsia"/>
          <w:sz w:val="24"/>
          <w:szCs w:val="24"/>
        </w:rPr>
        <w:t>新臺</w:t>
      </w:r>
      <w:r w:rsidR="007F6163">
        <w:rPr>
          <w:rFonts w:hint="eastAsia"/>
          <w:sz w:val="24"/>
          <w:szCs w:val="24"/>
        </w:rPr>
        <w:t>幣億元</w:t>
      </w:r>
      <w:r w:rsidR="009438DE">
        <w:rPr>
          <w:rFonts w:hint="eastAsia"/>
          <w:sz w:val="24"/>
          <w:szCs w:val="24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04"/>
        <w:gridCol w:w="1690"/>
        <w:gridCol w:w="1310"/>
        <w:gridCol w:w="1500"/>
        <w:gridCol w:w="1500"/>
        <w:gridCol w:w="1501"/>
      </w:tblGrid>
      <w:tr w:rsidR="007F6163" w:rsidTr="007C4ECD">
        <w:trPr>
          <w:trHeight w:val="340"/>
          <w:tblHeader/>
        </w:trPr>
        <w:tc>
          <w:tcPr>
            <w:tcW w:w="1004" w:type="dxa"/>
          </w:tcPr>
          <w:p w:rsidR="007F6163" w:rsidRDefault="007F6163" w:rsidP="007C4ECD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發行</w:t>
            </w:r>
          </w:p>
          <w:p w:rsidR="007F6163" w:rsidRPr="00E53210" w:rsidRDefault="007F6163" w:rsidP="007C4ECD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>
              <w:rPr>
                <w:rFonts w:hAnsi="標楷體" w:hint="eastAsia"/>
                <w:b/>
                <w:szCs w:val="24"/>
              </w:rPr>
              <w:t>期間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7F6163" w:rsidRPr="00E53210" w:rsidRDefault="007F6163" w:rsidP="007C4ECD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E53210">
              <w:rPr>
                <w:rFonts w:hAnsi="標楷體" w:hint="eastAsia"/>
                <w:b/>
                <w:szCs w:val="24"/>
              </w:rPr>
              <w:t>期別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7F6163" w:rsidRPr="00E53210" w:rsidRDefault="007F6163" w:rsidP="007C4ECD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E53210">
              <w:rPr>
                <w:rFonts w:hAnsi="標楷體" w:hint="eastAsia"/>
                <w:b/>
                <w:szCs w:val="24"/>
              </w:rPr>
              <w:t>發行日期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7F6163" w:rsidRPr="00E53210" w:rsidRDefault="007F6163" w:rsidP="007C4ECD">
            <w:pPr>
              <w:pStyle w:val="142"/>
              <w:jc w:val="center"/>
              <w:rPr>
                <w:rFonts w:hAnsi="標楷體"/>
                <w:b/>
                <w:szCs w:val="24"/>
              </w:rPr>
            </w:pPr>
            <w:r w:rsidRPr="00E53210">
              <w:rPr>
                <w:rFonts w:hAnsi="標楷體" w:hint="eastAsia"/>
                <w:b/>
                <w:szCs w:val="24"/>
              </w:rPr>
              <w:t>發行額</w:t>
            </w:r>
          </w:p>
        </w:tc>
        <w:tc>
          <w:tcPr>
            <w:tcW w:w="1500" w:type="dxa"/>
            <w:vAlign w:val="center"/>
          </w:tcPr>
          <w:p w:rsidR="007F6163" w:rsidRPr="00E53210" w:rsidRDefault="007F6163" w:rsidP="007C4ECD">
            <w:pPr>
              <w:pStyle w:val="142"/>
              <w:jc w:val="center"/>
              <w:rPr>
                <w:rFonts w:hAnsi="標楷體"/>
                <w:b/>
                <w:color w:val="000000"/>
                <w:szCs w:val="24"/>
              </w:rPr>
            </w:pPr>
            <w:r w:rsidRPr="00E53210">
              <w:rPr>
                <w:rFonts w:hAnsi="標楷體" w:hint="eastAsia"/>
                <w:b/>
                <w:color w:val="000000"/>
                <w:szCs w:val="24"/>
              </w:rPr>
              <w:t>票面利率</w:t>
            </w:r>
          </w:p>
        </w:tc>
        <w:tc>
          <w:tcPr>
            <w:tcW w:w="1501" w:type="dxa"/>
            <w:vAlign w:val="center"/>
          </w:tcPr>
          <w:p w:rsidR="007F6163" w:rsidRDefault="007F6163" w:rsidP="007C4ECD">
            <w:pPr>
              <w:pStyle w:val="142"/>
              <w:jc w:val="center"/>
              <w:rPr>
                <w:rFonts w:hAnsi="標楷體"/>
                <w:b/>
                <w:color w:val="000000"/>
                <w:szCs w:val="24"/>
              </w:rPr>
            </w:pPr>
            <w:r w:rsidRPr="00E53210">
              <w:rPr>
                <w:rFonts w:hAnsi="標楷體" w:hint="eastAsia"/>
                <w:b/>
                <w:color w:val="000000"/>
                <w:szCs w:val="24"/>
              </w:rPr>
              <w:t>最高得</w:t>
            </w:r>
          </w:p>
          <w:p w:rsidR="007F6163" w:rsidRPr="00E53210" w:rsidRDefault="007F6163" w:rsidP="007C4ECD">
            <w:pPr>
              <w:pStyle w:val="142"/>
              <w:jc w:val="center"/>
              <w:rPr>
                <w:rFonts w:hAnsi="標楷體"/>
                <w:b/>
                <w:color w:val="000000"/>
                <w:szCs w:val="24"/>
              </w:rPr>
            </w:pPr>
            <w:r w:rsidRPr="00E53210">
              <w:rPr>
                <w:rFonts w:hAnsi="標楷體" w:hint="eastAsia"/>
                <w:b/>
                <w:color w:val="000000"/>
                <w:szCs w:val="24"/>
              </w:rPr>
              <w:t>標利率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 w:val="restart"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112年1-9月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112甲2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112.02.17</w:t>
            </w:r>
          </w:p>
        </w:tc>
        <w:tc>
          <w:tcPr>
            <w:tcW w:w="1500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300</w:t>
            </w:r>
          </w:p>
        </w:tc>
        <w:tc>
          <w:tcPr>
            <w:tcW w:w="1500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1.125</w:t>
            </w:r>
          </w:p>
        </w:tc>
        <w:tc>
          <w:tcPr>
            <w:tcW w:w="1501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1.210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增額112甲2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112.04.19</w:t>
            </w:r>
          </w:p>
        </w:tc>
        <w:tc>
          <w:tcPr>
            <w:tcW w:w="1500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300</w:t>
            </w:r>
          </w:p>
        </w:tc>
        <w:tc>
          <w:tcPr>
            <w:tcW w:w="1500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1.125</w:t>
            </w:r>
          </w:p>
        </w:tc>
        <w:tc>
          <w:tcPr>
            <w:tcW w:w="1501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1.205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112甲7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112.06.09</w:t>
            </w:r>
          </w:p>
        </w:tc>
        <w:tc>
          <w:tcPr>
            <w:tcW w:w="1500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300</w:t>
            </w:r>
          </w:p>
        </w:tc>
        <w:tc>
          <w:tcPr>
            <w:tcW w:w="1500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1.125</w:t>
            </w:r>
          </w:p>
        </w:tc>
        <w:tc>
          <w:tcPr>
            <w:tcW w:w="1501" w:type="dxa"/>
            <w:vAlign w:val="center"/>
          </w:tcPr>
          <w:p w:rsidR="009438DE" w:rsidRPr="00E53210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1.170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增額112甲7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112.08.25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300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1.125</w:t>
            </w:r>
          </w:p>
        </w:tc>
        <w:tc>
          <w:tcPr>
            <w:tcW w:w="1501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1.200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3000" w:type="dxa"/>
            <w:gridSpan w:val="2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合計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1,20</w:t>
            </w:r>
            <w:r>
              <w:rPr>
                <w:rFonts w:hAnsi="標楷體"/>
                <w:color w:val="000000"/>
                <w:szCs w:val="24"/>
              </w:rPr>
              <w:t>0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501" w:type="dxa"/>
            <w:vAlign w:val="center"/>
          </w:tcPr>
          <w:p w:rsidR="009438DE" w:rsidRDefault="009438DE" w:rsidP="00167E57">
            <w:pPr>
              <w:pStyle w:val="142"/>
              <w:ind w:left="648" w:hanging="648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.</w:t>
            </w:r>
            <w:r w:rsidR="00167E57">
              <w:rPr>
                <w:rFonts w:hAnsi="標楷體"/>
                <w:color w:val="000000"/>
                <w:szCs w:val="24"/>
              </w:rPr>
              <w:t>196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 w:val="restart"/>
            <w:vAlign w:val="center"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lastRenderedPageBreak/>
              <w:t>113年1-9月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113甲4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113.02.23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350</w:t>
            </w:r>
          </w:p>
        </w:tc>
        <w:tc>
          <w:tcPr>
            <w:tcW w:w="1500" w:type="dxa"/>
            <w:vAlign w:val="center"/>
          </w:tcPr>
          <w:p w:rsidR="009438DE" w:rsidRDefault="009D6CA0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.125</w:t>
            </w:r>
          </w:p>
        </w:tc>
        <w:tc>
          <w:tcPr>
            <w:tcW w:w="1501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1.239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增額113甲4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113.04.19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350</w:t>
            </w:r>
          </w:p>
        </w:tc>
        <w:tc>
          <w:tcPr>
            <w:tcW w:w="1500" w:type="dxa"/>
            <w:vAlign w:val="center"/>
          </w:tcPr>
          <w:p w:rsidR="009438DE" w:rsidRDefault="009D6CA0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.125</w:t>
            </w:r>
          </w:p>
        </w:tc>
        <w:tc>
          <w:tcPr>
            <w:tcW w:w="1501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1.67</w:t>
            </w:r>
            <w:r w:rsidR="009D6CA0">
              <w:rPr>
                <w:rFonts w:hAnsi="標楷體"/>
                <w:color w:val="000000"/>
                <w:szCs w:val="24"/>
              </w:rPr>
              <w:t>0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113甲7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113.06.21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350</w:t>
            </w:r>
          </w:p>
        </w:tc>
        <w:tc>
          <w:tcPr>
            <w:tcW w:w="1500" w:type="dxa"/>
            <w:vAlign w:val="center"/>
          </w:tcPr>
          <w:p w:rsidR="009438DE" w:rsidRDefault="009D6CA0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.625</w:t>
            </w:r>
          </w:p>
        </w:tc>
        <w:tc>
          <w:tcPr>
            <w:tcW w:w="1501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1.675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69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增額113甲4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113.08.20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300</w:t>
            </w:r>
          </w:p>
        </w:tc>
        <w:tc>
          <w:tcPr>
            <w:tcW w:w="1500" w:type="dxa"/>
            <w:vAlign w:val="center"/>
          </w:tcPr>
          <w:p w:rsidR="009438DE" w:rsidRDefault="009D6CA0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.625</w:t>
            </w:r>
          </w:p>
        </w:tc>
        <w:tc>
          <w:tcPr>
            <w:tcW w:w="1501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1.579</w:t>
            </w:r>
          </w:p>
        </w:tc>
      </w:tr>
      <w:tr w:rsidR="009438DE" w:rsidTr="009438DE">
        <w:trPr>
          <w:trHeight w:val="340"/>
        </w:trPr>
        <w:tc>
          <w:tcPr>
            <w:tcW w:w="1004" w:type="dxa"/>
            <w:vMerge/>
          </w:tcPr>
          <w:p w:rsidR="009438DE" w:rsidRPr="00E53210" w:rsidRDefault="009438DE" w:rsidP="009438DE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3000" w:type="dxa"/>
            <w:gridSpan w:val="2"/>
            <w:shd w:val="clear" w:color="auto" w:fill="auto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合計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1,3</w:t>
            </w:r>
            <w:r>
              <w:rPr>
                <w:rFonts w:hAnsi="標楷體"/>
                <w:color w:val="000000"/>
                <w:szCs w:val="24"/>
              </w:rPr>
              <w:t>50</w:t>
            </w:r>
          </w:p>
        </w:tc>
        <w:tc>
          <w:tcPr>
            <w:tcW w:w="1500" w:type="dxa"/>
            <w:vAlign w:val="center"/>
          </w:tcPr>
          <w:p w:rsidR="009438DE" w:rsidRDefault="009438DE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-</w:t>
            </w:r>
          </w:p>
        </w:tc>
        <w:tc>
          <w:tcPr>
            <w:tcW w:w="1501" w:type="dxa"/>
            <w:vAlign w:val="center"/>
          </w:tcPr>
          <w:p w:rsidR="009438DE" w:rsidRDefault="00167E57" w:rsidP="009438DE">
            <w:pPr>
              <w:pStyle w:val="142"/>
              <w:ind w:left="648" w:hanging="648"/>
              <w:jc w:val="center"/>
              <w:rPr>
                <w:rFonts w:hAnsi="標楷體" w:hint="eastAsia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</w:t>
            </w:r>
            <w:r>
              <w:rPr>
                <w:rFonts w:hAnsi="標楷體"/>
                <w:color w:val="000000"/>
                <w:szCs w:val="24"/>
              </w:rPr>
              <w:t>.539</w:t>
            </w:r>
          </w:p>
        </w:tc>
      </w:tr>
    </w:tbl>
    <w:p w:rsidR="00623D21" w:rsidRDefault="007F6163" w:rsidP="001A2E9D">
      <w:pPr>
        <w:pStyle w:val="142"/>
      </w:pPr>
      <w:r w:rsidRPr="00237FB7">
        <w:rPr>
          <w:rFonts w:hint="eastAsia"/>
        </w:rPr>
        <w:t>資料來源</w:t>
      </w:r>
      <w:r>
        <w:rPr>
          <w:rFonts w:hint="eastAsia"/>
        </w:rPr>
        <w:t>：</w:t>
      </w:r>
      <w:r w:rsidR="001A2E9D">
        <w:rPr>
          <w:rFonts w:hint="eastAsia"/>
        </w:rPr>
        <w:t>整理自</w:t>
      </w:r>
      <w:r>
        <w:rPr>
          <w:rFonts w:hint="eastAsia"/>
        </w:rPr>
        <w:t>中央銀行網站</w:t>
      </w:r>
      <w:r w:rsidR="00EE66B1">
        <w:rPr>
          <w:rFonts w:hint="eastAsia"/>
        </w:rPr>
        <w:t>資料</w:t>
      </w:r>
      <w:r w:rsidRPr="00237FB7">
        <w:rPr>
          <w:rFonts w:hint="eastAsia"/>
        </w:rPr>
        <w:t>。</w:t>
      </w:r>
    </w:p>
    <w:sectPr w:rsidR="00623D21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  <w:endnote w:type="continuationSeparator" w:id="0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charset w:val="00"/>
    <w:family w:val="roman"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77157B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0554DC" w:rsidRDefault="000554DC" w:rsidP="009D6511">
    <w:pPr>
      <w:pStyle w:val="af0"/>
      <w:ind w:left="560" w:firstLine="400"/>
    </w:pPr>
  </w:p>
  <w:p w:rsidR="000554DC" w:rsidRDefault="000554DC" w:rsidP="009D6511">
    <w:pPr>
      <w:ind w:left="560" w:firstLine="560"/>
    </w:pPr>
  </w:p>
  <w:p w:rsidR="000554DC" w:rsidRDefault="000554DC" w:rsidP="009D651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A37B7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690FBA" w:rsidRPr="00690FB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D" w:rsidRDefault="00FB31BD" w:rsidP="00CE27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31BD" w:rsidRDefault="00FB31BD" w:rsidP="00BE4A3C">
      <w:pPr>
        <w:spacing w:line="240" w:lineRule="auto"/>
        <w:ind w:left="560" w:firstLine="560"/>
      </w:pPr>
      <w:r>
        <w:continuationSeparator/>
      </w:r>
    </w:p>
  </w:footnote>
  <w:footnote w:id="1">
    <w:p w:rsidR="000554DC" w:rsidRPr="00B2357E" w:rsidRDefault="000554DC" w:rsidP="00A16D4B">
      <w:pPr>
        <w:pStyle w:val="142"/>
      </w:pPr>
      <w:r>
        <w:rPr>
          <w:rStyle w:val="af5"/>
        </w:rPr>
        <w:footnoteRef/>
      </w:r>
      <w:r>
        <w:rPr>
          <w:rFonts w:hint="eastAsia"/>
        </w:rPr>
        <w:t>第11頁及第46頁。</w:t>
      </w:r>
    </w:p>
  </w:footnote>
  <w:footnote w:id="2">
    <w:p w:rsidR="000554DC" w:rsidRPr="00167E57" w:rsidRDefault="000554DC" w:rsidP="00167E57">
      <w:pPr>
        <w:pStyle w:val="142"/>
        <w:ind w:left="85" w:hangingChars="35" w:hanging="85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Bo</w:t>
      </w:r>
      <w:r>
        <w:t>J</w:t>
      </w:r>
      <w:r>
        <w:rPr>
          <w:rFonts w:hint="eastAsia"/>
        </w:rPr>
        <w:t>於2023年7月將10年期公債殖利率波動區間之0.5%</w:t>
      </w:r>
      <w:r w:rsidR="008B0DF7">
        <w:rPr>
          <w:rFonts w:hint="eastAsia"/>
        </w:rPr>
        <w:t>上限作為參考目標，惟實施指定利率無限量購債操作，控制</w:t>
      </w:r>
      <w:r>
        <w:rPr>
          <w:rFonts w:hint="eastAsia"/>
        </w:rPr>
        <w:t>10年期公債殖利率不超過1%，</w:t>
      </w:r>
      <w:r w:rsidR="00094503">
        <w:rPr>
          <w:rFonts w:hint="eastAsia"/>
        </w:rPr>
        <w:t>同年</w:t>
      </w:r>
      <w:r>
        <w:rPr>
          <w:rFonts w:hint="eastAsia"/>
        </w:rPr>
        <w:t>10月進一步將上限之參考目標調高至1%，並容許一定程度超過1%。</w:t>
      </w:r>
    </w:p>
  </w:footnote>
  <w:footnote w:id="3">
    <w:p w:rsidR="006855D4" w:rsidRPr="006855D4" w:rsidRDefault="006855D4" w:rsidP="006855D4">
      <w:pPr>
        <w:pStyle w:val="142"/>
        <w:ind w:left="85" w:hangingChars="35" w:hanging="85"/>
        <w:rPr>
          <w:rFonts w:hint="eastAsia"/>
        </w:rPr>
      </w:pPr>
      <w:r>
        <w:rPr>
          <w:rStyle w:val="af5"/>
        </w:rPr>
        <w:footnoteRef/>
      </w:r>
      <w:r w:rsidR="008B0DF7">
        <w:rPr>
          <w:rFonts w:hint="eastAsia"/>
        </w:rPr>
        <w:t>2024年</w:t>
      </w:r>
      <w:r>
        <w:rPr>
          <w:rFonts w:hint="eastAsia"/>
        </w:rPr>
        <w:t>9月18日至10月3日。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C3E"/>
    <w:multiLevelType w:val="hybridMultilevel"/>
    <w:tmpl w:val="A4D625AE"/>
    <w:lvl w:ilvl="0" w:tplc="23385D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C2062CD"/>
    <w:multiLevelType w:val="hybridMultilevel"/>
    <w:tmpl w:val="3168C62A"/>
    <w:lvl w:ilvl="0" w:tplc="F31E78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3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0D22286"/>
    <w:multiLevelType w:val="hybridMultilevel"/>
    <w:tmpl w:val="01709298"/>
    <w:lvl w:ilvl="0" w:tplc="3BB631A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764661"/>
    <w:multiLevelType w:val="hybridMultilevel"/>
    <w:tmpl w:val="74242BC6"/>
    <w:lvl w:ilvl="0" w:tplc="3934EFF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C7"/>
    <w:rsid w:val="00000A68"/>
    <w:rsid w:val="00000BC7"/>
    <w:rsid w:val="00000F2C"/>
    <w:rsid w:val="00001051"/>
    <w:rsid w:val="000011D5"/>
    <w:rsid w:val="00002165"/>
    <w:rsid w:val="000023A9"/>
    <w:rsid w:val="0000351B"/>
    <w:rsid w:val="00003650"/>
    <w:rsid w:val="000039D9"/>
    <w:rsid w:val="00004078"/>
    <w:rsid w:val="000048D3"/>
    <w:rsid w:val="0000496A"/>
    <w:rsid w:val="000057B7"/>
    <w:rsid w:val="00005F3A"/>
    <w:rsid w:val="00006562"/>
    <w:rsid w:val="00006D2F"/>
    <w:rsid w:val="00007CDB"/>
    <w:rsid w:val="0001049F"/>
    <w:rsid w:val="00010A69"/>
    <w:rsid w:val="00011325"/>
    <w:rsid w:val="00011388"/>
    <w:rsid w:val="000115E2"/>
    <w:rsid w:val="0001169B"/>
    <w:rsid w:val="00011E2B"/>
    <w:rsid w:val="00012C9F"/>
    <w:rsid w:val="00012F3A"/>
    <w:rsid w:val="00013600"/>
    <w:rsid w:val="00013E79"/>
    <w:rsid w:val="00014896"/>
    <w:rsid w:val="000157FC"/>
    <w:rsid w:val="00015AF5"/>
    <w:rsid w:val="0001611D"/>
    <w:rsid w:val="00016557"/>
    <w:rsid w:val="00016B61"/>
    <w:rsid w:val="0001776D"/>
    <w:rsid w:val="00017B69"/>
    <w:rsid w:val="00020D12"/>
    <w:rsid w:val="00021EBA"/>
    <w:rsid w:val="00023C6E"/>
    <w:rsid w:val="00024590"/>
    <w:rsid w:val="000246B6"/>
    <w:rsid w:val="00024C01"/>
    <w:rsid w:val="00025399"/>
    <w:rsid w:val="00025AC9"/>
    <w:rsid w:val="00026194"/>
    <w:rsid w:val="00026BD6"/>
    <w:rsid w:val="00027A4E"/>
    <w:rsid w:val="00027AD9"/>
    <w:rsid w:val="00027EDC"/>
    <w:rsid w:val="00030D4F"/>
    <w:rsid w:val="00031338"/>
    <w:rsid w:val="000315AC"/>
    <w:rsid w:val="00034F8D"/>
    <w:rsid w:val="00035635"/>
    <w:rsid w:val="00035673"/>
    <w:rsid w:val="000358BD"/>
    <w:rsid w:val="00035E2B"/>
    <w:rsid w:val="0003655B"/>
    <w:rsid w:val="000371C6"/>
    <w:rsid w:val="0003787E"/>
    <w:rsid w:val="00037A98"/>
    <w:rsid w:val="00037B79"/>
    <w:rsid w:val="00037C87"/>
    <w:rsid w:val="00037EA8"/>
    <w:rsid w:val="000401D9"/>
    <w:rsid w:val="000401EA"/>
    <w:rsid w:val="000403D9"/>
    <w:rsid w:val="000408D1"/>
    <w:rsid w:val="000409BC"/>
    <w:rsid w:val="0004127C"/>
    <w:rsid w:val="000414DD"/>
    <w:rsid w:val="00041BBC"/>
    <w:rsid w:val="00041D03"/>
    <w:rsid w:val="00041D18"/>
    <w:rsid w:val="00042A60"/>
    <w:rsid w:val="00043157"/>
    <w:rsid w:val="0004352E"/>
    <w:rsid w:val="00043799"/>
    <w:rsid w:val="00043FFD"/>
    <w:rsid w:val="000465FE"/>
    <w:rsid w:val="000467A7"/>
    <w:rsid w:val="00050890"/>
    <w:rsid w:val="00050CD0"/>
    <w:rsid w:val="000511E9"/>
    <w:rsid w:val="000513EA"/>
    <w:rsid w:val="00052222"/>
    <w:rsid w:val="00052DD4"/>
    <w:rsid w:val="000532B7"/>
    <w:rsid w:val="00053816"/>
    <w:rsid w:val="00053827"/>
    <w:rsid w:val="00053B9A"/>
    <w:rsid w:val="00053C95"/>
    <w:rsid w:val="000554DC"/>
    <w:rsid w:val="000578F3"/>
    <w:rsid w:val="00057A84"/>
    <w:rsid w:val="0006018E"/>
    <w:rsid w:val="00060399"/>
    <w:rsid w:val="00060B05"/>
    <w:rsid w:val="0006155B"/>
    <w:rsid w:val="00062917"/>
    <w:rsid w:val="00062BE0"/>
    <w:rsid w:val="000649B4"/>
    <w:rsid w:val="00064B06"/>
    <w:rsid w:val="00065196"/>
    <w:rsid w:val="0006522F"/>
    <w:rsid w:val="000659FA"/>
    <w:rsid w:val="0006625C"/>
    <w:rsid w:val="00066553"/>
    <w:rsid w:val="000665EC"/>
    <w:rsid w:val="000666D5"/>
    <w:rsid w:val="00066903"/>
    <w:rsid w:val="00070958"/>
    <w:rsid w:val="00070EB3"/>
    <w:rsid w:val="00071A13"/>
    <w:rsid w:val="00071E2B"/>
    <w:rsid w:val="00074376"/>
    <w:rsid w:val="0007438B"/>
    <w:rsid w:val="00075115"/>
    <w:rsid w:val="0007550B"/>
    <w:rsid w:val="0007622B"/>
    <w:rsid w:val="00076344"/>
    <w:rsid w:val="0007672F"/>
    <w:rsid w:val="00076C76"/>
    <w:rsid w:val="00076DB7"/>
    <w:rsid w:val="000774B9"/>
    <w:rsid w:val="00077FD2"/>
    <w:rsid w:val="00080FB6"/>
    <w:rsid w:val="00081239"/>
    <w:rsid w:val="00081296"/>
    <w:rsid w:val="00081A2F"/>
    <w:rsid w:val="000822CB"/>
    <w:rsid w:val="000830B0"/>
    <w:rsid w:val="0008311B"/>
    <w:rsid w:val="00083725"/>
    <w:rsid w:val="00083D17"/>
    <w:rsid w:val="00083F53"/>
    <w:rsid w:val="0008460F"/>
    <w:rsid w:val="000857E7"/>
    <w:rsid w:val="0008654C"/>
    <w:rsid w:val="000879E1"/>
    <w:rsid w:val="00087B64"/>
    <w:rsid w:val="000903C7"/>
    <w:rsid w:val="00090F6C"/>
    <w:rsid w:val="00091481"/>
    <w:rsid w:val="000917D1"/>
    <w:rsid w:val="00092834"/>
    <w:rsid w:val="00092EF9"/>
    <w:rsid w:val="00093322"/>
    <w:rsid w:val="000933E8"/>
    <w:rsid w:val="00093932"/>
    <w:rsid w:val="000942FB"/>
    <w:rsid w:val="00094503"/>
    <w:rsid w:val="0009472F"/>
    <w:rsid w:val="00094B9D"/>
    <w:rsid w:val="00095069"/>
    <w:rsid w:val="000961DA"/>
    <w:rsid w:val="000967CC"/>
    <w:rsid w:val="00096DA3"/>
    <w:rsid w:val="000976DA"/>
    <w:rsid w:val="0009797A"/>
    <w:rsid w:val="00097B77"/>
    <w:rsid w:val="00097BD6"/>
    <w:rsid w:val="000A10D1"/>
    <w:rsid w:val="000A1FC1"/>
    <w:rsid w:val="000A2441"/>
    <w:rsid w:val="000A367E"/>
    <w:rsid w:val="000A368E"/>
    <w:rsid w:val="000A4067"/>
    <w:rsid w:val="000A49CB"/>
    <w:rsid w:val="000A4C48"/>
    <w:rsid w:val="000A5900"/>
    <w:rsid w:val="000A5A25"/>
    <w:rsid w:val="000A6361"/>
    <w:rsid w:val="000A65BF"/>
    <w:rsid w:val="000A71A1"/>
    <w:rsid w:val="000A736D"/>
    <w:rsid w:val="000B09C4"/>
    <w:rsid w:val="000B0DCE"/>
    <w:rsid w:val="000B2B95"/>
    <w:rsid w:val="000B3B0A"/>
    <w:rsid w:val="000B4316"/>
    <w:rsid w:val="000B4AA2"/>
    <w:rsid w:val="000B5252"/>
    <w:rsid w:val="000B5486"/>
    <w:rsid w:val="000B57CA"/>
    <w:rsid w:val="000B611D"/>
    <w:rsid w:val="000B6404"/>
    <w:rsid w:val="000B66CF"/>
    <w:rsid w:val="000B69A6"/>
    <w:rsid w:val="000B769D"/>
    <w:rsid w:val="000B7AFC"/>
    <w:rsid w:val="000B7D58"/>
    <w:rsid w:val="000C064E"/>
    <w:rsid w:val="000C0A89"/>
    <w:rsid w:val="000C0DD8"/>
    <w:rsid w:val="000C0E88"/>
    <w:rsid w:val="000C1279"/>
    <w:rsid w:val="000C12F2"/>
    <w:rsid w:val="000C42B0"/>
    <w:rsid w:val="000C50FE"/>
    <w:rsid w:val="000C54F5"/>
    <w:rsid w:val="000C58F7"/>
    <w:rsid w:val="000C5A75"/>
    <w:rsid w:val="000C5A78"/>
    <w:rsid w:val="000C5B27"/>
    <w:rsid w:val="000C6BE8"/>
    <w:rsid w:val="000C6E7F"/>
    <w:rsid w:val="000C709B"/>
    <w:rsid w:val="000C7898"/>
    <w:rsid w:val="000C7CA0"/>
    <w:rsid w:val="000D0034"/>
    <w:rsid w:val="000D074C"/>
    <w:rsid w:val="000D09A2"/>
    <w:rsid w:val="000D236E"/>
    <w:rsid w:val="000D246D"/>
    <w:rsid w:val="000D4021"/>
    <w:rsid w:val="000D4275"/>
    <w:rsid w:val="000D46B1"/>
    <w:rsid w:val="000D4C10"/>
    <w:rsid w:val="000D50CB"/>
    <w:rsid w:val="000D568C"/>
    <w:rsid w:val="000D5B44"/>
    <w:rsid w:val="000D5C65"/>
    <w:rsid w:val="000D62E9"/>
    <w:rsid w:val="000D634A"/>
    <w:rsid w:val="000E0E71"/>
    <w:rsid w:val="000E1084"/>
    <w:rsid w:val="000E1A5C"/>
    <w:rsid w:val="000E1DE3"/>
    <w:rsid w:val="000E2440"/>
    <w:rsid w:val="000E2470"/>
    <w:rsid w:val="000E3817"/>
    <w:rsid w:val="000E4681"/>
    <w:rsid w:val="000E4975"/>
    <w:rsid w:val="000E527D"/>
    <w:rsid w:val="000E6477"/>
    <w:rsid w:val="000E66C4"/>
    <w:rsid w:val="000E66C5"/>
    <w:rsid w:val="000E6833"/>
    <w:rsid w:val="000E72FF"/>
    <w:rsid w:val="000E78E5"/>
    <w:rsid w:val="000E7ABD"/>
    <w:rsid w:val="000F0941"/>
    <w:rsid w:val="000F0B08"/>
    <w:rsid w:val="000F2A35"/>
    <w:rsid w:val="000F2E83"/>
    <w:rsid w:val="000F2F64"/>
    <w:rsid w:val="000F39B2"/>
    <w:rsid w:val="000F46EE"/>
    <w:rsid w:val="000F6003"/>
    <w:rsid w:val="000F6222"/>
    <w:rsid w:val="000F6567"/>
    <w:rsid w:val="000F6569"/>
    <w:rsid w:val="000F7C7B"/>
    <w:rsid w:val="001006A1"/>
    <w:rsid w:val="00101189"/>
    <w:rsid w:val="001015CD"/>
    <w:rsid w:val="00101B8D"/>
    <w:rsid w:val="00102BEC"/>
    <w:rsid w:val="00102C04"/>
    <w:rsid w:val="0010311C"/>
    <w:rsid w:val="001033D8"/>
    <w:rsid w:val="00105A32"/>
    <w:rsid w:val="00105F45"/>
    <w:rsid w:val="001066D3"/>
    <w:rsid w:val="00106873"/>
    <w:rsid w:val="00106D1C"/>
    <w:rsid w:val="0011025B"/>
    <w:rsid w:val="0011100A"/>
    <w:rsid w:val="00111A0B"/>
    <w:rsid w:val="00112BA5"/>
    <w:rsid w:val="001138F7"/>
    <w:rsid w:val="00114BB7"/>
    <w:rsid w:val="001164C4"/>
    <w:rsid w:val="00117B69"/>
    <w:rsid w:val="00117EB0"/>
    <w:rsid w:val="00120CB7"/>
    <w:rsid w:val="00120DE3"/>
    <w:rsid w:val="00121836"/>
    <w:rsid w:val="00121DE4"/>
    <w:rsid w:val="00122AAF"/>
    <w:rsid w:val="00122CDA"/>
    <w:rsid w:val="00122F73"/>
    <w:rsid w:val="00124533"/>
    <w:rsid w:val="00124C30"/>
    <w:rsid w:val="00125F7E"/>
    <w:rsid w:val="00126518"/>
    <w:rsid w:val="0012678E"/>
    <w:rsid w:val="00126999"/>
    <w:rsid w:val="00126F68"/>
    <w:rsid w:val="0012750E"/>
    <w:rsid w:val="00130665"/>
    <w:rsid w:val="00131354"/>
    <w:rsid w:val="00131A27"/>
    <w:rsid w:val="00132276"/>
    <w:rsid w:val="00132733"/>
    <w:rsid w:val="0013337A"/>
    <w:rsid w:val="00133646"/>
    <w:rsid w:val="00135C11"/>
    <w:rsid w:val="0013643C"/>
    <w:rsid w:val="00136923"/>
    <w:rsid w:val="00137C49"/>
    <w:rsid w:val="00141090"/>
    <w:rsid w:val="0014167C"/>
    <w:rsid w:val="00141C8D"/>
    <w:rsid w:val="00142B21"/>
    <w:rsid w:val="0014354A"/>
    <w:rsid w:val="001435A3"/>
    <w:rsid w:val="0014584F"/>
    <w:rsid w:val="00150316"/>
    <w:rsid w:val="00150448"/>
    <w:rsid w:val="0015047D"/>
    <w:rsid w:val="00150789"/>
    <w:rsid w:val="00150CF8"/>
    <w:rsid w:val="00151471"/>
    <w:rsid w:val="001518B2"/>
    <w:rsid w:val="00151B80"/>
    <w:rsid w:val="00151FCD"/>
    <w:rsid w:val="0015207D"/>
    <w:rsid w:val="00152AD8"/>
    <w:rsid w:val="00153C92"/>
    <w:rsid w:val="001540AA"/>
    <w:rsid w:val="001540C1"/>
    <w:rsid w:val="0015478B"/>
    <w:rsid w:val="00154B26"/>
    <w:rsid w:val="00154C85"/>
    <w:rsid w:val="00155359"/>
    <w:rsid w:val="00155380"/>
    <w:rsid w:val="001565A2"/>
    <w:rsid w:val="00157CC0"/>
    <w:rsid w:val="0016023F"/>
    <w:rsid w:val="001608A3"/>
    <w:rsid w:val="001615F6"/>
    <w:rsid w:val="0016163D"/>
    <w:rsid w:val="0016173A"/>
    <w:rsid w:val="00162030"/>
    <w:rsid w:val="001621E3"/>
    <w:rsid w:val="00162B9A"/>
    <w:rsid w:val="00163843"/>
    <w:rsid w:val="00164CD3"/>
    <w:rsid w:val="0016655F"/>
    <w:rsid w:val="00166F72"/>
    <w:rsid w:val="001677DC"/>
    <w:rsid w:val="00167904"/>
    <w:rsid w:val="00167E57"/>
    <w:rsid w:val="00170022"/>
    <w:rsid w:val="001700FD"/>
    <w:rsid w:val="00170373"/>
    <w:rsid w:val="001714D0"/>
    <w:rsid w:val="001728C3"/>
    <w:rsid w:val="00172BA1"/>
    <w:rsid w:val="0017319D"/>
    <w:rsid w:val="001732FA"/>
    <w:rsid w:val="0017356B"/>
    <w:rsid w:val="00173B50"/>
    <w:rsid w:val="001744C7"/>
    <w:rsid w:val="001745DE"/>
    <w:rsid w:val="00174BFC"/>
    <w:rsid w:val="001754BB"/>
    <w:rsid w:val="001768E4"/>
    <w:rsid w:val="00176C5B"/>
    <w:rsid w:val="0017799D"/>
    <w:rsid w:val="00180023"/>
    <w:rsid w:val="00180963"/>
    <w:rsid w:val="00180F01"/>
    <w:rsid w:val="001811F0"/>
    <w:rsid w:val="0018169B"/>
    <w:rsid w:val="001816B0"/>
    <w:rsid w:val="00181F9A"/>
    <w:rsid w:val="0018255B"/>
    <w:rsid w:val="0018335D"/>
    <w:rsid w:val="001839D5"/>
    <w:rsid w:val="00184C36"/>
    <w:rsid w:val="00185106"/>
    <w:rsid w:val="00185E69"/>
    <w:rsid w:val="00186794"/>
    <w:rsid w:val="0018684C"/>
    <w:rsid w:val="00186CAC"/>
    <w:rsid w:val="001872FA"/>
    <w:rsid w:val="001874C8"/>
    <w:rsid w:val="00187CFB"/>
    <w:rsid w:val="00187FE9"/>
    <w:rsid w:val="001917F5"/>
    <w:rsid w:val="00191BD7"/>
    <w:rsid w:val="00191BE8"/>
    <w:rsid w:val="001922B8"/>
    <w:rsid w:val="00193633"/>
    <w:rsid w:val="00193E58"/>
    <w:rsid w:val="001942DE"/>
    <w:rsid w:val="0019483F"/>
    <w:rsid w:val="00194DF9"/>
    <w:rsid w:val="001952E4"/>
    <w:rsid w:val="001964A1"/>
    <w:rsid w:val="00196788"/>
    <w:rsid w:val="00196C18"/>
    <w:rsid w:val="001973A7"/>
    <w:rsid w:val="001A0184"/>
    <w:rsid w:val="001A0ADC"/>
    <w:rsid w:val="001A0C85"/>
    <w:rsid w:val="001A0D20"/>
    <w:rsid w:val="001A0ED4"/>
    <w:rsid w:val="001A0F36"/>
    <w:rsid w:val="001A1050"/>
    <w:rsid w:val="001A1AE4"/>
    <w:rsid w:val="001A2175"/>
    <w:rsid w:val="001A22FB"/>
    <w:rsid w:val="001A2519"/>
    <w:rsid w:val="001A2816"/>
    <w:rsid w:val="001A2E9D"/>
    <w:rsid w:val="001A3B49"/>
    <w:rsid w:val="001A3FCE"/>
    <w:rsid w:val="001A4C42"/>
    <w:rsid w:val="001A50C9"/>
    <w:rsid w:val="001A5A9D"/>
    <w:rsid w:val="001A787D"/>
    <w:rsid w:val="001B05C4"/>
    <w:rsid w:val="001B05F8"/>
    <w:rsid w:val="001B0686"/>
    <w:rsid w:val="001B09D0"/>
    <w:rsid w:val="001B0E7F"/>
    <w:rsid w:val="001B2D86"/>
    <w:rsid w:val="001B3410"/>
    <w:rsid w:val="001B38FA"/>
    <w:rsid w:val="001B3AAB"/>
    <w:rsid w:val="001B4E0F"/>
    <w:rsid w:val="001B5AC9"/>
    <w:rsid w:val="001B64F5"/>
    <w:rsid w:val="001B7D1A"/>
    <w:rsid w:val="001C0E18"/>
    <w:rsid w:val="001C1038"/>
    <w:rsid w:val="001C1FFA"/>
    <w:rsid w:val="001C228E"/>
    <w:rsid w:val="001C511F"/>
    <w:rsid w:val="001C54FA"/>
    <w:rsid w:val="001C637F"/>
    <w:rsid w:val="001C6BCF"/>
    <w:rsid w:val="001C79B0"/>
    <w:rsid w:val="001C7DF3"/>
    <w:rsid w:val="001D18C1"/>
    <w:rsid w:val="001D2C0C"/>
    <w:rsid w:val="001D35CD"/>
    <w:rsid w:val="001D36AA"/>
    <w:rsid w:val="001D375C"/>
    <w:rsid w:val="001D37A7"/>
    <w:rsid w:val="001D3B9A"/>
    <w:rsid w:val="001D41E8"/>
    <w:rsid w:val="001D422E"/>
    <w:rsid w:val="001D479E"/>
    <w:rsid w:val="001D47ED"/>
    <w:rsid w:val="001D5187"/>
    <w:rsid w:val="001D60EF"/>
    <w:rsid w:val="001D6F91"/>
    <w:rsid w:val="001D710A"/>
    <w:rsid w:val="001D761D"/>
    <w:rsid w:val="001D7E45"/>
    <w:rsid w:val="001D7FBF"/>
    <w:rsid w:val="001E00B1"/>
    <w:rsid w:val="001E0560"/>
    <w:rsid w:val="001E1ADD"/>
    <w:rsid w:val="001E3737"/>
    <w:rsid w:val="001E44A7"/>
    <w:rsid w:val="001E45C2"/>
    <w:rsid w:val="001E5C42"/>
    <w:rsid w:val="001E6A6B"/>
    <w:rsid w:val="001E706E"/>
    <w:rsid w:val="001E74E4"/>
    <w:rsid w:val="001E7848"/>
    <w:rsid w:val="001E7C46"/>
    <w:rsid w:val="001E7FC5"/>
    <w:rsid w:val="001F0023"/>
    <w:rsid w:val="001F028A"/>
    <w:rsid w:val="001F02D9"/>
    <w:rsid w:val="001F0BAC"/>
    <w:rsid w:val="001F1041"/>
    <w:rsid w:val="001F12D9"/>
    <w:rsid w:val="001F161D"/>
    <w:rsid w:val="001F1F33"/>
    <w:rsid w:val="001F2A7E"/>
    <w:rsid w:val="001F2D6F"/>
    <w:rsid w:val="001F3101"/>
    <w:rsid w:val="001F40FA"/>
    <w:rsid w:val="001F44A4"/>
    <w:rsid w:val="001F4661"/>
    <w:rsid w:val="001F4C56"/>
    <w:rsid w:val="001F4CB7"/>
    <w:rsid w:val="001F4CF5"/>
    <w:rsid w:val="001F4E61"/>
    <w:rsid w:val="001F54BC"/>
    <w:rsid w:val="001F5F31"/>
    <w:rsid w:val="001F60FD"/>
    <w:rsid w:val="001F6BF7"/>
    <w:rsid w:val="001F6CF9"/>
    <w:rsid w:val="001F6D47"/>
    <w:rsid w:val="001F704F"/>
    <w:rsid w:val="001F71BE"/>
    <w:rsid w:val="001F7868"/>
    <w:rsid w:val="001F7C90"/>
    <w:rsid w:val="00201C1B"/>
    <w:rsid w:val="00201CD9"/>
    <w:rsid w:val="00202694"/>
    <w:rsid w:val="00202E19"/>
    <w:rsid w:val="002033A2"/>
    <w:rsid w:val="0020467F"/>
    <w:rsid w:val="00204E2D"/>
    <w:rsid w:val="00204E37"/>
    <w:rsid w:val="0020603C"/>
    <w:rsid w:val="00206094"/>
    <w:rsid w:val="002070FD"/>
    <w:rsid w:val="00207F29"/>
    <w:rsid w:val="00212164"/>
    <w:rsid w:val="002130C6"/>
    <w:rsid w:val="002138C7"/>
    <w:rsid w:val="00213DD6"/>
    <w:rsid w:val="00214531"/>
    <w:rsid w:val="0021457E"/>
    <w:rsid w:val="00214A5F"/>
    <w:rsid w:val="00214C3C"/>
    <w:rsid w:val="00214ED2"/>
    <w:rsid w:val="00214F62"/>
    <w:rsid w:val="00215EA2"/>
    <w:rsid w:val="002160D6"/>
    <w:rsid w:val="00216620"/>
    <w:rsid w:val="00216C84"/>
    <w:rsid w:val="00216EA8"/>
    <w:rsid w:val="002175BF"/>
    <w:rsid w:val="00217B5F"/>
    <w:rsid w:val="00217FDA"/>
    <w:rsid w:val="00220356"/>
    <w:rsid w:val="0022051A"/>
    <w:rsid w:val="00220E57"/>
    <w:rsid w:val="00221FC5"/>
    <w:rsid w:val="00222037"/>
    <w:rsid w:val="00222869"/>
    <w:rsid w:val="0022288C"/>
    <w:rsid w:val="00223452"/>
    <w:rsid w:val="00223888"/>
    <w:rsid w:val="00223994"/>
    <w:rsid w:val="00224DD3"/>
    <w:rsid w:val="0022529D"/>
    <w:rsid w:val="002255A8"/>
    <w:rsid w:val="00225D0C"/>
    <w:rsid w:val="00225E49"/>
    <w:rsid w:val="002264ED"/>
    <w:rsid w:val="00226E1B"/>
    <w:rsid w:val="00226FF5"/>
    <w:rsid w:val="00230265"/>
    <w:rsid w:val="002303C7"/>
    <w:rsid w:val="002305F7"/>
    <w:rsid w:val="0023071C"/>
    <w:rsid w:val="00230805"/>
    <w:rsid w:val="00230DC3"/>
    <w:rsid w:val="00230F13"/>
    <w:rsid w:val="00234016"/>
    <w:rsid w:val="00234971"/>
    <w:rsid w:val="00234DDA"/>
    <w:rsid w:val="00234E1B"/>
    <w:rsid w:val="00235479"/>
    <w:rsid w:val="002369CA"/>
    <w:rsid w:val="00237617"/>
    <w:rsid w:val="00237681"/>
    <w:rsid w:val="0024087B"/>
    <w:rsid w:val="0024096E"/>
    <w:rsid w:val="00241372"/>
    <w:rsid w:val="002414B8"/>
    <w:rsid w:val="0024171C"/>
    <w:rsid w:val="00241BF5"/>
    <w:rsid w:val="0024212C"/>
    <w:rsid w:val="002421BE"/>
    <w:rsid w:val="00242614"/>
    <w:rsid w:val="00243210"/>
    <w:rsid w:val="0024358C"/>
    <w:rsid w:val="00243701"/>
    <w:rsid w:val="00243E67"/>
    <w:rsid w:val="00243EC7"/>
    <w:rsid w:val="00244594"/>
    <w:rsid w:val="00244B09"/>
    <w:rsid w:val="0024577C"/>
    <w:rsid w:val="0024594C"/>
    <w:rsid w:val="002459C5"/>
    <w:rsid w:val="00245E73"/>
    <w:rsid w:val="00246048"/>
    <w:rsid w:val="0024689C"/>
    <w:rsid w:val="0025340E"/>
    <w:rsid w:val="00253CD5"/>
    <w:rsid w:val="002556A3"/>
    <w:rsid w:val="00255CD1"/>
    <w:rsid w:val="0025630B"/>
    <w:rsid w:val="00256B5C"/>
    <w:rsid w:val="00256C28"/>
    <w:rsid w:val="00257372"/>
    <w:rsid w:val="00257918"/>
    <w:rsid w:val="002606F7"/>
    <w:rsid w:val="002614F2"/>
    <w:rsid w:val="00261899"/>
    <w:rsid w:val="002627E4"/>
    <w:rsid w:val="00262DE3"/>
    <w:rsid w:val="00262E90"/>
    <w:rsid w:val="002637A1"/>
    <w:rsid w:val="002641DD"/>
    <w:rsid w:val="002644A5"/>
    <w:rsid w:val="00264673"/>
    <w:rsid w:val="002651C3"/>
    <w:rsid w:val="002654EC"/>
    <w:rsid w:val="0026567B"/>
    <w:rsid w:val="0026577F"/>
    <w:rsid w:val="00265BFF"/>
    <w:rsid w:val="00267997"/>
    <w:rsid w:val="00267AF0"/>
    <w:rsid w:val="00267F90"/>
    <w:rsid w:val="00270436"/>
    <w:rsid w:val="00270B04"/>
    <w:rsid w:val="00270B7B"/>
    <w:rsid w:val="00271973"/>
    <w:rsid w:val="00271CE3"/>
    <w:rsid w:val="0027369B"/>
    <w:rsid w:val="002740E7"/>
    <w:rsid w:val="002743AB"/>
    <w:rsid w:val="00274478"/>
    <w:rsid w:val="0027569E"/>
    <w:rsid w:val="00276358"/>
    <w:rsid w:val="0027636B"/>
    <w:rsid w:val="00276CEE"/>
    <w:rsid w:val="00277388"/>
    <w:rsid w:val="002804E5"/>
    <w:rsid w:val="00280879"/>
    <w:rsid w:val="002808B6"/>
    <w:rsid w:val="002809EA"/>
    <w:rsid w:val="00280DA4"/>
    <w:rsid w:val="00281879"/>
    <w:rsid w:val="00281CA0"/>
    <w:rsid w:val="00282564"/>
    <w:rsid w:val="002836C9"/>
    <w:rsid w:val="0028392E"/>
    <w:rsid w:val="00283CDD"/>
    <w:rsid w:val="00284288"/>
    <w:rsid w:val="00284328"/>
    <w:rsid w:val="0028481A"/>
    <w:rsid w:val="002848FB"/>
    <w:rsid w:val="00284959"/>
    <w:rsid w:val="002854C2"/>
    <w:rsid w:val="00285CDC"/>
    <w:rsid w:val="00286B65"/>
    <w:rsid w:val="00287084"/>
    <w:rsid w:val="0028712C"/>
    <w:rsid w:val="00287B93"/>
    <w:rsid w:val="00287FCD"/>
    <w:rsid w:val="002903AF"/>
    <w:rsid w:val="002904CC"/>
    <w:rsid w:val="00290621"/>
    <w:rsid w:val="00290C2A"/>
    <w:rsid w:val="0029155C"/>
    <w:rsid w:val="002917EA"/>
    <w:rsid w:val="00292309"/>
    <w:rsid w:val="00294045"/>
    <w:rsid w:val="002940CC"/>
    <w:rsid w:val="00294181"/>
    <w:rsid w:val="00294B12"/>
    <w:rsid w:val="00295D07"/>
    <w:rsid w:val="002970ED"/>
    <w:rsid w:val="00297567"/>
    <w:rsid w:val="00297B25"/>
    <w:rsid w:val="002A0C3D"/>
    <w:rsid w:val="002A0D91"/>
    <w:rsid w:val="002A0EAB"/>
    <w:rsid w:val="002A184B"/>
    <w:rsid w:val="002A23AB"/>
    <w:rsid w:val="002A3926"/>
    <w:rsid w:val="002A4199"/>
    <w:rsid w:val="002A44E1"/>
    <w:rsid w:val="002A5045"/>
    <w:rsid w:val="002A5642"/>
    <w:rsid w:val="002A5C59"/>
    <w:rsid w:val="002A5EA2"/>
    <w:rsid w:val="002A6DA6"/>
    <w:rsid w:val="002A7198"/>
    <w:rsid w:val="002B0A3B"/>
    <w:rsid w:val="002B0AEE"/>
    <w:rsid w:val="002B0AF7"/>
    <w:rsid w:val="002B1365"/>
    <w:rsid w:val="002B2145"/>
    <w:rsid w:val="002B2278"/>
    <w:rsid w:val="002B231E"/>
    <w:rsid w:val="002B317A"/>
    <w:rsid w:val="002B38AF"/>
    <w:rsid w:val="002B3AB8"/>
    <w:rsid w:val="002B41C1"/>
    <w:rsid w:val="002B4AD7"/>
    <w:rsid w:val="002B4D22"/>
    <w:rsid w:val="002B52CC"/>
    <w:rsid w:val="002B5A20"/>
    <w:rsid w:val="002B5BE0"/>
    <w:rsid w:val="002B5FF6"/>
    <w:rsid w:val="002C031B"/>
    <w:rsid w:val="002C0B64"/>
    <w:rsid w:val="002C14F2"/>
    <w:rsid w:val="002C15B7"/>
    <w:rsid w:val="002C21AC"/>
    <w:rsid w:val="002C22DF"/>
    <w:rsid w:val="002C2445"/>
    <w:rsid w:val="002C2957"/>
    <w:rsid w:val="002C2E18"/>
    <w:rsid w:val="002C348A"/>
    <w:rsid w:val="002C405C"/>
    <w:rsid w:val="002C43BF"/>
    <w:rsid w:val="002C4D69"/>
    <w:rsid w:val="002C4EB8"/>
    <w:rsid w:val="002C5D99"/>
    <w:rsid w:val="002C62B4"/>
    <w:rsid w:val="002C6EB6"/>
    <w:rsid w:val="002D01C8"/>
    <w:rsid w:val="002D04FF"/>
    <w:rsid w:val="002D0AD0"/>
    <w:rsid w:val="002D0FEB"/>
    <w:rsid w:val="002D2520"/>
    <w:rsid w:val="002D25A3"/>
    <w:rsid w:val="002D3AF7"/>
    <w:rsid w:val="002D3C0B"/>
    <w:rsid w:val="002D490F"/>
    <w:rsid w:val="002D49C7"/>
    <w:rsid w:val="002D5682"/>
    <w:rsid w:val="002D660B"/>
    <w:rsid w:val="002D7343"/>
    <w:rsid w:val="002D74E6"/>
    <w:rsid w:val="002E002C"/>
    <w:rsid w:val="002E0195"/>
    <w:rsid w:val="002E1048"/>
    <w:rsid w:val="002E1272"/>
    <w:rsid w:val="002E1B57"/>
    <w:rsid w:val="002E1E87"/>
    <w:rsid w:val="002E284D"/>
    <w:rsid w:val="002E2BE6"/>
    <w:rsid w:val="002E356C"/>
    <w:rsid w:val="002E3B29"/>
    <w:rsid w:val="002E468A"/>
    <w:rsid w:val="002E4E7A"/>
    <w:rsid w:val="002E5351"/>
    <w:rsid w:val="002E5B44"/>
    <w:rsid w:val="002E60A9"/>
    <w:rsid w:val="002E6837"/>
    <w:rsid w:val="002E7CE6"/>
    <w:rsid w:val="002F02D5"/>
    <w:rsid w:val="002F0C3E"/>
    <w:rsid w:val="002F0F90"/>
    <w:rsid w:val="002F1216"/>
    <w:rsid w:val="002F12CB"/>
    <w:rsid w:val="002F14F2"/>
    <w:rsid w:val="002F1A05"/>
    <w:rsid w:val="002F1E99"/>
    <w:rsid w:val="002F2AA7"/>
    <w:rsid w:val="002F355F"/>
    <w:rsid w:val="002F4B63"/>
    <w:rsid w:val="002F5883"/>
    <w:rsid w:val="002F642E"/>
    <w:rsid w:val="002F75DE"/>
    <w:rsid w:val="002F799D"/>
    <w:rsid w:val="002F7A72"/>
    <w:rsid w:val="00301036"/>
    <w:rsid w:val="003024F2"/>
    <w:rsid w:val="00302BED"/>
    <w:rsid w:val="0030376A"/>
    <w:rsid w:val="00303B67"/>
    <w:rsid w:val="00304CF7"/>
    <w:rsid w:val="00305126"/>
    <w:rsid w:val="003053CE"/>
    <w:rsid w:val="0030607D"/>
    <w:rsid w:val="003065DA"/>
    <w:rsid w:val="00306953"/>
    <w:rsid w:val="00306E71"/>
    <w:rsid w:val="003073B2"/>
    <w:rsid w:val="0031084B"/>
    <w:rsid w:val="00310E20"/>
    <w:rsid w:val="00311655"/>
    <w:rsid w:val="00311A2E"/>
    <w:rsid w:val="003122D0"/>
    <w:rsid w:val="003133E4"/>
    <w:rsid w:val="00313E87"/>
    <w:rsid w:val="00313EF9"/>
    <w:rsid w:val="003140EB"/>
    <w:rsid w:val="003152A1"/>
    <w:rsid w:val="0031541F"/>
    <w:rsid w:val="003154B1"/>
    <w:rsid w:val="0031616C"/>
    <w:rsid w:val="00317571"/>
    <w:rsid w:val="003177F6"/>
    <w:rsid w:val="00317805"/>
    <w:rsid w:val="00317D7E"/>
    <w:rsid w:val="003200AD"/>
    <w:rsid w:val="00320C2F"/>
    <w:rsid w:val="00320D4E"/>
    <w:rsid w:val="003226CB"/>
    <w:rsid w:val="003228B9"/>
    <w:rsid w:val="00323086"/>
    <w:rsid w:val="003233D7"/>
    <w:rsid w:val="003238D6"/>
    <w:rsid w:val="003245AD"/>
    <w:rsid w:val="003249BF"/>
    <w:rsid w:val="00324AB6"/>
    <w:rsid w:val="00324D0A"/>
    <w:rsid w:val="003252CC"/>
    <w:rsid w:val="00325E11"/>
    <w:rsid w:val="0032621C"/>
    <w:rsid w:val="0032723A"/>
    <w:rsid w:val="003311D0"/>
    <w:rsid w:val="0033124D"/>
    <w:rsid w:val="0033190F"/>
    <w:rsid w:val="003319A3"/>
    <w:rsid w:val="003322D2"/>
    <w:rsid w:val="0033261A"/>
    <w:rsid w:val="00332D76"/>
    <w:rsid w:val="00334DF0"/>
    <w:rsid w:val="00334FD8"/>
    <w:rsid w:val="00335194"/>
    <w:rsid w:val="0033551F"/>
    <w:rsid w:val="00335B39"/>
    <w:rsid w:val="0033613A"/>
    <w:rsid w:val="00336F67"/>
    <w:rsid w:val="003371DA"/>
    <w:rsid w:val="00337A2E"/>
    <w:rsid w:val="00337C07"/>
    <w:rsid w:val="003402C5"/>
    <w:rsid w:val="003404C3"/>
    <w:rsid w:val="00341FC8"/>
    <w:rsid w:val="00343045"/>
    <w:rsid w:val="00343D50"/>
    <w:rsid w:val="003451BA"/>
    <w:rsid w:val="0034641C"/>
    <w:rsid w:val="00346908"/>
    <w:rsid w:val="00347D98"/>
    <w:rsid w:val="00347EF3"/>
    <w:rsid w:val="00350067"/>
    <w:rsid w:val="0035048E"/>
    <w:rsid w:val="00350F99"/>
    <w:rsid w:val="00351274"/>
    <w:rsid w:val="00351328"/>
    <w:rsid w:val="0035158A"/>
    <w:rsid w:val="00352409"/>
    <w:rsid w:val="00353528"/>
    <w:rsid w:val="00354164"/>
    <w:rsid w:val="003544BD"/>
    <w:rsid w:val="00354EB6"/>
    <w:rsid w:val="00355538"/>
    <w:rsid w:val="003560E9"/>
    <w:rsid w:val="003569A4"/>
    <w:rsid w:val="00356C2A"/>
    <w:rsid w:val="00356DD5"/>
    <w:rsid w:val="00356E24"/>
    <w:rsid w:val="00356EFC"/>
    <w:rsid w:val="00357492"/>
    <w:rsid w:val="00360B53"/>
    <w:rsid w:val="00361172"/>
    <w:rsid w:val="00361535"/>
    <w:rsid w:val="0036212E"/>
    <w:rsid w:val="00362238"/>
    <w:rsid w:val="003623F0"/>
    <w:rsid w:val="00362935"/>
    <w:rsid w:val="00362BB4"/>
    <w:rsid w:val="00362C04"/>
    <w:rsid w:val="00363AEE"/>
    <w:rsid w:val="003643B2"/>
    <w:rsid w:val="00364649"/>
    <w:rsid w:val="00364C1F"/>
    <w:rsid w:val="00365974"/>
    <w:rsid w:val="00365D73"/>
    <w:rsid w:val="0036625C"/>
    <w:rsid w:val="003666B6"/>
    <w:rsid w:val="00366B7E"/>
    <w:rsid w:val="00367A9C"/>
    <w:rsid w:val="00367CF6"/>
    <w:rsid w:val="00371BC3"/>
    <w:rsid w:val="003726D6"/>
    <w:rsid w:val="00372E9E"/>
    <w:rsid w:val="003733A1"/>
    <w:rsid w:val="00374067"/>
    <w:rsid w:val="0037444C"/>
    <w:rsid w:val="0037573E"/>
    <w:rsid w:val="00375946"/>
    <w:rsid w:val="00375DA6"/>
    <w:rsid w:val="00375E24"/>
    <w:rsid w:val="003773B3"/>
    <w:rsid w:val="00377762"/>
    <w:rsid w:val="00377CAF"/>
    <w:rsid w:val="00380279"/>
    <w:rsid w:val="0038106C"/>
    <w:rsid w:val="003828F4"/>
    <w:rsid w:val="00383D24"/>
    <w:rsid w:val="0038457B"/>
    <w:rsid w:val="00384BFA"/>
    <w:rsid w:val="00386F77"/>
    <w:rsid w:val="00387004"/>
    <w:rsid w:val="003872BD"/>
    <w:rsid w:val="0039032F"/>
    <w:rsid w:val="00390534"/>
    <w:rsid w:val="00390729"/>
    <w:rsid w:val="0039083A"/>
    <w:rsid w:val="00390AC9"/>
    <w:rsid w:val="003922F4"/>
    <w:rsid w:val="0039248E"/>
    <w:rsid w:val="00393020"/>
    <w:rsid w:val="00396170"/>
    <w:rsid w:val="00396715"/>
    <w:rsid w:val="0039681B"/>
    <w:rsid w:val="00396CB1"/>
    <w:rsid w:val="00396E92"/>
    <w:rsid w:val="003976FC"/>
    <w:rsid w:val="00397CAE"/>
    <w:rsid w:val="00397F8A"/>
    <w:rsid w:val="003A0555"/>
    <w:rsid w:val="003A0CCD"/>
    <w:rsid w:val="003A1FCB"/>
    <w:rsid w:val="003A238A"/>
    <w:rsid w:val="003A2995"/>
    <w:rsid w:val="003A34B0"/>
    <w:rsid w:val="003A3718"/>
    <w:rsid w:val="003A48E2"/>
    <w:rsid w:val="003A4A7C"/>
    <w:rsid w:val="003A53C1"/>
    <w:rsid w:val="003B09C9"/>
    <w:rsid w:val="003B0F97"/>
    <w:rsid w:val="003B10E9"/>
    <w:rsid w:val="003B1D81"/>
    <w:rsid w:val="003B1F74"/>
    <w:rsid w:val="003B2128"/>
    <w:rsid w:val="003B28F2"/>
    <w:rsid w:val="003B3000"/>
    <w:rsid w:val="003B3FA6"/>
    <w:rsid w:val="003B48E8"/>
    <w:rsid w:val="003B49D3"/>
    <w:rsid w:val="003B50D8"/>
    <w:rsid w:val="003B57B8"/>
    <w:rsid w:val="003B5E69"/>
    <w:rsid w:val="003B62DC"/>
    <w:rsid w:val="003B646D"/>
    <w:rsid w:val="003B68E4"/>
    <w:rsid w:val="003B7D35"/>
    <w:rsid w:val="003C02CC"/>
    <w:rsid w:val="003C0C15"/>
    <w:rsid w:val="003C1391"/>
    <w:rsid w:val="003C1549"/>
    <w:rsid w:val="003C2379"/>
    <w:rsid w:val="003C37C8"/>
    <w:rsid w:val="003C4E2C"/>
    <w:rsid w:val="003C5F0B"/>
    <w:rsid w:val="003C643A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C21"/>
    <w:rsid w:val="003D34C4"/>
    <w:rsid w:val="003D3687"/>
    <w:rsid w:val="003D43DB"/>
    <w:rsid w:val="003D50F2"/>
    <w:rsid w:val="003D54E6"/>
    <w:rsid w:val="003D597B"/>
    <w:rsid w:val="003D6B11"/>
    <w:rsid w:val="003D6F4C"/>
    <w:rsid w:val="003D7392"/>
    <w:rsid w:val="003D7A45"/>
    <w:rsid w:val="003E04AE"/>
    <w:rsid w:val="003E3A14"/>
    <w:rsid w:val="003E3DFD"/>
    <w:rsid w:val="003E475F"/>
    <w:rsid w:val="003E6717"/>
    <w:rsid w:val="003E691D"/>
    <w:rsid w:val="003E6B98"/>
    <w:rsid w:val="003E70FF"/>
    <w:rsid w:val="003E7916"/>
    <w:rsid w:val="003F129F"/>
    <w:rsid w:val="003F25BB"/>
    <w:rsid w:val="003F3176"/>
    <w:rsid w:val="003F37FC"/>
    <w:rsid w:val="003F43D2"/>
    <w:rsid w:val="004011E2"/>
    <w:rsid w:val="004015C5"/>
    <w:rsid w:val="0040241D"/>
    <w:rsid w:val="00402B70"/>
    <w:rsid w:val="00402C5B"/>
    <w:rsid w:val="00403A20"/>
    <w:rsid w:val="00403F9A"/>
    <w:rsid w:val="0040483F"/>
    <w:rsid w:val="0040546E"/>
    <w:rsid w:val="00405762"/>
    <w:rsid w:val="0040667D"/>
    <w:rsid w:val="00406967"/>
    <w:rsid w:val="00407580"/>
    <w:rsid w:val="00407B9E"/>
    <w:rsid w:val="00407BD5"/>
    <w:rsid w:val="00407C14"/>
    <w:rsid w:val="00410871"/>
    <w:rsid w:val="004113F7"/>
    <w:rsid w:val="0041157C"/>
    <w:rsid w:val="00411925"/>
    <w:rsid w:val="00412BD0"/>
    <w:rsid w:val="00412C9D"/>
    <w:rsid w:val="00412F5F"/>
    <w:rsid w:val="00412FB9"/>
    <w:rsid w:val="00413534"/>
    <w:rsid w:val="00415544"/>
    <w:rsid w:val="004156F5"/>
    <w:rsid w:val="0041578A"/>
    <w:rsid w:val="00416EDF"/>
    <w:rsid w:val="004171F5"/>
    <w:rsid w:val="004203C4"/>
    <w:rsid w:val="0042091E"/>
    <w:rsid w:val="00420E9C"/>
    <w:rsid w:val="004210F0"/>
    <w:rsid w:val="00422210"/>
    <w:rsid w:val="004232CD"/>
    <w:rsid w:val="004245F7"/>
    <w:rsid w:val="00424742"/>
    <w:rsid w:val="00424E3F"/>
    <w:rsid w:val="00425567"/>
    <w:rsid w:val="00426B50"/>
    <w:rsid w:val="00426DF1"/>
    <w:rsid w:val="00430DC1"/>
    <w:rsid w:val="00431180"/>
    <w:rsid w:val="0043147A"/>
    <w:rsid w:val="00431F70"/>
    <w:rsid w:val="00432921"/>
    <w:rsid w:val="00432C59"/>
    <w:rsid w:val="004333B0"/>
    <w:rsid w:val="00433DDF"/>
    <w:rsid w:val="004347BE"/>
    <w:rsid w:val="00434E17"/>
    <w:rsid w:val="00434EF1"/>
    <w:rsid w:val="004365E9"/>
    <w:rsid w:val="0043754A"/>
    <w:rsid w:val="00437F74"/>
    <w:rsid w:val="004401BD"/>
    <w:rsid w:val="00441400"/>
    <w:rsid w:val="004428F2"/>
    <w:rsid w:val="00442A93"/>
    <w:rsid w:val="004432FD"/>
    <w:rsid w:val="004448D3"/>
    <w:rsid w:val="00444A33"/>
    <w:rsid w:val="004454FB"/>
    <w:rsid w:val="00445613"/>
    <w:rsid w:val="0044616D"/>
    <w:rsid w:val="00446FF3"/>
    <w:rsid w:val="0044769B"/>
    <w:rsid w:val="0045124B"/>
    <w:rsid w:val="00453940"/>
    <w:rsid w:val="0045454B"/>
    <w:rsid w:val="0045469A"/>
    <w:rsid w:val="00454AD5"/>
    <w:rsid w:val="00457C12"/>
    <w:rsid w:val="00457CCB"/>
    <w:rsid w:val="00460246"/>
    <w:rsid w:val="0046059C"/>
    <w:rsid w:val="004610FB"/>
    <w:rsid w:val="004612BF"/>
    <w:rsid w:val="0046143D"/>
    <w:rsid w:val="00462FF3"/>
    <w:rsid w:val="00463357"/>
    <w:rsid w:val="00463447"/>
    <w:rsid w:val="0046458A"/>
    <w:rsid w:val="00464B7B"/>
    <w:rsid w:val="004650B8"/>
    <w:rsid w:val="004654CC"/>
    <w:rsid w:val="00467250"/>
    <w:rsid w:val="00470566"/>
    <w:rsid w:val="00470E83"/>
    <w:rsid w:val="004711C0"/>
    <w:rsid w:val="004712CC"/>
    <w:rsid w:val="00471E79"/>
    <w:rsid w:val="0047345B"/>
    <w:rsid w:val="004740A5"/>
    <w:rsid w:val="0047464E"/>
    <w:rsid w:val="00475E1B"/>
    <w:rsid w:val="004763DE"/>
    <w:rsid w:val="00476709"/>
    <w:rsid w:val="00476D14"/>
    <w:rsid w:val="004808F6"/>
    <w:rsid w:val="00481879"/>
    <w:rsid w:val="00482AE7"/>
    <w:rsid w:val="00483D17"/>
    <w:rsid w:val="00484CDA"/>
    <w:rsid w:val="0048575D"/>
    <w:rsid w:val="00485E85"/>
    <w:rsid w:val="00486A9A"/>
    <w:rsid w:val="0048713F"/>
    <w:rsid w:val="00487AC1"/>
    <w:rsid w:val="00487D4B"/>
    <w:rsid w:val="00487E80"/>
    <w:rsid w:val="004900D6"/>
    <w:rsid w:val="004904EE"/>
    <w:rsid w:val="00490AC8"/>
    <w:rsid w:val="00491BB7"/>
    <w:rsid w:val="00491FB6"/>
    <w:rsid w:val="00491FD8"/>
    <w:rsid w:val="00492EAA"/>
    <w:rsid w:val="00492FC4"/>
    <w:rsid w:val="00493283"/>
    <w:rsid w:val="0049329E"/>
    <w:rsid w:val="00493869"/>
    <w:rsid w:val="00493C6C"/>
    <w:rsid w:val="004944D4"/>
    <w:rsid w:val="00495161"/>
    <w:rsid w:val="00495191"/>
    <w:rsid w:val="00495765"/>
    <w:rsid w:val="00496299"/>
    <w:rsid w:val="00496ED5"/>
    <w:rsid w:val="004A0D53"/>
    <w:rsid w:val="004A3300"/>
    <w:rsid w:val="004A3447"/>
    <w:rsid w:val="004A34B8"/>
    <w:rsid w:val="004A3863"/>
    <w:rsid w:val="004A560F"/>
    <w:rsid w:val="004A661C"/>
    <w:rsid w:val="004A71FE"/>
    <w:rsid w:val="004A7C81"/>
    <w:rsid w:val="004A7EC3"/>
    <w:rsid w:val="004B0E51"/>
    <w:rsid w:val="004B2C6E"/>
    <w:rsid w:val="004B2C7E"/>
    <w:rsid w:val="004B2FAA"/>
    <w:rsid w:val="004B3A3D"/>
    <w:rsid w:val="004B440A"/>
    <w:rsid w:val="004B4728"/>
    <w:rsid w:val="004B4D89"/>
    <w:rsid w:val="004B4F6E"/>
    <w:rsid w:val="004B5151"/>
    <w:rsid w:val="004B61DF"/>
    <w:rsid w:val="004B6880"/>
    <w:rsid w:val="004B6B13"/>
    <w:rsid w:val="004B7227"/>
    <w:rsid w:val="004B73E4"/>
    <w:rsid w:val="004B7671"/>
    <w:rsid w:val="004C02B0"/>
    <w:rsid w:val="004C038A"/>
    <w:rsid w:val="004C05FD"/>
    <w:rsid w:val="004C1687"/>
    <w:rsid w:val="004C1800"/>
    <w:rsid w:val="004C29FB"/>
    <w:rsid w:val="004C2FC4"/>
    <w:rsid w:val="004C3457"/>
    <w:rsid w:val="004C34B0"/>
    <w:rsid w:val="004C3B5B"/>
    <w:rsid w:val="004C4B2F"/>
    <w:rsid w:val="004C5010"/>
    <w:rsid w:val="004C622D"/>
    <w:rsid w:val="004C70C5"/>
    <w:rsid w:val="004C7113"/>
    <w:rsid w:val="004C74AA"/>
    <w:rsid w:val="004C74DB"/>
    <w:rsid w:val="004C7622"/>
    <w:rsid w:val="004C7F6F"/>
    <w:rsid w:val="004D03D1"/>
    <w:rsid w:val="004D08BF"/>
    <w:rsid w:val="004D0E92"/>
    <w:rsid w:val="004D1071"/>
    <w:rsid w:val="004D2AFF"/>
    <w:rsid w:val="004D35AB"/>
    <w:rsid w:val="004D3B90"/>
    <w:rsid w:val="004D3E7A"/>
    <w:rsid w:val="004D4D4F"/>
    <w:rsid w:val="004D5885"/>
    <w:rsid w:val="004D58AD"/>
    <w:rsid w:val="004D5B7D"/>
    <w:rsid w:val="004D5BE1"/>
    <w:rsid w:val="004D5EB6"/>
    <w:rsid w:val="004D63EA"/>
    <w:rsid w:val="004D69D6"/>
    <w:rsid w:val="004D6BAF"/>
    <w:rsid w:val="004D6F88"/>
    <w:rsid w:val="004D7032"/>
    <w:rsid w:val="004D7516"/>
    <w:rsid w:val="004D7BC1"/>
    <w:rsid w:val="004E0105"/>
    <w:rsid w:val="004E18C0"/>
    <w:rsid w:val="004E1E3F"/>
    <w:rsid w:val="004E27B4"/>
    <w:rsid w:val="004E28A9"/>
    <w:rsid w:val="004E3962"/>
    <w:rsid w:val="004E3983"/>
    <w:rsid w:val="004E4E09"/>
    <w:rsid w:val="004E4E97"/>
    <w:rsid w:val="004E5500"/>
    <w:rsid w:val="004E5668"/>
    <w:rsid w:val="004E5731"/>
    <w:rsid w:val="004E5A43"/>
    <w:rsid w:val="004E5B35"/>
    <w:rsid w:val="004E643B"/>
    <w:rsid w:val="004E68DB"/>
    <w:rsid w:val="004E6C86"/>
    <w:rsid w:val="004E7052"/>
    <w:rsid w:val="004F0009"/>
    <w:rsid w:val="004F0838"/>
    <w:rsid w:val="004F121B"/>
    <w:rsid w:val="004F15DB"/>
    <w:rsid w:val="004F1D8A"/>
    <w:rsid w:val="004F2154"/>
    <w:rsid w:val="004F28C8"/>
    <w:rsid w:val="004F3A0C"/>
    <w:rsid w:val="004F3E69"/>
    <w:rsid w:val="004F4512"/>
    <w:rsid w:val="004F460A"/>
    <w:rsid w:val="004F4C7A"/>
    <w:rsid w:val="004F55F8"/>
    <w:rsid w:val="004F5F34"/>
    <w:rsid w:val="004F6C3C"/>
    <w:rsid w:val="004F6D32"/>
    <w:rsid w:val="004F7291"/>
    <w:rsid w:val="004F77E1"/>
    <w:rsid w:val="004F7A76"/>
    <w:rsid w:val="004F7C24"/>
    <w:rsid w:val="0050061A"/>
    <w:rsid w:val="005011E4"/>
    <w:rsid w:val="00502803"/>
    <w:rsid w:val="00502B66"/>
    <w:rsid w:val="00504515"/>
    <w:rsid w:val="00504E1F"/>
    <w:rsid w:val="00504E27"/>
    <w:rsid w:val="005053DA"/>
    <w:rsid w:val="005064CC"/>
    <w:rsid w:val="00506DD2"/>
    <w:rsid w:val="005074F5"/>
    <w:rsid w:val="00507E5E"/>
    <w:rsid w:val="005106AB"/>
    <w:rsid w:val="005108EE"/>
    <w:rsid w:val="00511305"/>
    <w:rsid w:val="0051171D"/>
    <w:rsid w:val="0051210A"/>
    <w:rsid w:val="00512426"/>
    <w:rsid w:val="00512452"/>
    <w:rsid w:val="00512966"/>
    <w:rsid w:val="00512A97"/>
    <w:rsid w:val="00512DC1"/>
    <w:rsid w:val="005135FE"/>
    <w:rsid w:val="0051507E"/>
    <w:rsid w:val="005159A1"/>
    <w:rsid w:val="00515E98"/>
    <w:rsid w:val="0051606C"/>
    <w:rsid w:val="0051631C"/>
    <w:rsid w:val="0051719B"/>
    <w:rsid w:val="005176E1"/>
    <w:rsid w:val="00517A89"/>
    <w:rsid w:val="0052022C"/>
    <w:rsid w:val="00521864"/>
    <w:rsid w:val="0052194E"/>
    <w:rsid w:val="005223AB"/>
    <w:rsid w:val="005228A9"/>
    <w:rsid w:val="00522CC5"/>
    <w:rsid w:val="00525C70"/>
    <w:rsid w:val="00525D06"/>
    <w:rsid w:val="00526EE2"/>
    <w:rsid w:val="005270E2"/>
    <w:rsid w:val="00530A9A"/>
    <w:rsid w:val="005310A6"/>
    <w:rsid w:val="005312E7"/>
    <w:rsid w:val="00531C5D"/>
    <w:rsid w:val="0053203A"/>
    <w:rsid w:val="005324F0"/>
    <w:rsid w:val="00533B22"/>
    <w:rsid w:val="00534297"/>
    <w:rsid w:val="00534969"/>
    <w:rsid w:val="005354F5"/>
    <w:rsid w:val="00536001"/>
    <w:rsid w:val="0053655F"/>
    <w:rsid w:val="005403F0"/>
    <w:rsid w:val="00540820"/>
    <w:rsid w:val="00540E83"/>
    <w:rsid w:val="00540F93"/>
    <w:rsid w:val="00540FCF"/>
    <w:rsid w:val="005411B9"/>
    <w:rsid w:val="005414C6"/>
    <w:rsid w:val="0054241B"/>
    <w:rsid w:val="005424AE"/>
    <w:rsid w:val="00542FCE"/>
    <w:rsid w:val="00543B56"/>
    <w:rsid w:val="00543E26"/>
    <w:rsid w:val="00543F00"/>
    <w:rsid w:val="0054419B"/>
    <w:rsid w:val="005442A4"/>
    <w:rsid w:val="005451AA"/>
    <w:rsid w:val="00545481"/>
    <w:rsid w:val="0054666E"/>
    <w:rsid w:val="005469F6"/>
    <w:rsid w:val="00546AFC"/>
    <w:rsid w:val="00546BD0"/>
    <w:rsid w:val="00547B2C"/>
    <w:rsid w:val="00547C01"/>
    <w:rsid w:val="0055059E"/>
    <w:rsid w:val="00551667"/>
    <w:rsid w:val="00551A4B"/>
    <w:rsid w:val="00551B24"/>
    <w:rsid w:val="005521A6"/>
    <w:rsid w:val="0055221D"/>
    <w:rsid w:val="005527D0"/>
    <w:rsid w:val="005528DA"/>
    <w:rsid w:val="0055291D"/>
    <w:rsid w:val="00552FD6"/>
    <w:rsid w:val="00553070"/>
    <w:rsid w:val="0055317F"/>
    <w:rsid w:val="005535D0"/>
    <w:rsid w:val="00553B3B"/>
    <w:rsid w:val="00553B58"/>
    <w:rsid w:val="00553C7E"/>
    <w:rsid w:val="005548C1"/>
    <w:rsid w:val="00555523"/>
    <w:rsid w:val="00555531"/>
    <w:rsid w:val="00555BD6"/>
    <w:rsid w:val="005560AC"/>
    <w:rsid w:val="00556CED"/>
    <w:rsid w:val="00556F12"/>
    <w:rsid w:val="005570BE"/>
    <w:rsid w:val="00561919"/>
    <w:rsid w:val="00561D6E"/>
    <w:rsid w:val="00562202"/>
    <w:rsid w:val="00565180"/>
    <w:rsid w:val="0056520E"/>
    <w:rsid w:val="00565765"/>
    <w:rsid w:val="00565969"/>
    <w:rsid w:val="00565F67"/>
    <w:rsid w:val="00566492"/>
    <w:rsid w:val="0056664C"/>
    <w:rsid w:val="005667E3"/>
    <w:rsid w:val="00566AA2"/>
    <w:rsid w:val="0056726C"/>
    <w:rsid w:val="00567F2F"/>
    <w:rsid w:val="005705EA"/>
    <w:rsid w:val="00572369"/>
    <w:rsid w:val="00572B9D"/>
    <w:rsid w:val="005747CC"/>
    <w:rsid w:val="00575D93"/>
    <w:rsid w:val="005770BD"/>
    <w:rsid w:val="00577AD4"/>
    <w:rsid w:val="0058223E"/>
    <w:rsid w:val="005823C5"/>
    <w:rsid w:val="0058346F"/>
    <w:rsid w:val="005839B9"/>
    <w:rsid w:val="005840E0"/>
    <w:rsid w:val="00584485"/>
    <w:rsid w:val="00584609"/>
    <w:rsid w:val="00584CEC"/>
    <w:rsid w:val="0058508A"/>
    <w:rsid w:val="0058557F"/>
    <w:rsid w:val="00586059"/>
    <w:rsid w:val="005865BB"/>
    <w:rsid w:val="00586A27"/>
    <w:rsid w:val="00587A2B"/>
    <w:rsid w:val="00587EB9"/>
    <w:rsid w:val="005900AF"/>
    <w:rsid w:val="00590632"/>
    <w:rsid w:val="00590B96"/>
    <w:rsid w:val="00590D85"/>
    <w:rsid w:val="00590EFA"/>
    <w:rsid w:val="00591977"/>
    <w:rsid w:val="00591B04"/>
    <w:rsid w:val="00592049"/>
    <w:rsid w:val="005922EB"/>
    <w:rsid w:val="00593076"/>
    <w:rsid w:val="0059348C"/>
    <w:rsid w:val="00593808"/>
    <w:rsid w:val="00593D00"/>
    <w:rsid w:val="0059493C"/>
    <w:rsid w:val="00594CC4"/>
    <w:rsid w:val="00595039"/>
    <w:rsid w:val="00595616"/>
    <w:rsid w:val="005966B6"/>
    <w:rsid w:val="0059788A"/>
    <w:rsid w:val="00597A0A"/>
    <w:rsid w:val="005A0589"/>
    <w:rsid w:val="005A0831"/>
    <w:rsid w:val="005A0834"/>
    <w:rsid w:val="005A09D5"/>
    <w:rsid w:val="005A0BB4"/>
    <w:rsid w:val="005A17A8"/>
    <w:rsid w:val="005A19C5"/>
    <w:rsid w:val="005A251B"/>
    <w:rsid w:val="005A3E37"/>
    <w:rsid w:val="005A4D62"/>
    <w:rsid w:val="005A4FAA"/>
    <w:rsid w:val="005A5079"/>
    <w:rsid w:val="005A51C2"/>
    <w:rsid w:val="005A5222"/>
    <w:rsid w:val="005A5733"/>
    <w:rsid w:val="005A5F1C"/>
    <w:rsid w:val="005A62F1"/>
    <w:rsid w:val="005A6CEB"/>
    <w:rsid w:val="005A6E30"/>
    <w:rsid w:val="005A7034"/>
    <w:rsid w:val="005A74B7"/>
    <w:rsid w:val="005B007A"/>
    <w:rsid w:val="005B0233"/>
    <w:rsid w:val="005B023B"/>
    <w:rsid w:val="005B054B"/>
    <w:rsid w:val="005B05E8"/>
    <w:rsid w:val="005B0647"/>
    <w:rsid w:val="005B0AFB"/>
    <w:rsid w:val="005B0F93"/>
    <w:rsid w:val="005B2C4D"/>
    <w:rsid w:val="005B41B5"/>
    <w:rsid w:val="005B44A7"/>
    <w:rsid w:val="005B46AE"/>
    <w:rsid w:val="005B482D"/>
    <w:rsid w:val="005B4FB6"/>
    <w:rsid w:val="005B5AA3"/>
    <w:rsid w:val="005B5CF7"/>
    <w:rsid w:val="005B70AB"/>
    <w:rsid w:val="005B7991"/>
    <w:rsid w:val="005C00E4"/>
    <w:rsid w:val="005C06DB"/>
    <w:rsid w:val="005C0813"/>
    <w:rsid w:val="005C0DAC"/>
    <w:rsid w:val="005C247A"/>
    <w:rsid w:val="005C390A"/>
    <w:rsid w:val="005C3C27"/>
    <w:rsid w:val="005C4621"/>
    <w:rsid w:val="005C4A6F"/>
    <w:rsid w:val="005C5109"/>
    <w:rsid w:val="005C551F"/>
    <w:rsid w:val="005C59A3"/>
    <w:rsid w:val="005C5DC9"/>
    <w:rsid w:val="005D0B97"/>
    <w:rsid w:val="005D1746"/>
    <w:rsid w:val="005D199C"/>
    <w:rsid w:val="005D1B17"/>
    <w:rsid w:val="005D2050"/>
    <w:rsid w:val="005D2260"/>
    <w:rsid w:val="005D22BF"/>
    <w:rsid w:val="005D3A01"/>
    <w:rsid w:val="005D3D9B"/>
    <w:rsid w:val="005D4716"/>
    <w:rsid w:val="005D47C7"/>
    <w:rsid w:val="005D4986"/>
    <w:rsid w:val="005D4E33"/>
    <w:rsid w:val="005D526A"/>
    <w:rsid w:val="005D5301"/>
    <w:rsid w:val="005D5781"/>
    <w:rsid w:val="005D64C0"/>
    <w:rsid w:val="005D6CDF"/>
    <w:rsid w:val="005D7021"/>
    <w:rsid w:val="005D76F0"/>
    <w:rsid w:val="005E0010"/>
    <w:rsid w:val="005E119D"/>
    <w:rsid w:val="005E129C"/>
    <w:rsid w:val="005E152C"/>
    <w:rsid w:val="005E22A8"/>
    <w:rsid w:val="005E2F07"/>
    <w:rsid w:val="005E38E0"/>
    <w:rsid w:val="005E4306"/>
    <w:rsid w:val="005E45CE"/>
    <w:rsid w:val="005E49BC"/>
    <w:rsid w:val="005E4F70"/>
    <w:rsid w:val="005E52BE"/>
    <w:rsid w:val="005E572E"/>
    <w:rsid w:val="005E6A53"/>
    <w:rsid w:val="005E75CA"/>
    <w:rsid w:val="005E75CD"/>
    <w:rsid w:val="005E78F5"/>
    <w:rsid w:val="005E7A20"/>
    <w:rsid w:val="005E7DF9"/>
    <w:rsid w:val="005F18E5"/>
    <w:rsid w:val="005F1ABB"/>
    <w:rsid w:val="005F2754"/>
    <w:rsid w:val="005F29C6"/>
    <w:rsid w:val="005F458F"/>
    <w:rsid w:val="005F53E5"/>
    <w:rsid w:val="005F616D"/>
    <w:rsid w:val="005F667A"/>
    <w:rsid w:val="005F6817"/>
    <w:rsid w:val="005F690B"/>
    <w:rsid w:val="005F6A10"/>
    <w:rsid w:val="005F74E4"/>
    <w:rsid w:val="005F7D87"/>
    <w:rsid w:val="00600155"/>
    <w:rsid w:val="00600428"/>
    <w:rsid w:val="006004C9"/>
    <w:rsid w:val="006011A9"/>
    <w:rsid w:val="00601348"/>
    <w:rsid w:val="00602B5A"/>
    <w:rsid w:val="006032EB"/>
    <w:rsid w:val="006037FF"/>
    <w:rsid w:val="00603AF0"/>
    <w:rsid w:val="00603E66"/>
    <w:rsid w:val="00603EAE"/>
    <w:rsid w:val="00604B43"/>
    <w:rsid w:val="00604C35"/>
    <w:rsid w:val="00606708"/>
    <w:rsid w:val="006074F5"/>
    <w:rsid w:val="006079B1"/>
    <w:rsid w:val="006101D0"/>
    <w:rsid w:val="006105E9"/>
    <w:rsid w:val="006107BC"/>
    <w:rsid w:val="006112CE"/>
    <w:rsid w:val="00612CB0"/>
    <w:rsid w:val="006133DE"/>
    <w:rsid w:val="00613579"/>
    <w:rsid w:val="00613B78"/>
    <w:rsid w:val="00614947"/>
    <w:rsid w:val="006149E6"/>
    <w:rsid w:val="00614F39"/>
    <w:rsid w:val="00615300"/>
    <w:rsid w:val="006166CA"/>
    <w:rsid w:val="006176F1"/>
    <w:rsid w:val="00617D7F"/>
    <w:rsid w:val="00620200"/>
    <w:rsid w:val="00620B33"/>
    <w:rsid w:val="00620C3D"/>
    <w:rsid w:val="00620E98"/>
    <w:rsid w:val="0062126B"/>
    <w:rsid w:val="0062131B"/>
    <w:rsid w:val="006217CB"/>
    <w:rsid w:val="00621C33"/>
    <w:rsid w:val="00622908"/>
    <w:rsid w:val="00623523"/>
    <w:rsid w:val="00623D21"/>
    <w:rsid w:val="00624CA3"/>
    <w:rsid w:val="00625F9C"/>
    <w:rsid w:val="00626100"/>
    <w:rsid w:val="00626A54"/>
    <w:rsid w:val="00626AC6"/>
    <w:rsid w:val="00626B8D"/>
    <w:rsid w:val="0062737D"/>
    <w:rsid w:val="00627E00"/>
    <w:rsid w:val="0063049D"/>
    <w:rsid w:val="00632E4E"/>
    <w:rsid w:val="006330DF"/>
    <w:rsid w:val="0063355E"/>
    <w:rsid w:val="00633A19"/>
    <w:rsid w:val="00633BEB"/>
    <w:rsid w:val="00635815"/>
    <w:rsid w:val="00636659"/>
    <w:rsid w:val="006367F0"/>
    <w:rsid w:val="00636882"/>
    <w:rsid w:val="00636CDE"/>
    <w:rsid w:val="00636DE1"/>
    <w:rsid w:val="00637087"/>
    <w:rsid w:val="006370C8"/>
    <w:rsid w:val="00637C46"/>
    <w:rsid w:val="00637E81"/>
    <w:rsid w:val="00637FF0"/>
    <w:rsid w:val="0064004D"/>
    <w:rsid w:val="00640C1D"/>
    <w:rsid w:val="00641494"/>
    <w:rsid w:val="00641E7E"/>
    <w:rsid w:val="00642475"/>
    <w:rsid w:val="006425FC"/>
    <w:rsid w:val="00642ABD"/>
    <w:rsid w:val="0064389D"/>
    <w:rsid w:val="00643A16"/>
    <w:rsid w:val="00643A88"/>
    <w:rsid w:val="00643B37"/>
    <w:rsid w:val="0064421F"/>
    <w:rsid w:val="00644D55"/>
    <w:rsid w:val="00645122"/>
    <w:rsid w:val="006452C6"/>
    <w:rsid w:val="006452DE"/>
    <w:rsid w:val="00646C47"/>
    <w:rsid w:val="00646D14"/>
    <w:rsid w:val="006472A4"/>
    <w:rsid w:val="006500EC"/>
    <w:rsid w:val="006506D5"/>
    <w:rsid w:val="00650C21"/>
    <w:rsid w:val="00651CAF"/>
    <w:rsid w:val="00652343"/>
    <w:rsid w:val="006523DB"/>
    <w:rsid w:val="00653CDD"/>
    <w:rsid w:val="0065405F"/>
    <w:rsid w:val="0065473D"/>
    <w:rsid w:val="00654811"/>
    <w:rsid w:val="00654A88"/>
    <w:rsid w:val="00655271"/>
    <w:rsid w:val="00655A3C"/>
    <w:rsid w:val="0065649C"/>
    <w:rsid w:val="006571FF"/>
    <w:rsid w:val="00657A7D"/>
    <w:rsid w:val="00660773"/>
    <w:rsid w:val="00661728"/>
    <w:rsid w:val="0066198B"/>
    <w:rsid w:val="00661F62"/>
    <w:rsid w:val="00661FAE"/>
    <w:rsid w:val="0066285A"/>
    <w:rsid w:val="00662E9A"/>
    <w:rsid w:val="006635CD"/>
    <w:rsid w:val="00663E0B"/>
    <w:rsid w:val="0066455E"/>
    <w:rsid w:val="00664687"/>
    <w:rsid w:val="006646B0"/>
    <w:rsid w:val="0066748F"/>
    <w:rsid w:val="006704E3"/>
    <w:rsid w:val="00670CA5"/>
    <w:rsid w:val="00671207"/>
    <w:rsid w:val="006712FD"/>
    <w:rsid w:val="006716EA"/>
    <w:rsid w:val="00671EFF"/>
    <w:rsid w:val="00672063"/>
    <w:rsid w:val="00672899"/>
    <w:rsid w:val="0067410F"/>
    <w:rsid w:val="0067526D"/>
    <w:rsid w:val="006757D0"/>
    <w:rsid w:val="00676041"/>
    <w:rsid w:val="00677F7E"/>
    <w:rsid w:val="00677FEE"/>
    <w:rsid w:val="00680178"/>
    <w:rsid w:val="00680C21"/>
    <w:rsid w:val="00680E6B"/>
    <w:rsid w:val="00681D98"/>
    <w:rsid w:val="00681E60"/>
    <w:rsid w:val="006833C2"/>
    <w:rsid w:val="00683F56"/>
    <w:rsid w:val="00683FC7"/>
    <w:rsid w:val="00684426"/>
    <w:rsid w:val="00684E76"/>
    <w:rsid w:val="006852F4"/>
    <w:rsid w:val="006855D4"/>
    <w:rsid w:val="00686AF9"/>
    <w:rsid w:val="00686D4E"/>
    <w:rsid w:val="006879C3"/>
    <w:rsid w:val="00690FBA"/>
    <w:rsid w:val="00691361"/>
    <w:rsid w:val="0069140A"/>
    <w:rsid w:val="00692507"/>
    <w:rsid w:val="006926F1"/>
    <w:rsid w:val="00692728"/>
    <w:rsid w:val="00692793"/>
    <w:rsid w:val="00692DEA"/>
    <w:rsid w:val="006939DF"/>
    <w:rsid w:val="006942C7"/>
    <w:rsid w:val="00694FD2"/>
    <w:rsid w:val="006964CF"/>
    <w:rsid w:val="006969A1"/>
    <w:rsid w:val="00696CCF"/>
    <w:rsid w:val="006973C0"/>
    <w:rsid w:val="0069783E"/>
    <w:rsid w:val="00697B97"/>
    <w:rsid w:val="00697D35"/>
    <w:rsid w:val="00697F60"/>
    <w:rsid w:val="006A02D0"/>
    <w:rsid w:val="006A073D"/>
    <w:rsid w:val="006A1DC0"/>
    <w:rsid w:val="006A1FC2"/>
    <w:rsid w:val="006A30B5"/>
    <w:rsid w:val="006A348C"/>
    <w:rsid w:val="006A404C"/>
    <w:rsid w:val="006A54B5"/>
    <w:rsid w:val="006A60FE"/>
    <w:rsid w:val="006A71C3"/>
    <w:rsid w:val="006A7C4B"/>
    <w:rsid w:val="006B010A"/>
    <w:rsid w:val="006B028F"/>
    <w:rsid w:val="006B07BA"/>
    <w:rsid w:val="006B0FD0"/>
    <w:rsid w:val="006B14AC"/>
    <w:rsid w:val="006B18E1"/>
    <w:rsid w:val="006B1FBB"/>
    <w:rsid w:val="006B26F3"/>
    <w:rsid w:val="006B2CA4"/>
    <w:rsid w:val="006B3788"/>
    <w:rsid w:val="006B3909"/>
    <w:rsid w:val="006B410E"/>
    <w:rsid w:val="006B45BA"/>
    <w:rsid w:val="006B50F9"/>
    <w:rsid w:val="006B51E7"/>
    <w:rsid w:val="006B5CFC"/>
    <w:rsid w:val="006B5E2D"/>
    <w:rsid w:val="006B6113"/>
    <w:rsid w:val="006B617C"/>
    <w:rsid w:val="006B7415"/>
    <w:rsid w:val="006B74E0"/>
    <w:rsid w:val="006B7EBF"/>
    <w:rsid w:val="006B7F74"/>
    <w:rsid w:val="006C0CD3"/>
    <w:rsid w:val="006C1948"/>
    <w:rsid w:val="006C1D7E"/>
    <w:rsid w:val="006C20D0"/>
    <w:rsid w:val="006C232D"/>
    <w:rsid w:val="006C3334"/>
    <w:rsid w:val="006C33B8"/>
    <w:rsid w:val="006C39F5"/>
    <w:rsid w:val="006C3EE6"/>
    <w:rsid w:val="006C5007"/>
    <w:rsid w:val="006C5912"/>
    <w:rsid w:val="006C6CBC"/>
    <w:rsid w:val="006C70DD"/>
    <w:rsid w:val="006C75B3"/>
    <w:rsid w:val="006C79AC"/>
    <w:rsid w:val="006C7A16"/>
    <w:rsid w:val="006C7D10"/>
    <w:rsid w:val="006C7D9A"/>
    <w:rsid w:val="006D04F0"/>
    <w:rsid w:val="006D1A24"/>
    <w:rsid w:val="006D1AB0"/>
    <w:rsid w:val="006D2955"/>
    <w:rsid w:val="006D34E1"/>
    <w:rsid w:val="006D414C"/>
    <w:rsid w:val="006D43D4"/>
    <w:rsid w:val="006D47ED"/>
    <w:rsid w:val="006D49C6"/>
    <w:rsid w:val="006D58A8"/>
    <w:rsid w:val="006D598E"/>
    <w:rsid w:val="006D6655"/>
    <w:rsid w:val="006D6F3E"/>
    <w:rsid w:val="006D7C92"/>
    <w:rsid w:val="006E162D"/>
    <w:rsid w:val="006E174B"/>
    <w:rsid w:val="006E2051"/>
    <w:rsid w:val="006E2B92"/>
    <w:rsid w:val="006E2EB2"/>
    <w:rsid w:val="006E3B7A"/>
    <w:rsid w:val="006E4345"/>
    <w:rsid w:val="006E456B"/>
    <w:rsid w:val="006E4B59"/>
    <w:rsid w:val="006E5C2D"/>
    <w:rsid w:val="006E5F5B"/>
    <w:rsid w:val="006E6CC3"/>
    <w:rsid w:val="006E7156"/>
    <w:rsid w:val="006E7BE3"/>
    <w:rsid w:val="006F02CE"/>
    <w:rsid w:val="006F0675"/>
    <w:rsid w:val="006F10D4"/>
    <w:rsid w:val="006F2382"/>
    <w:rsid w:val="006F24F9"/>
    <w:rsid w:val="006F2A86"/>
    <w:rsid w:val="006F2D7F"/>
    <w:rsid w:val="006F2D84"/>
    <w:rsid w:val="006F31FA"/>
    <w:rsid w:val="006F35C1"/>
    <w:rsid w:val="006F3701"/>
    <w:rsid w:val="006F50FD"/>
    <w:rsid w:val="006F5324"/>
    <w:rsid w:val="006F591C"/>
    <w:rsid w:val="006F5D60"/>
    <w:rsid w:val="006F6BED"/>
    <w:rsid w:val="006F732F"/>
    <w:rsid w:val="006F7749"/>
    <w:rsid w:val="00700080"/>
    <w:rsid w:val="00700189"/>
    <w:rsid w:val="00700283"/>
    <w:rsid w:val="00700482"/>
    <w:rsid w:val="00700788"/>
    <w:rsid w:val="00700937"/>
    <w:rsid w:val="00700EF9"/>
    <w:rsid w:val="00700F93"/>
    <w:rsid w:val="007015A1"/>
    <w:rsid w:val="007027F7"/>
    <w:rsid w:val="00702B8D"/>
    <w:rsid w:val="00704261"/>
    <w:rsid w:val="007044A5"/>
    <w:rsid w:val="0070510C"/>
    <w:rsid w:val="007052FA"/>
    <w:rsid w:val="00705D1A"/>
    <w:rsid w:val="0070648D"/>
    <w:rsid w:val="007067C7"/>
    <w:rsid w:val="00706C4A"/>
    <w:rsid w:val="00707ED1"/>
    <w:rsid w:val="0071022C"/>
    <w:rsid w:val="00710710"/>
    <w:rsid w:val="00710917"/>
    <w:rsid w:val="00710C82"/>
    <w:rsid w:val="00711B8B"/>
    <w:rsid w:val="00711F00"/>
    <w:rsid w:val="00712AAD"/>
    <w:rsid w:val="00712E43"/>
    <w:rsid w:val="00713621"/>
    <w:rsid w:val="007138FB"/>
    <w:rsid w:val="00714527"/>
    <w:rsid w:val="00714D2F"/>
    <w:rsid w:val="00715DFE"/>
    <w:rsid w:val="00716189"/>
    <w:rsid w:val="007170B1"/>
    <w:rsid w:val="00717482"/>
    <w:rsid w:val="007211B3"/>
    <w:rsid w:val="00722A7C"/>
    <w:rsid w:val="0072307C"/>
    <w:rsid w:val="00724C49"/>
    <w:rsid w:val="007262AE"/>
    <w:rsid w:val="00726873"/>
    <w:rsid w:val="007269E9"/>
    <w:rsid w:val="00727704"/>
    <w:rsid w:val="00727801"/>
    <w:rsid w:val="0073021F"/>
    <w:rsid w:val="00730900"/>
    <w:rsid w:val="0073153C"/>
    <w:rsid w:val="007326E4"/>
    <w:rsid w:val="00732C08"/>
    <w:rsid w:val="00732C51"/>
    <w:rsid w:val="00732D9E"/>
    <w:rsid w:val="00734B18"/>
    <w:rsid w:val="007352C7"/>
    <w:rsid w:val="0073532A"/>
    <w:rsid w:val="007364E3"/>
    <w:rsid w:val="00737A21"/>
    <w:rsid w:val="00740056"/>
    <w:rsid w:val="00740070"/>
    <w:rsid w:val="00740B5F"/>
    <w:rsid w:val="00742421"/>
    <w:rsid w:val="007425A5"/>
    <w:rsid w:val="007428E2"/>
    <w:rsid w:val="00743DC4"/>
    <w:rsid w:val="00744408"/>
    <w:rsid w:val="00744592"/>
    <w:rsid w:val="00744741"/>
    <w:rsid w:val="00744EB7"/>
    <w:rsid w:val="007452D6"/>
    <w:rsid w:val="00745A26"/>
    <w:rsid w:val="00746750"/>
    <w:rsid w:val="00746F8B"/>
    <w:rsid w:val="007472C8"/>
    <w:rsid w:val="00747F73"/>
    <w:rsid w:val="0075043D"/>
    <w:rsid w:val="007507FC"/>
    <w:rsid w:val="00750F5F"/>
    <w:rsid w:val="007536B1"/>
    <w:rsid w:val="0075380B"/>
    <w:rsid w:val="00753E1E"/>
    <w:rsid w:val="007540A2"/>
    <w:rsid w:val="00754BBB"/>
    <w:rsid w:val="00754EB1"/>
    <w:rsid w:val="00755699"/>
    <w:rsid w:val="00760766"/>
    <w:rsid w:val="00760826"/>
    <w:rsid w:val="00760FB8"/>
    <w:rsid w:val="007618F8"/>
    <w:rsid w:val="00761C06"/>
    <w:rsid w:val="007628DD"/>
    <w:rsid w:val="00762A14"/>
    <w:rsid w:val="00762E2C"/>
    <w:rsid w:val="007636E7"/>
    <w:rsid w:val="00764014"/>
    <w:rsid w:val="007647A9"/>
    <w:rsid w:val="00764878"/>
    <w:rsid w:val="00764EFA"/>
    <w:rsid w:val="00764FEA"/>
    <w:rsid w:val="007650E0"/>
    <w:rsid w:val="007666D7"/>
    <w:rsid w:val="00766A42"/>
    <w:rsid w:val="00766C1D"/>
    <w:rsid w:val="00767D7A"/>
    <w:rsid w:val="0077022C"/>
    <w:rsid w:val="007712F4"/>
    <w:rsid w:val="00771339"/>
    <w:rsid w:val="0077157B"/>
    <w:rsid w:val="00771884"/>
    <w:rsid w:val="00772013"/>
    <w:rsid w:val="0077247C"/>
    <w:rsid w:val="0077488D"/>
    <w:rsid w:val="007749E4"/>
    <w:rsid w:val="00775523"/>
    <w:rsid w:val="00775AD0"/>
    <w:rsid w:val="00775C09"/>
    <w:rsid w:val="00776140"/>
    <w:rsid w:val="00776AB3"/>
    <w:rsid w:val="00776BF2"/>
    <w:rsid w:val="00777141"/>
    <w:rsid w:val="00780435"/>
    <w:rsid w:val="00781A2F"/>
    <w:rsid w:val="00781E55"/>
    <w:rsid w:val="00782E39"/>
    <w:rsid w:val="00783B85"/>
    <w:rsid w:val="0078444A"/>
    <w:rsid w:val="00784C5D"/>
    <w:rsid w:val="00784C8A"/>
    <w:rsid w:val="00786864"/>
    <w:rsid w:val="007904B2"/>
    <w:rsid w:val="00790ABD"/>
    <w:rsid w:val="00790C19"/>
    <w:rsid w:val="00790C75"/>
    <w:rsid w:val="00790F7E"/>
    <w:rsid w:val="0079304F"/>
    <w:rsid w:val="0079306D"/>
    <w:rsid w:val="00794149"/>
    <w:rsid w:val="00794507"/>
    <w:rsid w:val="00795910"/>
    <w:rsid w:val="00796351"/>
    <w:rsid w:val="007A05D4"/>
    <w:rsid w:val="007A1802"/>
    <w:rsid w:val="007A258A"/>
    <w:rsid w:val="007A2FF6"/>
    <w:rsid w:val="007A3236"/>
    <w:rsid w:val="007A4AE9"/>
    <w:rsid w:val="007A50CF"/>
    <w:rsid w:val="007A7202"/>
    <w:rsid w:val="007B03F4"/>
    <w:rsid w:val="007B0FA0"/>
    <w:rsid w:val="007B1315"/>
    <w:rsid w:val="007B3C81"/>
    <w:rsid w:val="007B3D59"/>
    <w:rsid w:val="007B3F86"/>
    <w:rsid w:val="007B4332"/>
    <w:rsid w:val="007B4AED"/>
    <w:rsid w:val="007B59EF"/>
    <w:rsid w:val="007B6E74"/>
    <w:rsid w:val="007C0AD4"/>
    <w:rsid w:val="007C0B88"/>
    <w:rsid w:val="007C12F2"/>
    <w:rsid w:val="007C131D"/>
    <w:rsid w:val="007C1436"/>
    <w:rsid w:val="007C1B59"/>
    <w:rsid w:val="007C1C98"/>
    <w:rsid w:val="007C291E"/>
    <w:rsid w:val="007C35ED"/>
    <w:rsid w:val="007C3970"/>
    <w:rsid w:val="007C3D09"/>
    <w:rsid w:val="007C4322"/>
    <w:rsid w:val="007C4ECD"/>
    <w:rsid w:val="007C51EA"/>
    <w:rsid w:val="007C5526"/>
    <w:rsid w:val="007C5B01"/>
    <w:rsid w:val="007C5E43"/>
    <w:rsid w:val="007C7023"/>
    <w:rsid w:val="007C7FC5"/>
    <w:rsid w:val="007D01FB"/>
    <w:rsid w:val="007D2327"/>
    <w:rsid w:val="007D2693"/>
    <w:rsid w:val="007D35C8"/>
    <w:rsid w:val="007D3AE6"/>
    <w:rsid w:val="007D3DE9"/>
    <w:rsid w:val="007D4E5D"/>
    <w:rsid w:val="007D5485"/>
    <w:rsid w:val="007D742C"/>
    <w:rsid w:val="007D7AA6"/>
    <w:rsid w:val="007E06B1"/>
    <w:rsid w:val="007E0FAA"/>
    <w:rsid w:val="007E1366"/>
    <w:rsid w:val="007E190C"/>
    <w:rsid w:val="007E1B29"/>
    <w:rsid w:val="007E1C9F"/>
    <w:rsid w:val="007E1DFF"/>
    <w:rsid w:val="007E22C7"/>
    <w:rsid w:val="007E235F"/>
    <w:rsid w:val="007E29C0"/>
    <w:rsid w:val="007E393D"/>
    <w:rsid w:val="007E3DAF"/>
    <w:rsid w:val="007E438B"/>
    <w:rsid w:val="007E47EE"/>
    <w:rsid w:val="007E504E"/>
    <w:rsid w:val="007E55F4"/>
    <w:rsid w:val="007E5754"/>
    <w:rsid w:val="007E5D56"/>
    <w:rsid w:val="007E5E45"/>
    <w:rsid w:val="007E62D9"/>
    <w:rsid w:val="007E636C"/>
    <w:rsid w:val="007E6796"/>
    <w:rsid w:val="007E6AAD"/>
    <w:rsid w:val="007E6D13"/>
    <w:rsid w:val="007E7AD2"/>
    <w:rsid w:val="007F14DC"/>
    <w:rsid w:val="007F1C01"/>
    <w:rsid w:val="007F1C2C"/>
    <w:rsid w:val="007F23CA"/>
    <w:rsid w:val="007F2463"/>
    <w:rsid w:val="007F2B6B"/>
    <w:rsid w:val="007F35BA"/>
    <w:rsid w:val="007F3D6A"/>
    <w:rsid w:val="007F40AB"/>
    <w:rsid w:val="007F4D00"/>
    <w:rsid w:val="007F50F5"/>
    <w:rsid w:val="007F52DE"/>
    <w:rsid w:val="007F5BE0"/>
    <w:rsid w:val="007F6163"/>
    <w:rsid w:val="007F6726"/>
    <w:rsid w:val="007F7156"/>
    <w:rsid w:val="007F74A9"/>
    <w:rsid w:val="007F78F9"/>
    <w:rsid w:val="008012A8"/>
    <w:rsid w:val="00801609"/>
    <w:rsid w:val="00802E2A"/>
    <w:rsid w:val="00803873"/>
    <w:rsid w:val="00803A24"/>
    <w:rsid w:val="00804851"/>
    <w:rsid w:val="00804AF1"/>
    <w:rsid w:val="00804DF2"/>
    <w:rsid w:val="0080500D"/>
    <w:rsid w:val="008053E0"/>
    <w:rsid w:val="0080624F"/>
    <w:rsid w:val="00806708"/>
    <w:rsid w:val="00806850"/>
    <w:rsid w:val="00806A54"/>
    <w:rsid w:val="00806D93"/>
    <w:rsid w:val="00807818"/>
    <w:rsid w:val="00811611"/>
    <w:rsid w:val="00812003"/>
    <w:rsid w:val="008127FA"/>
    <w:rsid w:val="00812987"/>
    <w:rsid w:val="00812FA8"/>
    <w:rsid w:val="008131A3"/>
    <w:rsid w:val="008139C0"/>
    <w:rsid w:val="00814E4D"/>
    <w:rsid w:val="008155CC"/>
    <w:rsid w:val="008158D6"/>
    <w:rsid w:val="00815993"/>
    <w:rsid w:val="0081643B"/>
    <w:rsid w:val="00816FCD"/>
    <w:rsid w:val="00817290"/>
    <w:rsid w:val="008179E2"/>
    <w:rsid w:val="00820316"/>
    <w:rsid w:val="008207BE"/>
    <w:rsid w:val="00821CF5"/>
    <w:rsid w:val="00821D75"/>
    <w:rsid w:val="008220D1"/>
    <w:rsid w:val="00823419"/>
    <w:rsid w:val="00823897"/>
    <w:rsid w:val="0082437C"/>
    <w:rsid w:val="00824B98"/>
    <w:rsid w:val="00825851"/>
    <w:rsid w:val="008261C7"/>
    <w:rsid w:val="0082654E"/>
    <w:rsid w:val="0082742B"/>
    <w:rsid w:val="008303E4"/>
    <w:rsid w:val="008308B1"/>
    <w:rsid w:val="00830A5B"/>
    <w:rsid w:val="00830B07"/>
    <w:rsid w:val="00830CB7"/>
    <w:rsid w:val="00830ED7"/>
    <w:rsid w:val="0083129E"/>
    <w:rsid w:val="008322C5"/>
    <w:rsid w:val="00833935"/>
    <w:rsid w:val="008339FA"/>
    <w:rsid w:val="0083470F"/>
    <w:rsid w:val="00835BF2"/>
    <w:rsid w:val="00835FBD"/>
    <w:rsid w:val="00836CC2"/>
    <w:rsid w:val="0083729C"/>
    <w:rsid w:val="00837F7F"/>
    <w:rsid w:val="00840365"/>
    <w:rsid w:val="008407F3"/>
    <w:rsid w:val="00840875"/>
    <w:rsid w:val="0084158B"/>
    <w:rsid w:val="00841D50"/>
    <w:rsid w:val="00841E45"/>
    <w:rsid w:val="00842353"/>
    <w:rsid w:val="00843BB4"/>
    <w:rsid w:val="00843DDC"/>
    <w:rsid w:val="0084456B"/>
    <w:rsid w:val="008446BF"/>
    <w:rsid w:val="00844F2E"/>
    <w:rsid w:val="00845120"/>
    <w:rsid w:val="00845446"/>
    <w:rsid w:val="0084546F"/>
    <w:rsid w:val="008455B8"/>
    <w:rsid w:val="00845610"/>
    <w:rsid w:val="00845934"/>
    <w:rsid w:val="008459AE"/>
    <w:rsid w:val="008475BD"/>
    <w:rsid w:val="00847B9D"/>
    <w:rsid w:val="00847C95"/>
    <w:rsid w:val="0085007E"/>
    <w:rsid w:val="008506D7"/>
    <w:rsid w:val="00850C53"/>
    <w:rsid w:val="00850D9E"/>
    <w:rsid w:val="008513C1"/>
    <w:rsid w:val="008524C8"/>
    <w:rsid w:val="00852537"/>
    <w:rsid w:val="00852564"/>
    <w:rsid w:val="008525B5"/>
    <w:rsid w:val="00852762"/>
    <w:rsid w:val="0085377C"/>
    <w:rsid w:val="0085405D"/>
    <w:rsid w:val="008541B2"/>
    <w:rsid w:val="0085462C"/>
    <w:rsid w:val="008568C8"/>
    <w:rsid w:val="00856C52"/>
    <w:rsid w:val="0085782E"/>
    <w:rsid w:val="00857A64"/>
    <w:rsid w:val="00860D2B"/>
    <w:rsid w:val="008614F7"/>
    <w:rsid w:val="0086159C"/>
    <w:rsid w:val="00861B4F"/>
    <w:rsid w:val="00861C5A"/>
    <w:rsid w:val="00862232"/>
    <w:rsid w:val="0086329F"/>
    <w:rsid w:val="0086388E"/>
    <w:rsid w:val="00865F14"/>
    <w:rsid w:val="008664A2"/>
    <w:rsid w:val="00866996"/>
    <w:rsid w:val="00867296"/>
    <w:rsid w:val="00867D8C"/>
    <w:rsid w:val="00871987"/>
    <w:rsid w:val="00871F11"/>
    <w:rsid w:val="00872348"/>
    <w:rsid w:val="008728EA"/>
    <w:rsid w:val="00872EFA"/>
    <w:rsid w:val="0087306C"/>
    <w:rsid w:val="00873CB0"/>
    <w:rsid w:val="00875509"/>
    <w:rsid w:val="00875759"/>
    <w:rsid w:val="008758CA"/>
    <w:rsid w:val="00875A11"/>
    <w:rsid w:val="00875BD9"/>
    <w:rsid w:val="00875FCD"/>
    <w:rsid w:val="008762D1"/>
    <w:rsid w:val="008764C6"/>
    <w:rsid w:val="00876550"/>
    <w:rsid w:val="0087709C"/>
    <w:rsid w:val="008801D7"/>
    <w:rsid w:val="00881276"/>
    <w:rsid w:val="00881687"/>
    <w:rsid w:val="008822EA"/>
    <w:rsid w:val="008823DF"/>
    <w:rsid w:val="008830FC"/>
    <w:rsid w:val="0088328C"/>
    <w:rsid w:val="00883647"/>
    <w:rsid w:val="00883B73"/>
    <w:rsid w:val="00884EB9"/>
    <w:rsid w:val="008857D1"/>
    <w:rsid w:val="008860EC"/>
    <w:rsid w:val="00887B21"/>
    <w:rsid w:val="00890C8D"/>
    <w:rsid w:val="00891220"/>
    <w:rsid w:val="00891BCD"/>
    <w:rsid w:val="00891E9D"/>
    <w:rsid w:val="00891F4C"/>
    <w:rsid w:val="00892B5A"/>
    <w:rsid w:val="00893053"/>
    <w:rsid w:val="0089341D"/>
    <w:rsid w:val="00893A83"/>
    <w:rsid w:val="00895163"/>
    <w:rsid w:val="008953C4"/>
    <w:rsid w:val="008958D0"/>
    <w:rsid w:val="0089598A"/>
    <w:rsid w:val="00896283"/>
    <w:rsid w:val="00896306"/>
    <w:rsid w:val="00896BDE"/>
    <w:rsid w:val="0089732F"/>
    <w:rsid w:val="00897DE8"/>
    <w:rsid w:val="008A1C62"/>
    <w:rsid w:val="008A2B5D"/>
    <w:rsid w:val="008A2E10"/>
    <w:rsid w:val="008A341B"/>
    <w:rsid w:val="008A3F27"/>
    <w:rsid w:val="008A4C1F"/>
    <w:rsid w:val="008A4DF8"/>
    <w:rsid w:val="008A5B49"/>
    <w:rsid w:val="008A5C7E"/>
    <w:rsid w:val="008A62C2"/>
    <w:rsid w:val="008A6A22"/>
    <w:rsid w:val="008A6EBD"/>
    <w:rsid w:val="008A7CAA"/>
    <w:rsid w:val="008B0194"/>
    <w:rsid w:val="008B0DF7"/>
    <w:rsid w:val="008B1113"/>
    <w:rsid w:val="008B11CD"/>
    <w:rsid w:val="008B2477"/>
    <w:rsid w:val="008B24D2"/>
    <w:rsid w:val="008B258E"/>
    <w:rsid w:val="008B2A29"/>
    <w:rsid w:val="008B2C0F"/>
    <w:rsid w:val="008B3CFE"/>
    <w:rsid w:val="008B3E4D"/>
    <w:rsid w:val="008B4BA2"/>
    <w:rsid w:val="008B609E"/>
    <w:rsid w:val="008B61F4"/>
    <w:rsid w:val="008B6C2E"/>
    <w:rsid w:val="008B6EF5"/>
    <w:rsid w:val="008B7900"/>
    <w:rsid w:val="008C0A36"/>
    <w:rsid w:val="008C104B"/>
    <w:rsid w:val="008C1B4B"/>
    <w:rsid w:val="008C1D12"/>
    <w:rsid w:val="008C2565"/>
    <w:rsid w:val="008C2A8C"/>
    <w:rsid w:val="008C2D36"/>
    <w:rsid w:val="008C2F7F"/>
    <w:rsid w:val="008C4491"/>
    <w:rsid w:val="008C5007"/>
    <w:rsid w:val="008C5368"/>
    <w:rsid w:val="008C55A1"/>
    <w:rsid w:val="008C6429"/>
    <w:rsid w:val="008C6DAE"/>
    <w:rsid w:val="008C71E9"/>
    <w:rsid w:val="008C7685"/>
    <w:rsid w:val="008C7B47"/>
    <w:rsid w:val="008D0533"/>
    <w:rsid w:val="008D13CE"/>
    <w:rsid w:val="008D1689"/>
    <w:rsid w:val="008D1977"/>
    <w:rsid w:val="008D3293"/>
    <w:rsid w:val="008D3549"/>
    <w:rsid w:val="008D3657"/>
    <w:rsid w:val="008D3B6E"/>
    <w:rsid w:val="008D44A9"/>
    <w:rsid w:val="008D466C"/>
    <w:rsid w:val="008D5BFD"/>
    <w:rsid w:val="008D603D"/>
    <w:rsid w:val="008D651B"/>
    <w:rsid w:val="008D68D7"/>
    <w:rsid w:val="008E0A6D"/>
    <w:rsid w:val="008E118B"/>
    <w:rsid w:val="008E260A"/>
    <w:rsid w:val="008E2E8B"/>
    <w:rsid w:val="008E32CC"/>
    <w:rsid w:val="008E38BB"/>
    <w:rsid w:val="008E4123"/>
    <w:rsid w:val="008E5B57"/>
    <w:rsid w:val="008E65DC"/>
    <w:rsid w:val="008E7FC4"/>
    <w:rsid w:val="008F07EE"/>
    <w:rsid w:val="008F0E6B"/>
    <w:rsid w:val="008F272B"/>
    <w:rsid w:val="008F2A12"/>
    <w:rsid w:val="008F2CA8"/>
    <w:rsid w:val="008F2FB5"/>
    <w:rsid w:val="008F33A1"/>
    <w:rsid w:val="008F3B32"/>
    <w:rsid w:val="008F40AC"/>
    <w:rsid w:val="008F516F"/>
    <w:rsid w:val="008F662F"/>
    <w:rsid w:val="008F7348"/>
    <w:rsid w:val="008F777A"/>
    <w:rsid w:val="008F7CA3"/>
    <w:rsid w:val="008F7FB9"/>
    <w:rsid w:val="00900346"/>
    <w:rsid w:val="00900659"/>
    <w:rsid w:val="00900F57"/>
    <w:rsid w:val="0090179F"/>
    <w:rsid w:val="00901C94"/>
    <w:rsid w:val="0090424A"/>
    <w:rsid w:val="00905B3A"/>
    <w:rsid w:val="00905E2E"/>
    <w:rsid w:val="009061F0"/>
    <w:rsid w:val="00906779"/>
    <w:rsid w:val="00906833"/>
    <w:rsid w:val="00906EEC"/>
    <w:rsid w:val="00907FF9"/>
    <w:rsid w:val="009108A4"/>
    <w:rsid w:val="00910CD7"/>
    <w:rsid w:val="00910FB2"/>
    <w:rsid w:val="00911299"/>
    <w:rsid w:val="00911A65"/>
    <w:rsid w:val="00911BBA"/>
    <w:rsid w:val="00911DF5"/>
    <w:rsid w:val="00912749"/>
    <w:rsid w:val="00913AFE"/>
    <w:rsid w:val="00914052"/>
    <w:rsid w:val="00916256"/>
    <w:rsid w:val="009172EE"/>
    <w:rsid w:val="009179D1"/>
    <w:rsid w:val="00920B69"/>
    <w:rsid w:val="00921C0B"/>
    <w:rsid w:val="009231EF"/>
    <w:rsid w:val="009234C6"/>
    <w:rsid w:val="00924799"/>
    <w:rsid w:val="00924E6F"/>
    <w:rsid w:val="00924EEF"/>
    <w:rsid w:val="009252F8"/>
    <w:rsid w:val="009255E0"/>
    <w:rsid w:val="00925CF7"/>
    <w:rsid w:val="0092656B"/>
    <w:rsid w:val="00927ED4"/>
    <w:rsid w:val="009305B7"/>
    <w:rsid w:val="0093133A"/>
    <w:rsid w:val="00931880"/>
    <w:rsid w:val="00931A4A"/>
    <w:rsid w:val="00932CD5"/>
    <w:rsid w:val="00932D9E"/>
    <w:rsid w:val="009331DF"/>
    <w:rsid w:val="009331E3"/>
    <w:rsid w:val="00933C35"/>
    <w:rsid w:val="00934B8F"/>
    <w:rsid w:val="00934BB7"/>
    <w:rsid w:val="00934D46"/>
    <w:rsid w:val="00935457"/>
    <w:rsid w:val="009362DB"/>
    <w:rsid w:val="00937118"/>
    <w:rsid w:val="00937DBC"/>
    <w:rsid w:val="00941881"/>
    <w:rsid w:val="00942BF1"/>
    <w:rsid w:val="009438DE"/>
    <w:rsid w:val="0094404C"/>
    <w:rsid w:val="009445EF"/>
    <w:rsid w:val="009453F3"/>
    <w:rsid w:val="009455EA"/>
    <w:rsid w:val="00945946"/>
    <w:rsid w:val="00945B2E"/>
    <w:rsid w:val="009466DE"/>
    <w:rsid w:val="00946736"/>
    <w:rsid w:val="00950472"/>
    <w:rsid w:val="00950C48"/>
    <w:rsid w:val="00950D12"/>
    <w:rsid w:val="00951319"/>
    <w:rsid w:val="0095196B"/>
    <w:rsid w:val="0095226A"/>
    <w:rsid w:val="00952CC6"/>
    <w:rsid w:val="00954FC2"/>
    <w:rsid w:val="009554D3"/>
    <w:rsid w:val="00955C75"/>
    <w:rsid w:val="009607D0"/>
    <w:rsid w:val="00960B0F"/>
    <w:rsid w:val="00961298"/>
    <w:rsid w:val="00961D9D"/>
    <w:rsid w:val="00962AC3"/>
    <w:rsid w:val="0096447E"/>
    <w:rsid w:val="00964C66"/>
    <w:rsid w:val="00965CC1"/>
    <w:rsid w:val="00966D8B"/>
    <w:rsid w:val="009702B1"/>
    <w:rsid w:val="00971B2B"/>
    <w:rsid w:val="00971CDB"/>
    <w:rsid w:val="00973858"/>
    <w:rsid w:val="00973C57"/>
    <w:rsid w:val="00973C79"/>
    <w:rsid w:val="00974062"/>
    <w:rsid w:val="0097425A"/>
    <w:rsid w:val="00974289"/>
    <w:rsid w:val="009743CF"/>
    <w:rsid w:val="009759FF"/>
    <w:rsid w:val="00975B1F"/>
    <w:rsid w:val="009760D7"/>
    <w:rsid w:val="00977139"/>
    <w:rsid w:val="009779FA"/>
    <w:rsid w:val="0098046D"/>
    <w:rsid w:val="00980862"/>
    <w:rsid w:val="00980918"/>
    <w:rsid w:val="00980E85"/>
    <w:rsid w:val="00980F91"/>
    <w:rsid w:val="00982107"/>
    <w:rsid w:val="00982980"/>
    <w:rsid w:val="00982AE1"/>
    <w:rsid w:val="00983D90"/>
    <w:rsid w:val="009842FE"/>
    <w:rsid w:val="009851A1"/>
    <w:rsid w:val="00986C77"/>
    <w:rsid w:val="00986D6F"/>
    <w:rsid w:val="00987A2E"/>
    <w:rsid w:val="009902E3"/>
    <w:rsid w:val="009907DD"/>
    <w:rsid w:val="009908AD"/>
    <w:rsid w:val="00990CEF"/>
    <w:rsid w:val="00991718"/>
    <w:rsid w:val="00992886"/>
    <w:rsid w:val="009929AF"/>
    <w:rsid w:val="00992F7C"/>
    <w:rsid w:val="0099320D"/>
    <w:rsid w:val="0099421E"/>
    <w:rsid w:val="009945A4"/>
    <w:rsid w:val="0099505B"/>
    <w:rsid w:val="00995563"/>
    <w:rsid w:val="009964A7"/>
    <w:rsid w:val="0099721D"/>
    <w:rsid w:val="009A0950"/>
    <w:rsid w:val="009A1118"/>
    <w:rsid w:val="009A113C"/>
    <w:rsid w:val="009A16CA"/>
    <w:rsid w:val="009A172E"/>
    <w:rsid w:val="009A176C"/>
    <w:rsid w:val="009A1A51"/>
    <w:rsid w:val="009A1F30"/>
    <w:rsid w:val="009A2C9E"/>
    <w:rsid w:val="009A3659"/>
    <w:rsid w:val="009A3C06"/>
    <w:rsid w:val="009A4B42"/>
    <w:rsid w:val="009A4C49"/>
    <w:rsid w:val="009A5007"/>
    <w:rsid w:val="009A517D"/>
    <w:rsid w:val="009A53A4"/>
    <w:rsid w:val="009A5AA4"/>
    <w:rsid w:val="009A604F"/>
    <w:rsid w:val="009A61E2"/>
    <w:rsid w:val="009A6A4E"/>
    <w:rsid w:val="009A6AAE"/>
    <w:rsid w:val="009A7BD9"/>
    <w:rsid w:val="009B1AE4"/>
    <w:rsid w:val="009B2246"/>
    <w:rsid w:val="009B2713"/>
    <w:rsid w:val="009B33A8"/>
    <w:rsid w:val="009B3B27"/>
    <w:rsid w:val="009B3B2C"/>
    <w:rsid w:val="009B3D6A"/>
    <w:rsid w:val="009B442E"/>
    <w:rsid w:val="009B4946"/>
    <w:rsid w:val="009B5987"/>
    <w:rsid w:val="009B5AE3"/>
    <w:rsid w:val="009B65C4"/>
    <w:rsid w:val="009B6C67"/>
    <w:rsid w:val="009B72EA"/>
    <w:rsid w:val="009B7399"/>
    <w:rsid w:val="009B748D"/>
    <w:rsid w:val="009C0580"/>
    <w:rsid w:val="009C1BF8"/>
    <w:rsid w:val="009C1EC9"/>
    <w:rsid w:val="009C234C"/>
    <w:rsid w:val="009C29D8"/>
    <w:rsid w:val="009C33D5"/>
    <w:rsid w:val="009C33DA"/>
    <w:rsid w:val="009C3684"/>
    <w:rsid w:val="009C3B80"/>
    <w:rsid w:val="009C4F1C"/>
    <w:rsid w:val="009C5A5D"/>
    <w:rsid w:val="009C5CF9"/>
    <w:rsid w:val="009C674C"/>
    <w:rsid w:val="009C6C69"/>
    <w:rsid w:val="009C7D14"/>
    <w:rsid w:val="009D0655"/>
    <w:rsid w:val="009D0E3B"/>
    <w:rsid w:val="009D121A"/>
    <w:rsid w:val="009D1699"/>
    <w:rsid w:val="009D17AC"/>
    <w:rsid w:val="009D1DED"/>
    <w:rsid w:val="009D20F6"/>
    <w:rsid w:val="009D230B"/>
    <w:rsid w:val="009D2CAB"/>
    <w:rsid w:val="009D3119"/>
    <w:rsid w:val="009D3185"/>
    <w:rsid w:val="009D3CBC"/>
    <w:rsid w:val="009D52D6"/>
    <w:rsid w:val="009D532A"/>
    <w:rsid w:val="009D5351"/>
    <w:rsid w:val="009D559A"/>
    <w:rsid w:val="009D6511"/>
    <w:rsid w:val="009D659E"/>
    <w:rsid w:val="009D6CA0"/>
    <w:rsid w:val="009D6E3E"/>
    <w:rsid w:val="009D73A9"/>
    <w:rsid w:val="009D7C22"/>
    <w:rsid w:val="009E106A"/>
    <w:rsid w:val="009E124A"/>
    <w:rsid w:val="009E1C7D"/>
    <w:rsid w:val="009E1ECB"/>
    <w:rsid w:val="009E2143"/>
    <w:rsid w:val="009E24B6"/>
    <w:rsid w:val="009E2771"/>
    <w:rsid w:val="009E284B"/>
    <w:rsid w:val="009E29FC"/>
    <w:rsid w:val="009E2B53"/>
    <w:rsid w:val="009E3C8B"/>
    <w:rsid w:val="009E46D6"/>
    <w:rsid w:val="009E539D"/>
    <w:rsid w:val="009F0381"/>
    <w:rsid w:val="009F0C3C"/>
    <w:rsid w:val="009F1232"/>
    <w:rsid w:val="009F1256"/>
    <w:rsid w:val="009F2283"/>
    <w:rsid w:val="009F269A"/>
    <w:rsid w:val="009F31C1"/>
    <w:rsid w:val="009F3257"/>
    <w:rsid w:val="009F37CD"/>
    <w:rsid w:val="009F3A40"/>
    <w:rsid w:val="009F52A0"/>
    <w:rsid w:val="009F5C2F"/>
    <w:rsid w:val="009F7488"/>
    <w:rsid w:val="009F770A"/>
    <w:rsid w:val="009F7F50"/>
    <w:rsid w:val="00A0131C"/>
    <w:rsid w:val="00A01742"/>
    <w:rsid w:val="00A02574"/>
    <w:rsid w:val="00A0266B"/>
    <w:rsid w:val="00A02B0E"/>
    <w:rsid w:val="00A03030"/>
    <w:rsid w:val="00A05DA1"/>
    <w:rsid w:val="00A07746"/>
    <w:rsid w:val="00A07844"/>
    <w:rsid w:val="00A10202"/>
    <w:rsid w:val="00A124D6"/>
    <w:rsid w:val="00A126B9"/>
    <w:rsid w:val="00A12DC1"/>
    <w:rsid w:val="00A14655"/>
    <w:rsid w:val="00A149B5"/>
    <w:rsid w:val="00A14AFA"/>
    <w:rsid w:val="00A14EE6"/>
    <w:rsid w:val="00A14F9D"/>
    <w:rsid w:val="00A15613"/>
    <w:rsid w:val="00A15767"/>
    <w:rsid w:val="00A15931"/>
    <w:rsid w:val="00A160D7"/>
    <w:rsid w:val="00A1648E"/>
    <w:rsid w:val="00A16D4B"/>
    <w:rsid w:val="00A176AB"/>
    <w:rsid w:val="00A17FEB"/>
    <w:rsid w:val="00A2094F"/>
    <w:rsid w:val="00A20D16"/>
    <w:rsid w:val="00A22050"/>
    <w:rsid w:val="00A224B7"/>
    <w:rsid w:val="00A236C7"/>
    <w:rsid w:val="00A23A0D"/>
    <w:rsid w:val="00A23B2A"/>
    <w:rsid w:val="00A247BC"/>
    <w:rsid w:val="00A247C9"/>
    <w:rsid w:val="00A265CF"/>
    <w:rsid w:val="00A269BC"/>
    <w:rsid w:val="00A26E0F"/>
    <w:rsid w:val="00A27F3C"/>
    <w:rsid w:val="00A306D8"/>
    <w:rsid w:val="00A30DA1"/>
    <w:rsid w:val="00A3116A"/>
    <w:rsid w:val="00A3169C"/>
    <w:rsid w:val="00A31C48"/>
    <w:rsid w:val="00A32299"/>
    <w:rsid w:val="00A3229E"/>
    <w:rsid w:val="00A34271"/>
    <w:rsid w:val="00A34668"/>
    <w:rsid w:val="00A348B6"/>
    <w:rsid w:val="00A353BB"/>
    <w:rsid w:val="00A37949"/>
    <w:rsid w:val="00A37B75"/>
    <w:rsid w:val="00A37C57"/>
    <w:rsid w:val="00A40287"/>
    <w:rsid w:val="00A4046D"/>
    <w:rsid w:val="00A40511"/>
    <w:rsid w:val="00A40548"/>
    <w:rsid w:val="00A40789"/>
    <w:rsid w:val="00A414D0"/>
    <w:rsid w:val="00A4174E"/>
    <w:rsid w:val="00A41850"/>
    <w:rsid w:val="00A41858"/>
    <w:rsid w:val="00A41DFC"/>
    <w:rsid w:val="00A441C7"/>
    <w:rsid w:val="00A443A2"/>
    <w:rsid w:val="00A44E4C"/>
    <w:rsid w:val="00A44ED8"/>
    <w:rsid w:val="00A45542"/>
    <w:rsid w:val="00A458E3"/>
    <w:rsid w:val="00A45DE8"/>
    <w:rsid w:val="00A4644C"/>
    <w:rsid w:val="00A46A64"/>
    <w:rsid w:val="00A46D6B"/>
    <w:rsid w:val="00A47A94"/>
    <w:rsid w:val="00A47BD3"/>
    <w:rsid w:val="00A47C9D"/>
    <w:rsid w:val="00A5233B"/>
    <w:rsid w:val="00A528C3"/>
    <w:rsid w:val="00A53020"/>
    <w:rsid w:val="00A53326"/>
    <w:rsid w:val="00A54106"/>
    <w:rsid w:val="00A54C47"/>
    <w:rsid w:val="00A55ABB"/>
    <w:rsid w:val="00A561CE"/>
    <w:rsid w:val="00A56418"/>
    <w:rsid w:val="00A56A4D"/>
    <w:rsid w:val="00A56C00"/>
    <w:rsid w:val="00A57D3D"/>
    <w:rsid w:val="00A6048E"/>
    <w:rsid w:val="00A6077F"/>
    <w:rsid w:val="00A60B30"/>
    <w:rsid w:val="00A61344"/>
    <w:rsid w:val="00A61438"/>
    <w:rsid w:val="00A61991"/>
    <w:rsid w:val="00A62312"/>
    <w:rsid w:val="00A6326C"/>
    <w:rsid w:val="00A64501"/>
    <w:rsid w:val="00A646D4"/>
    <w:rsid w:val="00A64F8D"/>
    <w:rsid w:val="00A66D36"/>
    <w:rsid w:val="00A67340"/>
    <w:rsid w:val="00A67548"/>
    <w:rsid w:val="00A678EE"/>
    <w:rsid w:val="00A70733"/>
    <w:rsid w:val="00A70CEE"/>
    <w:rsid w:val="00A70E57"/>
    <w:rsid w:val="00A71083"/>
    <w:rsid w:val="00A71203"/>
    <w:rsid w:val="00A71AEB"/>
    <w:rsid w:val="00A71C2C"/>
    <w:rsid w:val="00A71F2C"/>
    <w:rsid w:val="00A7269C"/>
    <w:rsid w:val="00A7488C"/>
    <w:rsid w:val="00A74E6A"/>
    <w:rsid w:val="00A75B9A"/>
    <w:rsid w:val="00A75DA0"/>
    <w:rsid w:val="00A762D6"/>
    <w:rsid w:val="00A776DA"/>
    <w:rsid w:val="00A77C60"/>
    <w:rsid w:val="00A806E9"/>
    <w:rsid w:val="00A80BC4"/>
    <w:rsid w:val="00A81917"/>
    <w:rsid w:val="00A81959"/>
    <w:rsid w:val="00A81FF6"/>
    <w:rsid w:val="00A82058"/>
    <w:rsid w:val="00A82F0F"/>
    <w:rsid w:val="00A833D0"/>
    <w:rsid w:val="00A8352E"/>
    <w:rsid w:val="00A84CD2"/>
    <w:rsid w:val="00A8527F"/>
    <w:rsid w:val="00A85CFC"/>
    <w:rsid w:val="00A85E95"/>
    <w:rsid w:val="00A90213"/>
    <w:rsid w:val="00A91384"/>
    <w:rsid w:val="00A914A8"/>
    <w:rsid w:val="00A92AD0"/>
    <w:rsid w:val="00A931FF"/>
    <w:rsid w:val="00A941FE"/>
    <w:rsid w:val="00A94D2B"/>
    <w:rsid w:val="00A95D08"/>
    <w:rsid w:val="00A96BE2"/>
    <w:rsid w:val="00A970CF"/>
    <w:rsid w:val="00AA0D5E"/>
    <w:rsid w:val="00AA13CD"/>
    <w:rsid w:val="00AA1BB8"/>
    <w:rsid w:val="00AA29F5"/>
    <w:rsid w:val="00AA2DBC"/>
    <w:rsid w:val="00AA32EC"/>
    <w:rsid w:val="00AA3DC4"/>
    <w:rsid w:val="00AA57B9"/>
    <w:rsid w:val="00AA6317"/>
    <w:rsid w:val="00AA6818"/>
    <w:rsid w:val="00AA6B2B"/>
    <w:rsid w:val="00AA7CE5"/>
    <w:rsid w:val="00AA7DF5"/>
    <w:rsid w:val="00AB03C2"/>
    <w:rsid w:val="00AB0C2C"/>
    <w:rsid w:val="00AB1389"/>
    <w:rsid w:val="00AB1A8B"/>
    <w:rsid w:val="00AB23D7"/>
    <w:rsid w:val="00AB250E"/>
    <w:rsid w:val="00AB2722"/>
    <w:rsid w:val="00AB37D6"/>
    <w:rsid w:val="00AB413F"/>
    <w:rsid w:val="00AB4440"/>
    <w:rsid w:val="00AB5D7F"/>
    <w:rsid w:val="00AB6C91"/>
    <w:rsid w:val="00AB6E64"/>
    <w:rsid w:val="00AB7596"/>
    <w:rsid w:val="00AB7EF8"/>
    <w:rsid w:val="00AC01BC"/>
    <w:rsid w:val="00AC113D"/>
    <w:rsid w:val="00AC184A"/>
    <w:rsid w:val="00AC253A"/>
    <w:rsid w:val="00AC26E3"/>
    <w:rsid w:val="00AC3B9E"/>
    <w:rsid w:val="00AC455D"/>
    <w:rsid w:val="00AC45F9"/>
    <w:rsid w:val="00AC4D6B"/>
    <w:rsid w:val="00AC6301"/>
    <w:rsid w:val="00AD4A5C"/>
    <w:rsid w:val="00AD509A"/>
    <w:rsid w:val="00AD5C2A"/>
    <w:rsid w:val="00AD5E7C"/>
    <w:rsid w:val="00AD66DB"/>
    <w:rsid w:val="00AE0C74"/>
    <w:rsid w:val="00AE1799"/>
    <w:rsid w:val="00AE1EFF"/>
    <w:rsid w:val="00AE3503"/>
    <w:rsid w:val="00AE3B04"/>
    <w:rsid w:val="00AE3D70"/>
    <w:rsid w:val="00AE4414"/>
    <w:rsid w:val="00AE457C"/>
    <w:rsid w:val="00AE496F"/>
    <w:rsid w:val="00AE4BCB"/>
    <w:rsid w:val="00AE4C41"/>
    <w:rsid w:val="00AE6759"/>
    <w:rsid w:val="00AE6CCD"/>
    <w:rsid w:val="00AE71FB"/>
    <w:rsid w:val="00AE7348"/>
    <w:rsid w:val="00AE761F"/>
    <w:rsid w:val="00AF0289"/>
    <w:rsid w:val="00AF0A15"/>
    <w:rsid w:val="00AF0A32"/>
    <w:rsid w:val="00AF0D18"/>
    <w:rsid w:val="00AF11A4"/>
    <w:rsid w:val="00AF23A9"/>
    <w:rsid w:val="00AF2A12"/>
    <w:rsid w:val="00AF3F7A"/>
    <w:rsid w:val="00AF408B"/>
    <w:rsid w:val="00AF47B8"/>
    <w:rsid w:val="00AF5121"/>
    <w:rsid w:val="00AF5A51"/>
    <w:rsid w:val="00AF5BEB"/>
    <w:rsid w:val="00AF5CE2"/>
    <w:rsid w:val="00AF5D31"/>
    <w:rsid w:val="00AF5F23"/>
    <w:rsid w:val="00AF6851"/>
    <w:rsid w:val="00AF773C"/>
    <w:rsid w:val="00B008DE"/>
    <w:rsid w:val="00B014DB"/>
    <w:rsid w:val="00B01960"/>
    <w:rsid w:val="00B039A1"/>
    <w:rsid w:val="00B03AB8"/>
    <w:rsid w:val="00B03BBE"/>
    <w:rsid w:val="00B04415"/>
    <w:rsid w:val="00B0505A"/>
    <w:rsid w:val="00B06243"/>
    <w:rsid w:val="00B07E07"/>
    <w:rsid w:val="00B10549"/>
    <w:rsid w:val="00B110F0"/>
    <w:rsid w:val="00B11B83"/>
    <w:rsid w:val="00B11F13"/>
    <w:rsid w:val="00B1231D"/>
    <w:rsid w:val="00B126D5"/>
    <w:rsid w:val="00B138ED"/>
    <w:rsid w:val="00B1397C"/>
    <w:rsid w:val="00B13FC4"/>
    <w:rsid w:val="00B14940"/>
    <w:rsid w:val="00B151D1"/>
    <w:rsid w:val="00B15987"/>
    <w:rsid w:val="00B15B4D"/>
    <w:rsid w:val="00B16655"/>
    <w:rsid w:val="00B168A4"/>
    <w:rsid w:val="00B16A8D"/>
    <w:rsid w:val="00B17201"/>
    <w:rsid w:val="00B17296"/>
    <w:rsid w:val="00B20056"/>
    <w:rsid w:val="00B22492"/>
    <w:rsid w:val="00B23334"/>
    <w:rsid w:val="00B24C44"/>
    <w:rsid w:val="00B25A0D"/>
    <w:rsid w:val="00B25FB8"/>
    <w:rsid w:val="00B25FC2"/>
    <w:rsid w:val="00B27774"/>
    <w:rsid w:val="00B278D9"/>
    <w:rsid w:val="00B300FA"/>
    <w:rsid w:val="00B31686"/>
    <w:rsid w:val="00B31CA4"/>
    <w:rsid w:val="00B3278C"/>
    <w:rsid w:val="00B328C1"/>
    <w:rsid w:val="00B32A45"/>
    <w:rsid w:val="00B32C07"/>
    <w:rsid w:val="00B3329F"/>
    <w:rsid w:val="00B333EB"/>
    <w:rsid w:val="00B33421"/>
    <w:rsid w:val="00B3360E"/>
    <w:rsid w:val="00B338B8"/>
    <w:rsid w:val="00B339C1"/>
    <w:rsid w:val="00B33CC5"/>
    <w:rsid w:val="00B345D0"/>
    <w:rsid w:val="00B349EF"/>
    <w:rsid w:val="00B34A16"/>
    <w:rsid w:val="00B357AC"/>
    <w:rsid w:val="00B3668B"/>
    <w:rsid w:val="00B36784"/>
    <w:rsid w:val="00B372AB"/>
    <w:rsid w:val="00B378A6"/>
    <w:rsid w:val="00B40B33"/>
    <w:rsid w:val="00B40C44"/>
    <w:rsid w:val="00B40D38"/>
    <w:rsid w:val="00B41A6A"/>
    <w:rsid w:val="00B42239"/>
    <w:rsid w:val="00B4319C"/>
    <w:rsid w:val="00B43382"/>
    <w:rsid w:val="00B437F3"/>
    <w:rsid w:val="00B44E88"/>
    <w:rsid w:val="00B4517E"/>
    <w:rsid w:val="00B4556E"/>
    <w:rsid w:val="00B455C7"/>
    <w:rsid w:val="00B45998"/>
    <w:rsid w:val="00B464AF"/>
    <w:rsid w:val="00B4653C"/>
    <w:rsid w:val="00B46BF5"/>
    <w:rsid w:val="00B46E2C"/>
    <w:rsid w:val="00B47531"/>
    <w:rsid w:val="00B47B71"/>
    <w:rsid w:val="00B50A4D"/>
    <w:rsid w:val="00B5136A"/>
    <w:rsid w:val="00B525EE"/>
    <w:rsid w:val="00B52C32"/>
    <w:rsid w:val="00B53CAD"/>
    <w:rsid w:val="00B55A14"/>
    <w:rsid w:val="00B5698D"/>
    <w:rsid w:val="00B57B6D"/>
    <w:rsid w:val="00B6109E"/>
    <w:rsid w:val="00B610BE"/>
    <w:rsid w:val="00B610C5"/>
    <w:rsid w:val="00B6166B"/>
    <w:rsid w:val="00B61DF7"/>
    <w:rsid w:val="00B62308"/>
    <w:rsid w:val="00B62371"/>
    <w:rsid w:val="00B62ABA"/>
    <w:rsid w:val="00B63F34"/>
    <w:rsid w:val="00B65118"/>
    <w:rsid w:val="00B652A1"/>
    <w:rsid w:val="00B659C8"/>
    <w:rsid w:val="00B65AD8"/>
    <w:rsid w:val="00B6607B"/>
    <w:rsid w:val="00B67860"/>
    <w:rsid w:val="00B70348"/>
    <w:rsid w:val="00B710B9"/>
    <w:rsid w:val="00B717FC"/>
    <w:rsid w:val="00B719FC"/>
    <w:rsid w:val="00B71B9C"/>
    <w:rsid w:val="00B736AF"/>
    <w:rsid w:val="00B7494F"/>
    <w:rsid w:val="00B75797"/>
    <w:rsid w:val="00B7582B"/>
    <w:rsid w:val="00B75E68"/>
    <w:rsid w:val="00B75F5B"/>
    <w:rsid w:val="00B7766E"/>
    <w:rsid w:val="00B77902"/>
    <w:rsid w:val="00B818B3"/>
    <w:rsid w:val="00B81E2D"/>
    <w:rsid w:val="00B830CA"/>
    <w:rsid w:val="00B8312B"/>
    <w:rsid w:val="00B863D2"/>
    <w:rsid w:val="00B90F2E"/>
    <w:rsid w:val="00B9114E"/>
    <w:rsid w:val="00B921B6"/>
    <w:rsid w:val="00B92B84"/>
    <w:rsid w:val="00B92C9E"/>
    <w:rsid w:val="00B92DB7"/>
    <w:rsid w:val="00B933F0"/>
    <w:rsid w:val="00B93A6F"/>
    <w:rsid w:val="00B94125"/>
    <w:rsid w:val="00B9507C"/>
    <w:rsid w:val="00B9533E"/>
    <w:rsid w:val="00B96D96"/>
    <w:rsid w:val="00BA0D42"/>
    <w:rsid w:val="00BA160C"/>
    <w:rsid w:val="00BA1679"/>
    <w:rsid w:val="00BA1E38"/>
    <w:rsid w:val="00BA1FE7"/>
    <w:rsid w:val="00BA206B"/>
    <w:rsid w:val="00BA2730"/>
    <w:rsid w:val="00BA2950"/>
    <w:rsid w:val="00BA3B9B"/>
    <w:rsid w:val="00BA4722"/>
    <w:rsid w:val="00BA5AA8"/>
    <w:rsid w:val="00BA6C3C"/>
    <w:rsid w:val="00BB01F0"/>
    <w:rsid w:val="00BB1405"/>
    <w:rsid w:val="00BB14FC"/>
    <w:rsid w:val="00BB15B0"/>
    <w:rsid w:val="00BB1BDB"/>
    <w:rsid w:val="00BB1BE1"/>
    <w:rsid w:val="00BB3731"/>
    <w:rsid w:val="00BB387D"/>
    <w:rsid w:val="00BB3E17"/>
    <w:rsid w:val="00BB434D"/>
    <w:rsid w:val="00BB4DCC"/>
    <w:rsid w:val="00BB51C1"/>
    <w:rsid w:val="00BB5ECA"/>
    <w:rsid w:val="00BB62A8"/>
    <w:rsid w:val="00BB7151"/>
    <w:rsid w:val="00BB7521"/>
    <w:rsid w:val="00BB76F3"/>
    <w:rsid w:val="00BC059F"/>
    <w:rsid w:val="00BC0D68"/>
    <w:rsid w:val="00BC1A68"/>
    <w:rsid w:val="00BC1BDA"/>
    <w:rsid w:val="00BC1D2F"/>
    <w:rsid w:val="00BC2BFF"/>
    <w:rsid w:val="00BC4046"/>
    <w:rsid w:val="00BC4542"/>
    <w:rsid w:val="00BC5A84"/>
    <w:rsid w:val="00BC5B71"/>
    <w:rsid w:val="00BC7698"/>
    <w:rsid w:val="00BD03FE"/>
    <w:rsid w:val="00BD0B9A"/>
    <w:rsid w:val="00BD106B"/>
    <w:rsid w:val="00BD1176"/>
    <w:rsid w:val="00BD1D09"/>
    <w:rsid w:val="00BD2593"/>
    <w:rsid w:val="00BD3C07"/>
    <w:rsid w:val="00BD409E"/>
    <w:rsid w:val="00BD41F1"/>
    <w:rsid w:val="00BD435C"/>
    <w:rsid w:val="00BD4B90"/>
    <w:rsid w:val="00BD5EAA"/>
    <w:rsid w:val="00BD6ED3"/>
    <w:rsid w:val="00BD6F3E"/>
    <w:rsid w:val="00BD702A"/>
    <w:rsid w:val="00BD702F"/>
    <w:rsid w:val="00BD7358"/>
    <w:rsid w:val="00BD770A"/>
    <w:rsid w:val="00BE0210"/>
    <w:rsid w:val="00BE03B8"/>
    <w:rsid w:val="00BE051B"/>
    <w:rsid w:val="00BE0EB7"/>
    <w:rsid w:val="00BE15EF"/>
    <w:rsid w:val="00BE1B82"/>
    <w:rsid w:val="00BE348F"/>
    <w:rsid w:val="00BE3640"/>
    <w:rsid w:val="00BE4A3C"/>
    <w:rsid w:val="00BE5883"/>
    <w:rsid w:val="00BE5D48"/>
    <w:rsid w:val="00BE6291"/>
    <w:rsid w:val="00BE6497"/>
    <w:rsid w:val="00BE6806"/>
    <w:rsid w:val="00BE681A"/>
    <w:rsid w:val="00BE69EE"/>
    <w:rsid w:val="00BE723F"/>
    <w:rsid w:val="00BE7CE7"/>
    <w:rsid w:val="00BF0085"/>
    <w:rsid w:val="00BF0BE7"/>
    <w:rsid w:val="00BF1509"/>
    <w:rsid w:val="00BF17D9"/>
    <w:rsid w:val="00BF241F"/>
    <w:rsid w:val="00BF25DD"/>
    <w:rsid w:val="00BF2838"/>
    <w:rsid w:val="00BF2E1A"/>
    <w:rsid w:val="00BF3230"/>
    <w:rsid w:val="00BF39E0"/>
    <w:rsid w:val="00BF3DD8"/>
    <w:rsid w:val="00BF447A"/>
    <w:rsid w:val="00BF44F6"/>
    <w:rsid w:val="00BF4633"/>
    <w:rsid w:val="00BF484B"/>
    <w:rsid w:val="00BF65A4"/>
    <w:rsid w:val="00BF65C6"/>
    <w:rsid w:val="00BF7B05"/>
    <w:rsid w:val="00BF7C25"/>
    <w:rsid w:val="00BF7D06"/>
    <w:rsid w:val="00BF7DE9"/>
    <w:rsid w:val="00BF7EEE"/>
    <w:rsid w:val="00C00064"/>
    <w:rsid w:val="00C002FD"/>
    <w:rsid w:val="00C0274A"/>
    <w:rsid w:val="00C02989"/>
    <w:rsid w:val="00C029A3"/>
    <w:rsid w:val="00C03453"/>
    <w:rsid w:val="00C03DD0"/>
    <w:rsid w:val="00C04AE9"/>
    <w:rsid w:val="00C05873"/>
    <w:rsid w:val="00C05B81"/>
    <w:rsid w:val="00C06AC0"/>
    <w:rsid w:val="00C07C41"/>
    <w:rsid w:val="00C07EAF"/>
    <w:rsid w:val="00C115B8"/>
    <w:rsid w:val="00C118AA"/>
    <w:rsid w:val="00C11969"/>
    <w:rsid w:val="00C11E00"/>
    <w:rsid w:val="00C11EB0"/>
    <w:rsid w:val="00C12207"/>
    <w:rsid w:val="00C1273F"/>
    <w:rsid w:val="00C12808"/>
    <w:rsid w:val="00C13879"/>
    <w:rsid w:val="00C14296"/>
    <w:rsid w:val="00C142E8"/>
    <w:rsid w:val="00C14C33"/>
    <w:rsid w:val="00C14F64"/>
    <w:rsid w:val="00C16EB8"/>
    <w:rsid w:val="00C16F17"/>
    <w:rsid w:val="00C175E1"/>
    <w:rsid w:val="00C1780C"/>
    <w:rsid w:val="00C17EA1"/>
    <w:rsid w:val="00C20014"/>
    <w:rsid w:val="00C20A1C"/>
    <w:rsid w:val="00C20EDE"/>
    <w:rsid w:val="00C2129D"/>
    <w:rsid w:val="00C2179E"/>
    <w:rsid w:val="00C233E6"/>
    <w:rsid w:val="00C236A0"/>
    <w:rsid w:val="00C245D2"/>
    <w:rsid w:val="00C24C8F"/>
    <w:rsid w:val="00C255A6"/>
    <w:rsid w:val="00C25E77"/>
    <w:rsid w:val="00C26424"/>
    <w:rsid w:val="00C267D3"/>
    <w:rsid w:val="00C26E97"/>
    <w:rsid w:val="00C26ECB"/>
    <w:rsid w:val="00C270C8"/>
    <w:rsid w:val="00C27F2D"/>
    <w:rsid w:val="00C27F72"/>
    <w:rsid w:val="00C27FF5"/>
    <w:rsid w:val="00C30DDC"/>
    <w:rsid w:val="00C311FC"/>
    <w:rsid w:val="00C32BDB"/>
    <w:rsid w:val="00C338F6"/>
    <w:rsid w:val="00C33F44"/>
    <w:rsid w:val="00C34A02"/>
    <w:rsid w:val="00C35482"/>
    <w:rsid w:val="00C373DE"/>
    <w:rsid w:val="00C37837"/>
    <w:rsid w:val="00C37BC5"/>
    <w:rsid w:val="00C404FC"/>
    <w:rsid w:val="00C40626"/>
    <w:rsid w:val="00C4077D"/>
    <w:rsid w:val="00C41149"/>
    <w:rsid w:val="00C414DF"/>
    <w:rsid w:val="00C41E61"/>
    <w:rsid w:val="00C42C84"/>
    <w:rsid w:val="00C43124"/>
    <w:rsid w:val="00C43221"/>
    <w:rsid w:val="00C43710"/>
    <w:rsid w:val="00C437CA"/>
    <w:rsid w:val="00C448B4"/>
    <w:rsid w:val="00C4567F"/>
    <w:rsid w:val="00C45AFC"/>
    <w:rsid w:val="00C46F39"/>
    <w:rsid w:val="00C46F59"/>
    <w:rsid w:val="00C476C1"/>
    <w:rsid w:val="00C5019A"/>
    <w:rsid w:val="00C52391"/>
    <w:rsid w:val="00C528D2"/>
    <w:rsid w:val="00C533B2"/>
    <w:rsid w:val="00C5342F"/>
    <w:rsid w:val="00C53782"/>
    <w:rsid w:val="00C53828"/>
    <w:rsid w:val="00C547FB"/>
    <w:rsid w:val="00C54C36"/>
    <w:rsid w:val="00C5567D"/>
    <w:rsid w:val="00C55A3C"/>
    <w:rsid w:val="00C55F29"/>
    <w:rsid w:val="00C561F3"/>
    <w:rsid w:val="00C5628B"/>
    <w:rsid w:val="00C56E88"/>
    <w:rsid w:val="00C57674"/>
    <w:rsid w:val="00C57A3F"/>
    <w:rsid w:val="00C57BE8"/>
    <w:rsid w:val="00C57E1A"/>
    <w:rsid w:val="00C60314"/>
    <w:rsid w:val="00C60828"/>
    <w:rsid w:val="00C61171"/>
    <w:rsid w:val="00C61311"/>
    <w:rsid w:val="00C61CC4"/>
    <w:rsid w:val="00C62D90"/>
    <w:rsid w:val="00C638A3"/>
    <w:rsid w:val="00C65373"/>
    <w:rsid w:val="00C65410"/>
    <w:rsid w:val="00C66086"/>
    <w:rsid w:val="00C665C2"/>
    <w:rsid w:val="00C66EC4"/>
    <w:rsid w:val="00C70B1F"/>
    <w:rsid w:val="00C70E2B"/>
    <w:rsid w:val="00C724C3"/>
    <w:rsid w:val="00C72598"/>
    <w:rsid w:val="00C73AFA"/>
    <w:rsid w:val="00C73C02"/>
    <w:rsid w:val="00C7484C"/>
    <w:rsid w:val="00C749FD"/>
    <w:rsid w:val="00C74DED"/>
    <w:rsid w:val="00C7523B"/>
    <w:rsid w:val="00C756C7"/>
    <w:rsid w:val="00C757F2"/>
    <w:rsid w:val="00C75E8D"/>
    <w:rsid w:val="00C76C14"/>
    <w:rsid w:val="00C7719A"/>
    <w:rsid w:val="00C77457"/>
    <w:rsid w:val="00C77F0C"/>
    <w:rsid w:val="00C800FB"/>
    <w:rsid w:val="00C80625"/>
    <w:rsid w:val="00C809EB"/>
    <w:rsid w:val="00C80F89"/>
    <w:rsid w:val="00C81317"/>
    <w:rsid w:val="00C81DA5"/>
    <w:rsid w:val="00C834A1"/>
    <w:rsid w:val="00C85395"/>
    <w:rsid w:val="00C85D46"/>
    <w:rsid w:val="00C85E8B"/>
    <w:rsid w:val="00C86436"/>
    <w:rsid w:val="00C87961"/>
    <w:rsid w:val="00C90934"/>
    <w:rsid w:val="00C90DE0"/>
    <w:rsid w:val="00C91DE9"/>
    <w:rsid w:val="00C92295"/>
    <w:rsid w:val="00C9273A"/>
    <w:rsid w:val="00C94727"/>
    <w:rsid w:val="00C954E3"/>
    <w:rsid w:val="00C95626"/>
    <w:rsid w:val="00C96080"/>
    <w:rsid w:val="00C9714E"/>
    <w:rsid w:val="00C97A2B"/>
    <w:rsid w:val="00CA07C3"/>
    <w:rsid w:val="00CA1257"/>
    <w:rsid w:val="00CA137E"/>
    <w:rsid w:val="00CA1F82"/>
    <w:rsid w:val="00CA212C"/>
    <w:rsid w:val="00CA2BF2"/>
    <w:rsid w:val="00CA340D"/>
    <w:rsid w:val="00CA37E1"/>
    <w:rsid w:val="00CA3B23"/>
    <w:rsid w:val="00CA50B6"/>
    <w:rsid w:val="00CA531F"/>
    <w:rsid w:val="00CA5954"/>
    <w:rsid w:val="00CA68AB"/>
    <w:rsid w:val="00CA6B9B"/>
    <w:rsid w:val="00CB0183"/>
    <w:rsid w:val="00CB0435"/>
    <w:rsid w:val="00CB0951"/>
    <w:rsid w:val="00CB0F65"/>
    <w:rsid w:val="00CB1176"/>
    <w:rsid w:val="00CB16FB"/>
    <w:rsid w:val="00CB2A06"/>
    <w:rsid w:val="00CB2EC0"/>
    <w:rsid w:val="00CB3A06"/>
    <w:rsid w:val="00CB3C0D"/>
    <w:rsid w:val="00CB4347"/>
    <w:rsid w:val="00CB46BE"/>
    <w:rsid w:val="00CB4720"/>
    <w:rsid w:val="00CB4AD3"/>
    <w:rsid w:val="00CB4C41"/>
    <w:rsid w:val="00CB4E00"/>
    <w:rsid w:val="00CB5C71"/>
    <w:rsid w:val="00CB5D3E"/>
    <w:rsid w:val="00CB7461"/>
    <w:rsid w:val="00CB753A"/>
    <w:rsid w:val="00CB77B2"/>
    <w:rsid w:val="00CB7C56"/>
    <w:rsid w:val="00CB7E83"/>
    <w:rsid w:val="00CC0068"/>
    <w:rsid w:val="00CC033B"/>
    <w:rsid w:val="00CC0E76"/>
    <w:rsid w:val="00CC12A7"/>
    <w:rsid w:val="00CC175D"/>
    <w:rsid w:val="00CC179C"/>
    <w:rsid w:val="00CC2029"/>
    <w:rsid w:val="00CC30A9"/>
    <w:rsid w:val="00CC3364"/>
    <w:rsid w:val="00CC3899"/>
    <w:rsid w:val="00CC3DA4"/>
    <w:rsid w:val="00CC4A93"/>
    <w:rsid w:val="00CC59F8"/>
    <w:rsid w:val="00CC66FE"/>
    <w:rsid w:val="00CC709F"/>
    <w:rsid w:val="00CD00DE"/>
    <w:rsid w:val="00CD0CFA"/>
    <w:rsid w:val="00CD0EAC"/>
    <w:rsid w:val="00CD1D61"/>
    <w:rsid w:val="00CD2682"/>
    <w:rsid w:val="00CD2A2E"/>
    <w:rsid w:val="00CD2EC0"/>
    <w:rsid w:val="00CD2F83"/>
    <w:rsid w:val="00CD33D1"/>
    <w:rsid w:val="00CD3455"/>
    <w:rsid w:val="00CD37BF"/>
    <w:rsid w:val="00CD442A"/>
    <w:rsid w:val="00CD45B6"/>
    <w:rsid w:val="00CD4E7D"/>
    <w:rsid w:val="00CD5C26"/>
    <w:rsid w:val="00CD5D1B"/>
    <w:rsid w:val="00CD5F7D"/>
    <w:rsid w:val="00CD6936"/>
    <w:rsid w:val="00CD6AFF"/>
    <w:rsid w:val="00CD702E"/>
    <w:rsid w:val="00CD7428"/>
    <w:rsid w:val="00CD798B"/>
    <w:rsid w:val="00CE0745"/>
    <w:rsid w:val="00CE0A09"/>
    <w:rsid w:val="00CE0DDD"/>
    <w:rsid w:val="00CE1023"/>
    <w:rsid w:val="00CE10F2"/>
    <w:rsid w:val="00CE1100"/>
    <w:rsid w:val="00CE157C"/>
    <w:rsid w:val="00CE1AE1"/>
    <w:rsid w:val="00CE2735"/>
    <w:rsid w:val="00CE2B44"/>
    <w:rsid w:val="00CE2F86"/>
    <w:rsid w:val="00CE3075"/>
    <w:rsid w:val="00CE31BD"/>
    <w:rsid w:val="00CE31D5"/>
    <w:rsid w:val="00CE3697"/>
    <w:rsid w:val="00CE383A"/>
    <w:rsid w:val="00CE4231"/>
    <w:rsid w:val="00CE4D52"/>
    <w:rsid w:val="00CE4F11"/>
    <w:rsid w:val="00CE56EE"/>
    <w:rsid w:val="00CE6150"/>
    <w:rsid w:val="00CE6BA8"/>
    <w:rsid w:val="00CE70CC"/>
    <w:rsid w:val="00CE791D"/>
    <w:rsid w:val="00CE792C"/>
    <w:rsid w:val="00CE7A8A"/>
    <w:rsid w:val="00CE7E74"/>
    <w:rsid w:val="00CF02CC"/>
    <w:rsid w:val="00CF05C5"/>
    <w:rsid w:val="00CF090F"/>
    <w:rsid w:val="00CF09BC"/>
    <w:rsid w:val="00CF10F8"/>
    <w:rsid w:val="00CF27F7"/>
    <w:rsid w:val="00CF2B02"/>
    <w:rsid w:val="00CF3213"/>
    <w:rsid w:val="00CF3E01"/>
    <w:rsid w:val="00CF4646"/>
    <w:rsid w:val="00CF71B7"/>
    <w:rsid w:val="00CF7580"/>
    <w:rsid w:val="00CF7CC7"/>
    <w:rsid w:val="00CF7D81"/>
    <w:rsid w:val="00D00D12"/>
    <w:rsid w:val="00D00F4E"/>
    <w:rsid w:val="00D01648"/>
    <w:rsid w:val="00D01D4B"/>
    <w:rsid w:val="00D01E1A"/>
    <w:rsid w:val="00D01FB5"/>
    <w:rsid w:val="00D0260D"/>
    <w:rsid w:val="00D027C3"/>
    <w:rsid w:val="00D02A33"/>
    <w:rsid w:val="00D0325C"/>
    <w:rsid w:val="00D03A45"/>
    <w:rsid w:val="00D04B4B"/>
    <w:rsid w:val="00D052BC"/>
    <w:rsid w:val="00D07085"/>
    <w:rsid w:val="00D074E6"/>
    <w:rsid w:val="00D1006D"/>
    <w:rsid w:val="00D11728"/>
    <w:rsid w:val="00D12C6D"/>
    <w:rsid w:val="00D141A4"/>
    <w:rsid w:val="00D144F9"/>
    <w:rsid w:val="00D149EA"/>
    <w:rsid w:val="00D14C59"/>
    <w:rsid w:val="00D14D15"/>
    <w:rsid w:val="00D156F6"/>
    <w:rsid w:val="00D16457"/>
    <w:rsid w:val="00D1735F"/>
    <w:rsid w:val="00D176A9"/>
    <w:rsid w:val="00D2127F"/>
    <w:rsid w:val="00D22CA8"/>
    <w:rsid w:val="00D22CBC"/>
    <w:rsid w:val="00D232DC"/>
    <w:rsid w:val="00D235F2"/>
    <w:rsid w:val="00D238E2"/>
    <w:rsid w:val="00D23A8A"/>
    <w:rsid w:val="00D23B2B"/>
    <w:rsid w:val="00D23B47"/>
    <w:rsid w:val="00D23D07"/>
    <w:rsid w:val="00D24143"/>
    <w:rsid w:val="00D25126"/>
    <w:rsid w:val="00D253C9"/>
    <w:rsid w:val="00D2711B"/>
    <w:rsid w:val="00D301A2"/>
    <w:rsid w:val="00D30770"/>
    <w:rsid w:val="00D307E4"/>
    <w:rsid w:val="00D30D09"/>
    <w:rsid w:val="00D30F48"/>
    <w:rsid w:val="00D31A30"/>
    <w:rsid w:val="00D31B4F"/>
    <w:rsid w:val="00D324B6"/>
    <w:rsid w:val="00D32FFC"/>
    <w:rsid w:val="00D333BF"/>
    <w:rsid w:val="00D333CF"/>
    <w:rsid w:val="00D3535B"/>
    <w:rsid w:val="00D35725"/>
    <w:rsid w:val="00D36473"/>
    <w:rsid w:val="00D37F7E"/>
    <w:rsid w:val="00D4136C"/>
    <w:rsid w:val="00D41E60"/>
    <w:rsid w:val="00D42247"/>
    <w:rsid w:val="00D4259B"/>
    <w:rsid w:val="00D42B7A"/>
    <w:rsid w:val="00D44380"/>
    <w:rsid w:val="00D44508"/>
    <w:rsid w:val="00D45709"/>
    <w:rsid w:val="00D45D66"/>
    <w:rsid w:val="00D461C2"/>
    <w:rsid w:val="00D47FA5"/>
    <w:rsid w:val="00D50135"/>
    <w:rsid w:val="00D508D0"/>
    <w:rsid w:val="00D508F9"/>
    <w:rsid w:val="00D510BE"/>
    <w:rsid w:val="00D5334E"/>
    <w:rsid w:val="00D5428D"/>
    <w:rsid w:val="00D54B4B"/>
    <w:rsid w:val="00D54E3C"/>
    <w:rsid w:val="00D55780"/>
    <w:rsid w:val="00D5654A"/>
    <w:rsid w:val="00D57E1F"/>
    <w:rsid w:val="00D604BF"/>
    <w:rsid w:val="00D60DFE"/>
    <w:rsid w:val="00D60EBD"/>
    <w:rsid w:val="00D6165E"/>
    <w:rsid w:val="00D61BF0"/>
    <w:rsid w:val="00D61EF5"/>
    <w:rsid w:val="00D62F9D"/>
    <w:rsid w:val="00D63835"/>
    <w:rsid w:val="00D6387D"/>
    <w:rsid w:val="00D63CF5"/>
    <w:rsid w:val="00D6421D"/>
    <w:rsid w:val="00D64760"/>
    <w:rsid w:val="00D647AC"/>
    <w:rsid w:val="00D64F4F"/>
    <w:rsid w:val="00D6517E"/>
    <w:rsid w:val="00D6548C"/>
    <w:rsid w:val="00D65613"/>
    <w:rsid w:val="00D661AA"/>
    <w:rsid w:val="00D66378"/>
    <w:rsid w:val="00D666A4"/>
    <w:rsid w:val="00D66F23"/>
    <w:rsid w:val="00D67CFD"/>
    <w:rsid w:val="00D67EDF"/>
    <w:rsid w:val="00D708AB"/>
    <w:rsid w:val="00D71368"/>
    <w:rsid w:val="00D71481"/>
    <w:rsid w:val="00D714C9"/>
    <w:rsid w:val="00D71994"/>
    <w:rsid w:val="00D71A0D"/>
    <w:rsid w:val="00D71C3B"/>
    <w:rsid w:val="00D71ED0"/>
    <w:rsid w:val="00D72061"/>
    <w:rsid w:val="00D744AA"/>
    <w:rsid w:val="00D7469E"/>
    <w:rsid w:val="00D74836"/>
    <w:rsid w:val="00D750AB"/>
    <w:rsid w:val="00D75F2B"/>
    <w:rsid w:val="00D77052"/>
    <w:rsid w:val="00D77560"/>
    <w:rsid w:val="00D77EA8"/>
    <w:rsid w:val="00D809D5"/>
    <w:rsid w:val="00D81892"/>
    <w:rsid w:val="00D81B06"/>
    <w:rsid w:val="00D81CFF"/>
    <w:rsid w:val="00D83629"/>
    <w:rsid w:val="00D837C4"/>
    <w:rsid w:val="00D84E84"/>
    <w:rsid w:val="00D8504C"/>
    <w:rsid w:val="00D86219"/>
    <w:rsid w:val="00D8629B"/>
    <w:rsid w:val="00D86817"/>
    <w:rsid w:val="00D873AA"/>
    <w:rsid w:val="00D87772"/>
    <w:rsid w:val="00D87FF9"/>
    <w:rsid w:val="00D90045"/>
    <w:rsid w:val="00D908E4"/>
    <w:rsid w:val="00D911B5"/>
    <w:rsid w:val="00D91593"/>
    <w:rsid w:val="00D91796"/>
    <w:rsid w:val="00D91F56"/>
    <w:rsid w:val="00D92043"/>
    <w:rsid w:val="00D927FE"/>
    <w:rsid w:val="00D94284"/>
    <w:rsid w:val="00D946FB"/>
    <w:rsid w:val="00D948E8"/>
    <w:rsid w:val="00D95758"/>
    <w:rsid w:val="00D967D5"/>
    <w:rsid w:val="00D96AB1"/>
    <w:rsid w:val="00D9770E"/>
    <w:rsid w:val="00D97F1E"/>
    <w:rsid w:val="00DA0807"/>
    <w:rsid w:val="00DA0E7A"/>
    <w:rsid w:val="00DA2214"/>
    <w:rsid w:val="00DA2AD3"/>
    <w:rsid w:val="00DA3BD1"/>
    <w:rsid w:val="00DA3CFC"/>
    <w:rsid w:val="00DA4207"/>
    <w:rsid w:val="00DA4D6A"/>
    <w:rsid w:val="00DA5060"/>
    <w:rsid w:val="00DA5116"/>
    <w:rsid w:val="00DA53D8"/>
    <w:rsid w:val="00DA56AD"/>
    <w:rsid w:val="00DA579D"/>
    <w:rsid w:val="00DA5829"/>
    <w:rsid w:val="00DA59C0"/>
    <w:rsid w:val="00DA5B53"/>
    <w:rsid w:val="00DA5F62"/>
    <w:rsid w:val="00DA61B3"/>
    <w:rsid w:val="00DA672B"/>
    <w:rsid w:val="00DA69DB"/>
    <w:rsid w:val="00DA6C47"/>
    <w:rsid w:val="00DA70EE"/>
    <w:rsid w:val="00DA77FC"/>
    <w:rsid w:val="00DB05C8"/>
    <w:rsid w:val="00DB09AE"/>
    <w:rsid w:val="00DB0BE4"/>
    <w:rsid w:val="00DB152F"/>
    <w:rsid w:val="00DB18D9"/>
    <w:rsid w:val="00DB18E0"/>
    <w:rsid w:val="00DB18E1"/>
    <w:rsid w:val="00DB27C4"/>
    <w:rsid w:val="00DB302E"/>
    <w:rsid w:val="00DB3EBD"/>
    <w:rsid w:val="00DB429C"/>
    <w:rsid w:val="00DB5596"/>
    <w:rsid w:val="00DB61B6"/>
    <w:rsid w:val="00DB6696"/>
    <w:rsid w:val="00DB70DC"/>
    <w:rsid w:val="00DC0FC1"/>
    <w:rsid w:val="00DC1778"/>
    <w:rsid w:val="00DC1D85"/>
    <w:rsid w:val="00DC24FE"/>
    <w:rsid w:val="00DC257C"/>
    <w:rsid w:val="00DC3A0F"/>
    <w:rsid w:val="00DC3AF9"/>
    <w:rsid w:val="00DC3D3B"/>
    <w:rsid w:val="00DC4C7A"/>
    <w:rsid w:val="00DC52F9"/>
    <w:rsid w:val="00DC61C0"/>
    <w:rsid w:val="00DC6A34"/>
    <w:rsid w:val="00DC72DB"/>
    <w:rsid w:val="00DD0283"/>
    <w:rsid w:val="00DD0F83"/>
    <w:rsid w:val="00DD1667"/>
    <w:rsid w:val="00DD177C"/>
    <w:rsid w:val="00DD2045"/>
    <w:rsid w:val="00DD2918"/>
    <w:rsid w:val="00DD3431"/>
    <w:rsid w:val="00DD3720"/>
    <w:rsid w:val="00DD3761"/>
    <w:rsid w:val="00DD3D34"/>
    <w:rsid w:val="00DD3EE7"/>
    <w:rsid w:val="00DD4858"/>
    <w:rsid w:val="00DD4BD8"/>
    <w:rsid w:val="00DD72A4"/>
    <w:rsid w:val="00DD7977"/>
    <w:rsid w:val="00DE01FF"/>
    <w:rsid w:val="00DE0240"/>
    <w:rsid w:val="00DE07F7"/>
    <w:rsid w:val="00DE0898"/>
    <w:rsid w:val="00DE10D9"/>
    <w:rsid w:val="00DE149D"/>
    <w:rsid w:val="00DE1BF1"/>
    <w:rsid w:val="00DE2762"/>
    <w:rsid w:val="00DE2E2E"/>
    <w:rsid w:val="00DE3C27"/>
    <w:rsid w:val="00DE4368"/>
    <w:rsid w:val="00DE4BAF"/>
    <w:rsid w:val="00DE4D25"/>
    <w:rsid w:val="00DE5237"/>
    <w:rsid w:val="00DE58D3"/>
    <w:rsid w:val="00DE5A98"/>
    <w:rsid w:val="00DE6886"/>
    <w:rsid w:val="00DF038E"/>
    <w:rsid w:val="00DF0392"/>
    <w:rsid w:val="00DF173F"/>
    <w:rsid w:val="00DF1A6E"/>
    <w:rsid w:val="00DF20A8"/>
    <w:rsid w:val="00DF366A"/>
    <w:rsid w:val="00DF4601"/>
    <w:rsid w:val="00DF4C7D"/>
    <w:rsid w:val="00DF4D08"/>
    <w:rsid w:val="00DF52B6"/>
    <w:rsid w:val="00DF60D7"/>
    <w:rsid w:val="00DF618D"/>
    <w:rsid w:val="00DF6D4B"/>
    <w:rsid w:val="00DF701E"/>
    <w:rsid w:val="00DF76DC"/>
    <w:rsid w:val="00E003C7"/>
    <w:rsid w:val="00E00800"/>
    <w:rsid w:val="00E00EBE"/>
    <w:rsid w:val="00E01610"/>
    <w:rsid w:val="00E01B14"/>
    <w:rsid w:val="00E02068"/>
    <w:rsid w:val="00E02266"/>
    <w:rsid w:val="00E025A9"/>
    <w:rsid w:val="00E02D4C"/>
    <w:rsid w:val="00E0375C"/>
    <w:rsid w:val="00E03A93"/>
    <w:rsid w:val="00E03FE6"/>
    <w:rsid w:val="00E04282"/>
    <w:rsid w:val="00E042EE"/>
    <w:rsid w:val="00E04B77"/>
    <w:rsid w:val="00E04BC5"/>
    <w:rsid w:val="00E04E86"/>
    <w:rsid w:val="00E05070"/>
    <w:rsid w:val="00E051DF"/>
    <w:rsid w:val="00E0563B"/>
    <w:rsid w:val="00E05788"/>
    <w:rsid w:val="00E07361"/>
    <w:rsid w:val="00E1017E"/>
    <w:rsid w:val="00E1087E"/>
    <w:rsid w:val="00E10B31"/>
    <w:rsid w:val="00E10CDF"/>
    <w:rsid w:val="00E119DD"/>
    <w:rsid w:val="00E11DA7"/>
    <w:rsid w:val="00E13533"/>
    <w:rsid w:val="00E13648"/>
    <w:rsid w:val="00E13A24"/>
    <w:rsid w:val="00E13ADB"/>
    <w:rsid w:val="00E150C8"/>
    <w:rsid w:val="00E15390"/>
    <w:rsid w:val="00E15BD8"/>
    <w:rsid w:val="00E16D7F"/>
    <w:rsid w:val="00E17808"/>
    <w:rsid w:val="00E17D6F"/>
    <w:rsid w:val="00E208CB"/>
    <w:rsid w:val="00E20AF0"/>
    <w:rsid w:val="00E20B0D"/>
    <w:rsid w:val="00E2199A"/>
    <w:rsid w:val="00E22491"/>
    <w:rsid w:val="00E2376C"/>
    <w:rsid w:val="00E2380B"/>
    <w:rsid w:val="00E2495A"/>
    <w:rsid w:val="00E24A55"/>
    <w:rsid w:val="00E24FF2"/>
    <w:rsid w:val="00E25370"/>
    <w:rsid w:val="00E2580D"/>
    <w:rsid w:val="00E25CEE"/>
    <w:rsid w:val="00E2686A"/>
    <w:rsid w:val="00E2704B"/>
    <w:rsid w:val="00E27164"/>
    <w:rsid w:val="00E2736F"/>
    <w:rsid w:val="00E27DAF"/>
    <w:rsid w:val="00E3190F"/>
    <w:rsid w:val="00E31B40"/>
    <w:rsid w:val="00E32312"/>
    <w:rsid w:val="00E3291E"/>
    <w:rsid w:val="00E33198"/>
    <w:rsid w:val="00E3335F"/>
    <w:rsid w:val="00E33466"/>
    <w:rsid w:val="00E3373E"/>
    <w:rsid w:val="00E33CC3"/>
    <w:rsid w:val="00E34B37"/>
    <w:rsid w:val="00E35F49"/>
    <w:rsid w:val="00E3614B"/>
    <w:rsid w:val="00E3646D"/>
    <w:rsid w:val="00E36565"/>
    <w:rsid w:val="00E367C9"/>
    <w:rsid w:val="00E3682D"/>
    <w:rsid w:val="00E37617"/>
    <w:rsid w:val="00E402E7"/>
    <w:rsid w:val="00E4152E"/>
    <w:rsid w:val="00E41571"/>
    <w:rsid w:val="00E43A15"/>
    <w:rsid w:val="00E43E64"/>
    <w:rsid w:val="00E44511"/>
    <w:rsid w:val="00E44F9E"/>
    <w:rsid w:val="00E45921"/>
    <w:rsid w:val="00E46188"/>
    <w:rsid w:val="00E46219"/>
    <w:rsid w:val="00E4634B"/>
    <w:rsid w:val="00E46419"/>
    <w:rsid w:val="00E465E7"/>
    <w:rsid w:val="00E467BF"/>
    <w:rsid w:val="00E46EC7"/>
    <w:rsid w:val="00E4722D"/>
    <w:rsid w:val="00E50BAF"/>
    <w:rsid w:val="00E50E61"/>
    <w:rsid w:val="00E52C45"/>
    <w:rsid w:val="00E52F94"/>
    <w:rsid w:val="00E538AE"/>
    <w:rsid w:val="00E53D22"/>
    <w:rsid w:val="00E5557C"/>
    <w:rsid w:val="00E55B61"/>
    <w:rsid w:val="00E562A5"/>
    <w:rsid w:val="00E5721B"/>
    <w:rsid w:val="00E576EC"/>
    <w:rsid w:val="00E61154"/>
    <w:rsid w:val="00E612A7"/>
    <w:rsid w:val="00E61F8C"/>
    <w:rsid w:val="00E62163"/>
    <w:rsid w:val="00E62FEF"/>
    <w:rsid w:val="00E6343A"/>
    <w:rsid w:val="00E63575"/>
    <w:rsid w:val="00E63A23"/>
    <w:rsid w:val="00E63CDD"/>
    <w:rsid w:val="00E65704"/>
    <w:rsid w:val="00E663A7"/>
    <w:rsid w:val="00E668D9"/>
    <w:rsid w:val="00E66FC7"/>
    <w:rsid w:val="00E67ACB"/>
    <w:rsid w:val="00E70E50"/>
    <w:rsid w:val="00E70F29"/>
    <w:rsid w:val="00E711AD"/>
    <w:rsid w:val="00E72D97"/>
    <w:rsid w:val="00E7307B"/>
    <w:rsid w:val="00E7379E"/>
    <w:rsid w:val="00E747DD"/>
    <w:rsid w:val="00E75CFB"/>
    <w:rsid w:val="00E77425"/>
    <w:rsid w:val="00E7752C"/>
    <w:rsid w:val="00E775E5"/>
    <w:rsid w:val="00E779AD"/>
    <w:rsid w:val="00E77E81"/>
    <w:rsid w:val="00E801E9"/>
    <w:rsid w:val="00E80D60"/>
    <w:rsid w:val="00E81587"/>
    <w:rsid w:val="00E81907"/>
    <w:rsid w:val="00E826CB"/>
    <w:rsid w:val="00E83051"/>
    <w:rsid w:val="00E83BF6"/>
    <w:rsid w:val="00E8443D"/>
    <w:rsid w:val="00E84B67"/>
    <w:rsid w:val="00E84C9B"/>
    <w:rsid w:val="00E84D10"/>
    <w:rsid w:val="00E85086"/>
    <w:rsid w:val="00E85CC4"/>
    <w:rsid w:val="00E861F0"/>
    <w:rsid w:val="00E86B5B"/>
    <w:rsid w:val="00E86E22"/>
    <w:rsid w:val="00E910D2"/>
    <w:rsid w:val="00E914B2"/>
    <w:rsid w:val="00E91D00"/>
    <w:rsid w:val="00E92441"/>
    <w:rsid w:val="00E93398"/>
    <w:rsid w:val="00E93605"/>
    <w:rsid w:val="00E93722"/>
    <w:rsid w:val="00E93AF7"/>
    <w:rsid w:val="00E93B03"/>
    <w:rsid w:val="00E9465D"/>
    <w:rsid w:val="00E94947"/>
    <w:rsid w:val="00E94A2F"/>
    <w:rsid w:val="00E9523F"/>
    <w:rsid w:val="00E95DD4"/>
    <w:rsid w:val="00E9662C"/>
    <w:rsid w:val="00E97831"/>
    <w:rsid w:val="00E97EDF"/>
    <w:rsid w:val="00EA03B0"/>
    <w:rsid w:val="00EA055F"/>
    <w:rsid w:val="00EA0657"/>
    <w:rsid w:val="00EA0804"/>
    <w:rsid w:val="00EA093A"/>
    <w:rsid w:val="00EA0BE8"/>
    <w:rsid w:val="00EA0D50"/>
    <w:rsid w:val="00EA1ED1"/>
    <w:rsid w:val="00EA2ED1"/>
    <w:rsid w:val="00EA2F33"/>
    <w:rsid w:val="00EA327A"/>
    <w:rsid w:val="00EA3F78"/>
    <w:rsid w:val="00EA4079"/>
    <w:rsid w:val="00EA40C3"/>
    <w:rsid w:val="00EA4283"/>
    <w:rsid w:val="00EA46B3"/>
    <w:rsid w:val="00EA4948"/>
    <w:rsid w:val="00EA4F38"/>
    <w:rsid w:val="00EA5655"/>
    <w:rsid w:val="00EA5955"/>
    <w:rsid w:val="00EA5EA2"/>
    <w:rsid w:val="00EA61E5"/>
    <w:rsid w:val="00EA7E85"/>
    <w:rsid w:val="00EB0BAB"/>
    <w:rsid w:val="00EB124E"/>
    <w:rsid w:val="00EB23DF"/>
    <w:rsid w:val="00EB2B18"/>
    <w:rsid w:val="00EB2D98"/>
    <w:rsid w:val="00EB2F5E"/>
    <w:rsid w:val="00EB338A"/>
    <w:rsid w:val="00EB378F"/>
    <w:rsid w:val="00EB3AEB"/>
    <w:rsid w:val="00EB43ED"/>
    <w:rsid w:val="00EB45A4"/>
    <w:rsid w:val="00EB5BCE"/>
    <w:rsid w:val="00EB5D92"/>
    <w:rsid w:val="00EB65F3"/>
    <w:rsid w:val="00EB71FE"/>
    <w:rsid w:val="00EB7C11"/>
    <w:rsid w:val="00EC0D75"/>
    <w:rsid w:val="00EC1045"/>
    <w:rsid w:val="00EC149B"/>
    <w:rsid w:val="00EC1AD5"/>
    <w:rsid w:val="00EC2DD5"/>
    <w:rsid w:val="00EC44EA"/>
    <w:rsid w:val="00EC4AD5"/>
    <w:rsid w:val="00EC538F"/>
    <w:rsid w:val="00EC607A"/>
    <w:rsid w:val="00EC6772"/>
    <w:rsid w:val="00EC6B95"/>
    <w:rsid w:val="00EC7CCE"/>
    <w:rsid w:val="00ED143F"/>
    <w:rsid w:val="00ED14FF"/>
    <w:rsid w:val="00ED2F69"/>
    <w:rsid w:val="00ED3238"/>
    <w:rsid w:val="00ED397A"/>
    <w:rsid w:val="00ED457F"/>
    <w:rsid w:val="00ED4A21"/>
    <w:rsid w:val="00ED552E"/>
    <w:rsid w:val="00ED75F0"/>
    <w:rsid w:val="00ED7D53"/>
    <w:rsid w:val="00EE051F"/>
    <w:rsid w:val="00EE0B85"/>
    <w:rsid w:val="00EE1009"/>
    <w:rsid w:val="00EE1233"/>
    <w:rsid w:val="00EE1369"/>
    <w:rsid w:val="00EE17BD"/>
    <w:rsid w:val="00EE1B85"/>
    <w:rsid w:val="00EE36D5"/>
    <w:rsid w:val="00EE39A5"/>
    <w:rsid w:val="00EE43A3"/>
    <w:rsid w:val="00EE44B5"/>
    <w:rsid w:val="00EE451A"/>
    <w:rsid w:val="00EE465B"/>
    <w:rsid w:val="00EE4BA3"/>
    <w:rsid w:val="00EE4DAE"/>
    <w:rsid w:val="00EE5304"/>
    <w:rsid w:val="00EE5652"/>
    <w:rsid w:val="00EE5C2D"/>
    <w:rsid w:val="00EE63CD"/>
    <w:rsid w:val="00EE64C6"/>
    <w:rsid w:val="00EE66B1"/>
    <w:rsid w:val="00EE74C7"/>
    <w:rsid w:val="00EE79B7"/>
    <w:rsid w:val="00EF0867"/>
    <w:rsid w:val="00EF132D"/>
    <w:rsid w:val="00EF251F"/>
    <w:rsid w:val="00EF2C8F"/>
    <w:rsid w:val="00EF30CA"/>
    <w:rsid w:val="00EF3134"/>
    <w:rsid w:val="00EF3177"/>
    <w:rsid w:val="00EF42FE"/>
    <w:rsid w:val="00EF4828"/>
    <w:rsid w:val="00EF49C1"/>
    <w:rsid w:val="00EF6D25"/>
    <w:rsid w:val="00EF6D80"/>
    <w:rsid w:val="00EF6EBA"/>
    <w:rsid w:val="00EF75B0"/>
    <w:rsid w:val="00EF7F4B"/>
    <w:rsid w:val="00F01038"/>
    <w:rsid w:val="00F01A64"/>
    <w:rsid w:val="00F01B06"/>
    <w:rsid w:val="00F02ED5"/>
    <w:rsid w:val="00F02FFC"/>
    <w:rsid w:val="00F03E88"/>
    <w:rsid w:val="00F04519"/>
    <w:rsid w:val="00F0564A"/>
    <w:rsid w:val="00F06D27"/>
    <w:rsid w:val="00F07818"/>
    <w:rsid w:val="00F07CDD"/>
    <w:rsid w:val="00F10486"/>
    <w:rsid w:val="00F10CEB"/>
    <w:rsid w:val="00F1192F"/>
    <w:rsid w:val="00F132A3"/>
    <w:rsid w:val="00F134E2"/>
    <w:rsid w:val="00F13790"/>
    <w:rsid w:val="00F1435D"/>
    <w:rsid w:val="00F15438"/>
    <w:rsid w:val="00F155AD"/>
    <w:rsid w:val="00F15854"/>
    <w:rsid w:val="00F16470"/>
    <w:rsid w:val="00F17685"/>
    <w:rsid w:val="00F21076"/>
    <w:rsid w:val="00F21928"/>
    <w:rsid w:val="00F21DFF"/>
    <w:rsid w:val="00F2241E"/>
    <w:rsid w:val="00F22A18"/>
    <w:rsid w:val="00F22FB0"/>
    <w:rsid w:val="00F246CE"/>
    <w:rsid w:val="00F247BD"/>
    <w:rsid w:val="00F248E6"/>
    <w:rsid w:val="00F24C40"/>
    <w:rsid w:val="00F24C64"/>
    <w:rsid w:val="00F26C9A"/>
    <w:rsid w:val="00F30389"/>
    <w:rsid w:val="00F305D3"/>
    <w:rsid w:val="00F31C9F"/>
    <w:rsid w:val="00F32083"/>
    <w:rsid w:val="00F32349"/>
    <w:rsid w:val="00F32FB2"/>
    <w:rsid w:val="00F33045"/>
    <w:rsid w:val="00F334B3"/>
    <w:rsid w:val="00F34592"/>
    <w:rsid w:val="00F359F4"/>
    <w:rsid w:val="00F35DC8"/>
    <w:rsid w:val="00F35E6B"/>
    <w:rsid w:val="00F369DC"/>
    <w:rsid w:val="00F37295"/>
    <w:rsid w:val="00F40026"/>
    <w:rsid w:val="00F40160"/>
    <w:rsid w:val="00F40207"/>
    <w:rsid w:val="00F40E2F"/>
    <w:rsid w:val="00F40E7E"/>
    <w:rsid w:val="00F40F3A"/>
    <w:rsid w:val="00F41255"/>
    <w:rsid w:val="00F4138F"/>
    <w:rsid w:val="00F41525"/>
    <w:rsid w:val="00F41650"/>
    <w:rsid w:val="00F425AF"/>
    <w:rsid w:val="00F42D43"/>
    <w:rsid w:val="00F42E8D"/>
    <w:rsid w:val="00F43671"/>
    <w:rsid w:val="00F43BE2"/>
    <w:rsid w:val="00F43FC8"/>
    <w:rsid w:val="00F43FFA"/>
    <w:rsid w:val="00F44822"/>
    <w:rsid w:val="00F4564C"/>
    <w:rsid w:val="00F45F83"/>
    <w:rsid w:val="00F46F3F"/>
    <w:rsid w:val="00F4783F"/>
    <w:rsid w:val="00F50CAE"/>
    <w:rsid w:val="00F51373"/>
    <w:rsid w:val="00F52E4C"/>
    <w:rsid w:val="00F531CC"/>
    <w:rsid w:val="00F539A0"/>
    <w:rsid w:val="00F54863"/>
    <w:rsid w:val="00F54EDF"/>
    <w:rsid w:val="00F551AF"/>
    <w:rsid w:val="00F55449"/>
    <w:rsid w:val="00F55924"/>
    <w:rsid w:val="00F55BAF"/>
    <w:rsid w:val="00F55FAC"/>
    <w:rsid w:val="00F5630B"/>
    <w:rsid w:val="00F56D63"/>
    <w:rsid w:val="00F606E3"/>
    <w:rsid w:val="00F61D28"/>
    <w:rsid w:val="00F61D66"/>
    <w:rsid w:val="00F61EA0"/>
    <w:rsid w:val="00F6244F"/>
    <w:rsid w:val="00F62F53"/>
    <w:rsid w:val="00F63B96"/>
    <w:rsid w:val="00F65110"/>
    <w:rsid w:val="00F655F8"/>
    <w:rsid w:val="00F6571B"/>
    <w:rsid w:val="00F65FB3"/>
    <w:rsid w:val="00F66380"/>
    <w:rsid w:val="00F665C2"/>
    <w:rsid w:val="00F66962"/>
    <w:rsid w:val="00F66BD7"/>
    <w:rsid w:val="00F67770"/>
    <w:rsid w:val="00F67EE3"/>
    <w:rsid w:val="00F70047"/>
    <w:rsid w:val="00F7038F"/>
    <w:rsid w:val="00F70620"/>
    <w:rsid w:val="00F70BD8"/>
    <w:rsid w:val="00F71323"/>
    <w:rsid w:val="00F72ED8"/>
    <w:rsid w:val="00F7427E"/>
    <w:rsid w:val="00F749CE"/>
    <w:rsid w:val="00F74AE8"/>
    <w:rsid w:val="00F74B86"/>
    <w:rsid w:val="00F75711"/>
    <w:rsid w:val="00F75BDF"/>
    <w:rsid w:val="00F75C16"/>
    <w:rsid w:val="00F76605"/>
    <w:rsid w:val="00F77B06"/>
    <w:rsid w:val="00F802A9"/>
    <w:rsid w:val="00F81140"/>
    <w:rsid w:val="00F81895"/>
    <w:rsid w:val="00F81CE2"/>
    <w:rsid w:val="00F8252E"/>
    <w:rsid w:val="00F82B49"/>
    <w:rsid w:val="00F82BA4"/>
    <w:rsid w:val="00F82CEA"/>
    <w:rsid w:val="00F82E70"/>
    <w:rsid w:val="00F83350"/>
    <w:rsid w:val="00F84D8D"/>
    <w:rsid w:val="00F867B1"/>
    <w:rsid w:val="00F867E6"/>
    <w:rsid w:val="00F87DA5"/>
    <w:rsid w:val="00F9021A"/>
    <w:rsid w:val="00F90275"/>
    <w:rsid w:val="00F9054F"/>
    <w:rsid w:val="00F907CF"/>
    <w:rsid w:val="00F91167"/>
    <w:rsid w:val="00F92BA9"/>
    <w:rsid w:val="00F92E49"/>
    <w:rsid w:val="00F93B88"/>
    <w:rsid w:val="00F93E03"/>
    <w:rsid w:val="00F94A36"/>
    <w:rsid w:val="00F94E4C"/>
    <w:rsid w:val="00F94E67"/>
    <w:rsid w:val="00F95340"/>
    <w:rsid w:val="00F95A0E"/>
    <w:rsid w:val="00F96034"/>
    <w:rsid w:val="00F96993"/>
    <w:rsid w:val="00FA0B34"/>
    <w:rsid w:val="00FA0B99"/>
    <w:rsid w:val="00FA0DFB"/>
    <w:rsid w:val="00FA16A2"/>
    <w:rsid w:val="00FA203E"/>
    <w:rsid w:val="00FA2246"/>
    <w:rsid w:val="00FA27D6"/>
    <w:rsid w:val="00FA2C37"/>
    <w:rsid w:val="00FA31E6"/>
    <w:rsid w:val="00FA37BB"/>
    <w:rsid w:val="00FA38CB"/>
    <w:rsid w:val="00FA4770"/>
    <w:rsid w:val="00FA47AE"/>
    <w:rsid w:val="00FA4D68"/>
    <w:rsid w:val="00FA5C3E"/>
    <w:rsid w:val="00FA708A"/>
    <w:rsid w:val="00FA71BC"/>
    <w:rsid w:val="00FB05DF"/>
    <w:rsid w:val="00FB31BD"/>
    <w:rsid w:val="00FB34E9"/>
    <w:rsid w:val="00FB37C2"/>
    <w:rsid w:val="00FB3973"/>
    <w:rsid w:val="00FB4A1F"/>
    <w:rsid w:val="00FB4B16"/>
    <w:rsid w:val="00FB62A8"/>
    <w:rsid w:val="00FB71A2"/>
    <w:rsid w:val="00FB794B"/>
    <w:rsid w:val="00FB7EA2"/>
    <w:rsid w:val="00FC0A18"/>
    <w:rsid w:val="00FC0FCA"/>
    <w:rsid w:val="00FC0FF2"/>
    <w:rsid w:val="00FC112C"/>
    <w:rsid w:val="00FC21AD"/>
    <w:rsid w:val="00FC2A6C"/>
    <w:rsid w:val="00FC3238"/>
    <w:rsid w:val="00FC3356"/>
    <w:rsid w:val="00FC4502"/>
    <w:rsid w:val="00FC50BB"/>
    <w:rsid w:val="00FC5250"/>
    <w:rsid w:val="00FC575C"/>
    <w:rsid w:val="00FC5FC6"/>
    <w:rsid w:val="00FC6AD5"/>
    <w:rsid w:val="00FC7C6D"/>
    <w:rsid w:val="00FC7F53"/>
    <w:rsid w:val="00FD0C01"/>
    <w:rsid w:val="00FD0D76"/>
    <w:rsid w:val="00FD16FF"/>
    <w:rsid w:val="00FD1E39"/>
    <w:rsid w:val="00FD3919"/>
    <w:rsid w:val="00FD3EC2"/>
    <w:rsid w:val="00FD4078"/>
    <w:rsid w:val="00FD40D3"/>
    <w:rsid w:val="00FD5AEC"/>
    <w:rsid w:val="00FD5BB2"/>
    <w:rsid w:val="00FD5EC6"/>
    <w:rsid w:val="00FD63D1"/>
    <w:rsid w:val="00FD71FB"/>
    <w:rsid w:val="00FE0A23"/>
    <w:rsid w:val="00FE1730"/>
    <w:rsid w:val="00FE2595"/>
    <w:rsid w:val="00FE3550"/>
    <w:rsid w:val="00FE3B98"/>
    <w:rsid w:val="00FE3E2C"/>
    <w:rsid w:val="00FE3F99"/>
    <w:rsid w:val="00FE405A"/>
    <w:rsid w:val="00FE4168"/>
    <w:rsid w:val="00FE4DFB"/>
    <w:rsid w:val="00FE4E38"/>
    <w:rsid w:val="00FE4EB3"/>
    <w:rsid w:val="00FE568B"/>
    <w:rsid w:val="00FE5890"/>
    <w:rsid w:val="00FE6070"/>
    <w:rsid w:val="00FE6E3E"/>
    <w:rsid w:val="00FE722D"/>
    <w:rsid w:val="00FF00D8"/>
    <w:rsid w:val="00FF0374"/>
    <w:rsid w:val="00FF22A7"/>
    <w:rsid w:val="00FF2778"/>
    <w:rsid w:val="00FF2BA6"/>
    <w:rsid w:val="00FF2E8D"/>
    <w:rsid w:val="00FF2ED2"/>
    <w:rsid w:val="00FF31D8"/>
    <w:rsid w:val="00FF3713"/>
    <w:rsid w:val="00FF3B2C"/>
    <w:rsid w:val="00FF3CD5"/>
    <w:rsid w:val="00FF4A55"/>
    <w:rsid w:val="00FF50FE"/>
    <w:rsid w:val="00FF5DA8"/>
    <w:rsid w:val="00FF600C"/>
    <w:rsid w:val="00FF6520"/>
    <w:rsid w:val="00FF7109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5E4F37E-179C-4628-8623-9E4BB4996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043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4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87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FB11F-D314-4184-AED2-44F86BCF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Links>
    <vt:vector size="54" baseType="variant">
      <vt:variant>
        <vt:i4>1310777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_Toc181900928</vt:lpwstr>
      </vt:variant>
      <vt:variant>
        <vt:i4>1310777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_Toc181900927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_Toc181900926</vt:lpwstr>
      </vt:variant>
      <vt:variant>
        <vt:i4>1310777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_Toc181900925</vt:lpwstr>
      </vt:variant>
      <vt:variant>
        <vt:i4>1310777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_Toc181900924</vt:lpwstr>
      </vt:variant>
      <vt:variant>
        <vt:i4>1310777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_Toc181900923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_Toc181900922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_Toc181900921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_Toc181900920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2024-11-08T06:49:00Z</dcterms:created>
  <dcterms:modified xsi:type="dcterms:W3CDTF">2024-11-08T06:49:00Z</dcterms:modified>
</cp:coreProperties>
</file>