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776136">
        <w:rPr>
          <w:rFonts w:hAnsi="標楷體"/>
        </w:rPr>
        <w:t>4</w:t>
      </w:r>
      <w:r w:rsidR="00C30C97" w:rsidRPr="00AB2594">
        <w:rPr>
          <w:rFonts w:hAnsi="標楷體" w:hint="eastAsia"/>
          <w:snapToGrid w:val="0"/>
        </w:rPr>
        <w:t>年度單位預算評估報告</w:t>
      </w:r>
    </w:p>
    <w:p w:rsidR="00DC105C" w:rsidRPr="00AB2594" w:rsidRDefault="00DC105C" w:rsidP="00DC105C">
      <w:pPr>
        <w:pStyle w:val="14"/>
        <w:ind w:left="567" w:hanging="567"/>
        <w:rPr>
          <w:rFonts w:hAnsi="標楷體"/>
        </w:rPr>
      </w:pPr>
      <w:bookmarkStart w:id="0" w:name="_Toc84821850"/>
      <w:bookmarkStart w:id="1" w:name="_Toc86725852"/>
      <w:bookmarkStart w:id="2" w:name="_Toc181890451"/>
      <w:bookmarkStart w:id="3" w:name="_Toc181955738"/>
      <w:r>
        <w:rPr>
          <w:rFonts w:hAnsi="標楷體" w:hint="eastAsia"/>
        </w:rPr>
        <w:t>四、</w:t>
      </w:r>
      <w:bookmarkEnd w:id="2"/>
      <w:r w:rsidRPr="008D0E4E">
        <w:rPr>
          <w:rFonts w:hAnsi="標楷體" w:hint="eastAsia"/>
        </w:rPr>
        <w:t>114年度總預算案之法定義務支出存有未能優先編足之情事，</w:t>
      </w:r>
      <w:r w:rsidR="00CB0BAA">
        <w:rPr>
          <w:rFonts w:hAnsi="標楷體" w:hint="eastAsia"/>
        </w:rPr>
        <w:t>以致衍生爭議，允宜研謀改進</w:t>
      </w:r>
      <w:bookmarkEnd w:id="3"/>
    </w:p>
    <w:p w:rsidR="00DC105C" w:rsidRPr="00AB2594" w:rsidRDefault="00DC105C" w:rsidP="00DC105C">
      <w:pPr>
        <w:ind w:left="566" w:firstLine="566"/>
        <w:rPr>
          <w:rFonts w:hAnsi="標楷體"/>
        </w:rPr>
      </w:pPr>
      <w:r w:rsidRPr="00AB2594">
        <w:rPr>
          <w:rFonts w:hAnsi="標楷體" w:hint="eastAsia"/>
        </w:rPr>
        <w:t>主計總處11</w:t>
      </w:r>
      <w:r>
        <w:rPr>
          <w:rFonts w:hAnsi="標楷體" w:hint="eastAsia"/>
        </w:rPr>
        <w:t>4</w:t>
      </w:r>
      <w:r w:rsidRPr="00AB2594">
        <w:rPr>
          <w:rFonts w:hAnsi="標楷體" w:hint="eastAsia"/>
        </w:rPr>
        <w:t>年度預算案「中央總預算核編及執行」業務計畫編列531萬4千元，</w:t>
      </w:r>
      <w:r>
        <w:rPr>
          <w:rFonts w:hAnsi="標楷體" w:hint="eastAsia"/>
        </w:rPr>
        <w:t>與113年度相同</w:t>
      </w:r>
      <w:r w:rsidRPr="00AB2594">
        <w:rPr>
          <w:rFonts w:hAnsi="標楷體" w:hint="eastAsia"/>
        </w:rPr>
        <w:t>，主要係辦理中央政府總預算之審議與編印、預算制度之研究改進、派員實地查核各公務機關預算執行、督導地方預算編製及執行業務暨預算資料蒐集與分析、辦理地方災害防救經費之協助相關業務、辦理地方公務預算編製作業人員專業研習等業務所需經費。</w:t>
      </w:r>
      <w:r w:rsidR="001E7D29">
        <w:rPr>
          <w:rFonts w:hAnsi="標楷體" w:hint="eastAsia"/>
        </w:rPr>
        <w:t>經查：</w:t>
      </w:r>
    </w:p>
    <w:p w:rsidR="00DC105C" w:rsidRPr="00441BD8" w:rsidRDefault="00DC105C" w:rsidP="00DC105C">
      <w:pPr>
        <w:ind w:left="566" w:firstLineChars="0" w:firstLine="0"/>
        <w:rPr>
          <w:b/>
        </w:rPr>
      </w:pPr>
      <w:r w:rsidRPr="00441BD8">
        <w:rPr>
          <w:rFonts w:hint="eastAsia"/>
          <w:b/>
        </w:rPr>
        <w:t>(一)法定義務支出應優先編列預算辦理，俾符依法行政原則</w:t>
      </w:r>
    </w:p>
    <w:p w:rsidR="00DC105C" w:rsidRDefault="00DC105C" w:rsidP="00DC105C">
      <w:pPr>
        <w:pStyle w:val="21"/>
        <w:ind w:left="850" w:firstLine="566"/>
      </w:pPr>
      <w:r>
        <w:rPr>
          <w:rFonts w:hint="eastAsia"/>
        </w:rPr>
        <w:t>依</w:t>
      </w:r>
      <w:r w:rsidRPr="00DC65DC">
        <w:rPr>
          <w:rFonts w:hint="eastAsia"/>
        </w:rPr>
        <w:t>「中央各主管機關編製114年概算應行注意辦理事項」第5點規定略以，各機關編列歲入歲出概算時，應依行政院所定中央及地方政府預算籌編原則審慎檢討辦理；又為促進資源有效運用及維持經常收支平衡，各機關並應切實在本年度歲出概算額度範圍內，通盤檢討辦理下列事項，其中各機關依法律義務所必須之重大支出，應予逐項檢討匡列，有未合時宜或未具效益之支出，應儘速研議修正相關法令，並完成修法程序；未有效控管主管法令之修訂，致再持續增加者，得由相對減列各機關基本運作需求或各項專案檢討計畫之額度予以挹注。</w:t>
      </w:r>
      <w:r w:rsidRPr="00441BD8">
        <w:rPr>
          <w:rFonts w:hint="eastAsia"/>
        </w:rPr>
        <w:t>爰法定義務支出應優先編列預算辦理，若認有未合時宜或未具效益之支出，亦應完成修法程序後，始能停止編列，俾符依法行政原則。</w:t>
      </w:r>
    </w:p>
    <w:p w:rsidR="00DC105C" w:rsidRPr="00441BD8" w:rsidRDefault="00DC105C" w:rsidP="00DC105C">
      <w:pPr>
        <w:pStyle w:val="a4"/>
        <w:ind w:left="849" w:hanging="283"/>
        <w:rPr>
          <w:rFonts w:hint="eastAsia"/>
          <w:b/>
        </w:rPr>
      </w:pPr>
      <w:r w:rsidRPr="00441BD8">
        <w:rPr>
          <w:rFonts w:hint="eastAsia"/>
          <w:b/>
        </w:rPr>
        <w:t>(二)1</w:t>
      </w:r>
      <w:r>
        <w:rPr>
          <w:rFonts w:hint="eastAsia"/>
          <w:b/>
        </w:rPr>
        <w:t>14年度總預算案之</w:t>
      </w:r>
      <w:r w:rsidRPr="00441BD8">
        <w:rPr>
          <w:rFonts w:hint="eastAsia"/>
          <w:b/>
        </w:rPr>
        <w:t>法定義務支出</w:t>
      </w:r>
      <w:r>
        <w:rPr>
          <w:rFonts w:hint="eastAsia"/>
          <w:b/>
        </w:rPr>
        <w:t>存</w:t>
      </w:r>
      <w:r w:rsidRPr="00441BD8">
        <w:rPr>
          <w:rFonts w:hint="eastAsia"/>
          <w:b/>
        </w:rPr>
        <w:t>有未能優先編足</w:t>
      </w:r>
      <w:r>
        <w:rPr>
          <w:rFonts w:hint="eastAsia"/>
          <w:b/>
        </w:rPr>
        <w:t>之情事</w:t>
      </w:r>
    </w:p>
    <w:p w:rsidR="00DC105C" w:rsidRDefault="001E7D29" w:rsidP="00DC105C">
      <w:pPr>
        <w:pStyle w:val="21"/>
        <w:ind w:left="850" w:firstLine="566"/>
      </w:pPr>
      <w:r w:rsidRPr="00DC65DC">
        <w:rPr>
          <w:rFonts w:hint="eastAsia"/>
        </w:rPr>
        <w:t>原</w:t>
      </w:r>
      <w:r>
        <w:rPr>
          <w:rFonts w:hint="eastAsia"/>
        </w:rPr>
        <w:t>住民保留地禁伐補償條例</w:t>
      </w:r>
      <w:r w:rsidR="00DC105C">
        <w:rPr>
          <w:rFonts w:hint="eastAsia"/>
        </w:rPr>
        <w:t>於</w:t>
      </w:r>
      <w:r w:rsidR="00DC105C" w:rsidRPr="00DC65DC">
        <w:rPr>
          <w:rFonts w:hint="eastAsia"/>
        </w:rPr>
        <w:t>113年6月24日修正公布，該條例第6條第1項規定略以，自114年起，禁伐補償金由每年每公頃3萬元提高至6萬元。</w:t>
      </w:r>
      <w:r w:rsidR="00DC105C">
        <w:rPr>
          <w:rFonts w:hint="eastAsia"/>
        </w:rPr>
        <w:t>惟查</w:t>
      </w:r>
      <w:r w:rsidR="00DC105C" w:rsidRPr="00DC65DC">
        <w:rPr>
          <w:rFonts w:hint="eastAsia"/>
        </w:rPr>
        <w:t>114年度原民會單位預算</w:t>
      </w:r>
      <w:r w:rsidR="00DC105C" w:rsidRPr="00DC65DC">
        <w:rPr>
          <w:rFonts w:hint="eastAsia"/>
        </w:rPr>
        <w:lastRenderedPageBreak/>
        <w:t>案編列27億8,700萬元補助原民基金辦理禁伐補償，較113年度編列補助原民基金辦理禁伐補償之21億元，僅增加6億8,700萬元，</w:t>
      </w:r>
      <w:r w:rsidR="00DC105C">
        <w:rPr>
          <w:rFonts w:hint="eastAsia"/>
        </w:rPr>
        <w:t>且依原民會說明以每年度7萬公頃估列禁伐補償經費推算，114年度約以每公頃4萬元編列預算，</w:t>
      </w:r>
      <w:r w:rsidR="00DC105C" w:rsidRPr="00DC65DC">
        <w:rPr>
          <w:rFonts w:hint="eastAsia"/>
        </w:rPr>
        <w:t>法定義務支出恐有未優先編足</w:t>
      </w:r>
      <w:r w:rsidR="00DC105C">
        <w:rPr>
          <w:rStyle w:val="af4"/>
        </w:rPr>
        <w:footnoteReference w:id="1"/>
      </w:r>
      <w:r w:rsidR="00DC105C" w:rsidRPr="00DC65DC">
        <w:rPr>
          <w:rFonts w:hint="eastAsia"/>
        </w:rPr>
        <w:t>之情事</w:t>
      </w:r>
      <w:r w:rsidR="00DC105C">
        <w:rPr>
          <w:rFonts w:hint="eastAsia"/>
        </w:rPr>
        <w:t>，爰114年度總預算案經</w:t>
      </w:r>
      <w:r>
        <w:rPr>
          <w:rFonts w:hint="eastAsia"/>
        </w:rPr>
        <w:t>本院</w:t>
      </w:r>
      <w:r w:rsidR="00DC105C">
        <w:rPr>
          <w:rFonts w:hint="eastAsia"/>
        </w:rPr>
        <w:t>朝野</w:t>
      </w:r>
      <w:r>
        <w:rPr>
          <w:rFonts w:hint="eastAsia"/>
        </w:rPr>
        <w:t>黨團</w:t>
      </w:r>
      <w:r w:rsidR="00DC105C">
        <w:rPr>
          <w:rFonts w:hint="eastAsia"/>
        </w:rPr>
        <w:t>多次協商方行付委</w:t>
      </w:r>
      <w:r>
        <w:rPr>
          <w:rFonts w:hint="eastAsia"/>
        </w:rPr>
        <w:t>審查</w:t>
      </w:r>
      <w:r w:rsidR="00DC105C">
        <w:rPr>
          <w:rFonts w:hint="eastAsia"/>
        </w:rPr>
        <w:t>，</w:t>
      </w:r>
      <w:r>
        <w:rPr>
          <w:rFonts w:hint="eastAsia"/>
        </w:rPr>
        <w:t>行政院</w:t>
      </w:r>
      <w:r w:rsidR="00DC105C">
        <w:rPr>
          <w:rFonts w:hint="eastAsia"/>
        </w:rPr>
        <w:t>除應</w:t>
      </w:r>
      <w:r w:rsidR="00DC105C" w:rsidRPr="00B93704">
        <w:rPr>
          <w:rFonts w:hint="eastAsia"/>
        </w:rPr>
        <w:t>依</w:t>
      </w:r>
      <w:r w:rsidR="00C7279B">
        <w:rPr>
          <w:rFonts w:hint="eastAsia"/>
        </w:rPr>
        <w:t>113年11月8日本院黨團</w:t>
      </w:r>
      <w:r w:rsidR="00DC105C" w:rsidRPr="00B93704">
        <w:rPr>
          <w:rFonts w:hint="eastAsia"/>
        </w:rPr>
        <w:t>協</w:t>
      </w:r>
      <w:r w:rsidR="00C7279B">
        <w:rPr>
          <w:rFonts w:hint="eastAsia"/>
        </w:rPr>
        <w:t>商結論</w:t>
      </w:r>
      <w:r w:rsidR="00DC105C" w:rsidRPr="00B93704">
        <w:rPr>
          <w:rFonts w:hint="eastAsia"/>
        </w:rPr>
        <w:t>協調可行財源以支應</w:t>
      </w:r>
      <w:r w:rsidR="00DC105C" w:rsidRPr="00DC65DC">
        <w:rPr>
          <w:rFonts w:hint="eastAsia"/>
        </w:rPr>
        <w:t>禁伐補償</w:t>
      </w:r>
      <w:r w:rsidR="00DC105C">
        <w:rPr>
          <w:rFonts w:hint="eastAsia"/>
        </w:rPr>
        <w:t>之支出</w:t>
      </w:r>
      <w:r>
        <w:rPr>
          <w:rFonts w:hint="eastAsia"/>
        </w:rPr>
        <w:t>外</w:t>
      </w:r>
      <w:r w:rsidR="00DC105C" w:rsidRPr="00B93704">
        <w:rPr>
          <w:rFonts w:hint="eastAsia"/>
        </w:rPr>
        <w:t>，嗣後</w:t>
      </w:r>
      <w:r w:rsidR="00DC105C">
        <w:rPr>
          <w:rFonts w:hint="eastAsia"/>
        </w:rPr>
        <w:t>年度</w:t>
      </w:r>
      <w:r w:rsidR="00DC105C" w:rsidRPr="00B93704">
        <w:rPr>
          <w:rFonts w:hint="eastAsia"/>
        </w:rPr>
        <w:t>預算</w:t>
      </w:r>
      <w:r w:rsidR="00DC105C">
        <w:rPr>
          <w:rFonts w:hint="eastAsia"/>
        </w:rPr>
        <w:t>之</w:t>
      </w:r>
      <w:r w:rsidR="00DC105C" w:rsidRPr="00B93704">
        <w:rPr>
          <w:rFonts w:hint="eastAsia"/>
        </w:rPr>
        <w:t>編列</w:t>
      </w:r>
      <w:r w:rsidR="00DC105C">
        <w:rPr>
          <w:rFonts w:hint="eastAsia"/>
        </w:rPr>
        <w:t>，</w:t>
      </w:r>
      <w:r>
        <w:rPr>
          <w:rFonts w:hint="eastAsia"/>
        </w:rPr>
        <w:t>允宜優先編足</w:t>
      </w:r>
      <w:r w:rsidR="00DC105C" w:rsidRPr="00C16684">
        <w:rPr>
          <w:rFonts w:hint="eastAsia"/>
        </w:rPr>
        <w:t>法定義務支出，以符依法行政原則</w:t>
      </w:r>
      <w:r w:rsidR="00DC105C">
        <w:rPr>
          <w:rFonts w:hint="eastAsia"/>
        </w:rPr>
        <w:t>。</w:t>
      </w:r>
    </w:p>
    <w:p w:rsidR="00CB0BAA" w:rsidRDefault="00CB0BAA" w:rsidP="00CB0BAA">
      <w:pPr>
        <w:pStyle w:val="a4"/>
        <w:ind w:left="849" w:hanging="283"/>
        <w:rPr>
          <w:b/>
        </w:rPr>
      </w:pPr>
      <w:r w:rsidRPr="00CB0BAA">
        <w:rPr>
          <w:rFonts w:hint="eastAsia"/>
          <w:b/>
        </w:rPr>
        <w:t>(三)</w:t>
      </w:r>
      <w:r w:rsidR="001C192B">
        <w:rPr>
          <w:rFonts w:hint="eastAsia"/>
          <w:b/>
        </w:rPr>
        <w:t>預算之籌編及提案雖屬行政院，惟預算係立法權與行政權共同參與形成</w:t>
      </w:r>
    </w:p>
    <w:p w:rsidR="00C97487" w:rsidRDefault="0012738A" w:rsidP="0012738A">
      <w:pPr>
        <w:pStyle w:val="21"/>
        <w:ind w:left="850" w:firstLine="566"/>
        <w:rPr>
          <w:rFonts w:hint="eastAsia"/>
        </w:rPr>
      </w:pPr>
      <w:r>
        <w:rPr>
          <w:rFonts w:hint="eastAsia"/>
        </w:rPr>
        <w:t>依憲法第59條規定：「</w:t>
      </w:r>
      <w:r w:rsidRPr="0012738A">
        <w:rPr>
          <w:rFonts w:hint="eastAsia"/>
        </w:rPr>
        <w:t>行政院於會計年度開始三個月前，應將下年度預算案提出於立法院。</w:t>
      </w:r>
      <w:r>
        <w:rPr>
          <w:rFonts w:hint="eastAsia"/>
        </w:rPr>
        <w:t>」</w:t>
      </w:r>
      <w:r w:rsidR="00C97487">
        <w:rPr>
          <w:rFonts w:hint="eastAsia"/>
        </w:rPr>
        <w:t>及第63條規定：「</w:t>
      </w:r>
      <w:r w:rsidR="00C97487" w:rsidRPr="00C97487">
        <w:rPr>
          <w:rFonts w:hint="eastAsia"/>
        </w:rPr>
        <w:t>立法院有議決法律案、預算案</w:t>
      </w:r>
      <w:r w:rsidR="00C97487">
        <w:t>……</w:t>
      </w:r>
      <w:r w:rsidR="00C97487" w:rsidRPr="00C97487">
        <w:rPr>
          <w:rFonts w:hint="eastAsia"/>
        </w:rPr>
        <w:t>及國家其他重要事項之權。</w:t>
      </w:r>
      <w:r w:rsidR="00C97487">
        <w:rPr>
          <w:rFonts w:hint="eastAsia"/>
        </w:rPr>
        <w:t>」</w:t>
      </w:r>
      <w:r w:rsidR="006B7FF3">
        <w:rPr>
          <w:rFonts w:hint="eastAsia"/>
        </w:rPr>
        <w:t>明確劃分</w:t>
      </w:r>
      <w:r w:rsidR="00C97487">
        <w:rPr>
          <w:rFonts w:hint="eastAsia"/>
        </w:rPr>
        <w:t>行政院有提出預算案之權，預算之籌劃、編造當由行政院主導，而預算案之審議，則係屬立法院職權，</w:t>
      </w:r>
      <w:r w:rsidR="00707833">
        <w:rPr>
          <w:rFonts w:hint="eastAsia"/>
        </w:rPr>
        <w:t>爰預算應視為立法權與行政權共同參與形成之特殊法規範，預算之形成在立法權與行政權之間，各有合理參與之空間，有賴行政部門與立法院相互合作、尊重</w:t>
      </w:r>
      <w:r w:rsidR="00C7279B">
        <w:rPr>
          <w:rFonts w:hint="eastAsia"/>
        </w:rPr>
        <w:t>，</w:t>
      </w:r>
      <w:r w:rsidR="00707833">
        <w:rPr>
          <w:rFonts w:hint="eastAsia"/>
        </w:rPr>
        <w:t>方</w:t>
      </w:r>
      <w:r w:rsidR="002376CF">
        <w:rPr>
          <w:rFonts w:hint="eastAsia"/>
        </w:rPr>
        <w:t>能完成年度法定預算，</w:t>
      </w:r>
      <w:r w:rsidR="00D11FC5">
        <w:rPr>
          <w:rFonts w:hint="eastAsia"/>
        </w:rPr>
        <w:t>俾</w:t>
      </w:r>
      <w:r w:rsidR="002376CF">
        <w:rPr>
          <w:rFonts w:hint="eastAsia"/>
        </w:rPr>
        <w:t>將政府有限資源合理分配，並確切落實各項施政政策與計畫。</w:t>
      </w:r>
    </w:p>
    <w:p w:rsidR="00DC105C" w:rsidRDefault="00DC105C" w:rsidP="00DC105C">
      <w:pPr>
        <w:ind w:left="566" w:firstLine="566"/>
      </w:pPr>
      <w:r>
        <w:rPr>
          <w:rFonts w:hint="eastAsia"/>
        </w:rPr>
        <w:lastRenderedPageBreak/>
        <w:t>綜上，依</w:t>
      </w:r>
      <w:r w:rsidRPr="00DC65DC">
        <w:rPr>
          <w:rFonts w:hint="eastAsia"/>
        </w:rPr>
        <w:t>中央各主管機關編製114年概算應行注意辦理事項</w:t>
      </w:r>
      <w:r>
        <w:rPr>
          <w:rFonts w:hint="eastAsia"/>
        </w:rPr>
        <w:t>規定，</w:t>
      </w:r>
      <w:r w:rsidRPr="00441BD8">
        <w:rPr>
          <w:rFonts w:hint="eastAsia"/>
        </w:rPr>
        <w:t>法定義務支出應優先編列預算辦理，若認有未合時宜或未具效益之支出，亦應完成修法程序後，始能停止編列，俾符依法行政原則</w:t>
      </w:r>
      <w:r>
        <w:rPr>
          <w:rFonts w:hint="eastAsia"/>
        </w:rPr>
        <w:t>，惟114年度總預算案</w:t>
      </w:r>
      <w:r w:rsidRPr="00CF29BC">
        <w:rPr>
          <w:rFonts w:hint="eastAsia"/>
        </w:rPr>
        <w:t>之法定義務支出存有未能優先編足之情事，</w:t>
      </w:r>
      <w:r w:rsidR="002376CF">
        <w:rPr>
          <w:rFonts w:hint="eastAsia"/>
        </w:rPr>
        <w:t>允宜研謀改進</w:t>
      </w:r>
      <w:r>
        <w:rPr>
          <w:rFonts w:hint="eastAsia"/>
        </w:rPr>
        <w:t>。</w:t>
      </w:r>
      <w:bookmarkStart w:id="4" w:name="_GoBack"/>
      <w:bookmarkEnd w:id="4"/>
    </w:p>
    <w:bookmarkEnd w:id="0"/>
    <w:bookmarkEnd w:id="1"/>
    <w:sectPr w:rsidR="00DC105C"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224" w:rsidRDefault="00F06224" w:rsidP="00241D59">
      <w:pPr>
        <w:spacing w:line="240" w:lineRule="auto"/>
        <w:ind w:left="560" w:firstLine="560"/>
      </w:pPr>
      <w:r>
        <w:separator/>
      </w:r>
    </w:p>
  </w:endnote>
  <w:endnote w:type="continuationSeparator" w:id="0">
    <w:p w:rsidR="00F06224" w:rsidRDefault="00F0622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2D0AF9">
      <w:rPr>
        <w:rStyle w:val="af"/>
        <w:noProof/>
      </w:rPr>
      <w:t>3</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224" w:rsidRDefault="00F06224" w:rsidP="00241D59">
      <w:pPr>
        <w:spacing w:line="240" w:lineRule="auto"/>
        <w:ind w:left="560" w:firstLine="560"/>
      </w:pPr>
      <w:r>
        <w:separator/>
      </w:r>
    </w:p>
  </w:footnote>
  <w:footnote w:type="continuationSeparator" w:id="0">
    <w:p w:rsidR="00F06224" w:rsidRDefault="00F06224" w:rsidP="00241D59">
      <w:pPr>
        <w:spacing w:line="240" w:lineRule="auto"/>
        <w:ind w:left="560" w:firstLine="560"/>
      </w:pPr>
      <w:r>
        <w:continuationSeparator/>
      </w:r>
    </w:p>
  </w:footnote>
  <w:footnote w:id="1">
    <w:p w:rsidR="00DC105C" w:rsidRPr="00F87CE2" w:rsidRDefault="00DC105C" w:rsidP="00DC105C">
      <w:pPr>
        <w:pStyle w:val="af5"/>
        <w:spacing w:line="280" w:lineRule="exact"/>
        <w:ind w:left="195" w:hangingChars="80" w:hanging="195"/>
        <w:rPr>
          <w:sz w:val="24"/>
          <w:szCs w:val="24"/>
        </w:rPr>
      </w:pPr>
      <w:r w:rsidRPr="007B4660">
        <w:rPr>
          <w:rStyle w:val="af4"/>
          <w:rFonts w:ascii="標楷體" w:hAnsi="標楷體"/>
          <w:sz w:val="24"/>
          <w:szCs w:val="24"/>
        </w:rPr>
        <w:footnoteRef/>
      </w:r>
      <w:r>
        <w:rPr>
          <w:rFonts w:hint="eastAsia"/>
          <w:sz w:val="24"/>
          <w:szCs w:val="24"/>
        </w:rPr>
        <w:t xml:space="preserve"> </w:t>
      </w:r>
      <w:r>
        <w:rPr>
          <w:rFonts w:hint="eastAsia"/>
          <w:sz w:val="24"/>
          <w:szCs w:val="24"/>
        </w:rPr>
        <w:t>當預算與法律規定不相一致時，兩者間之效力位階應如何決定之問題</w:t>
      </w:r>
      <w:r>
        <w:rPr>
          <w:rFonts w:hint="eastAsia"/>
          <w:sz w:val="24"/>
          <w:szCs w:val="24"/>
        </w:rPr>
        <w:t>?</w:t>
      </w:r>
      <w:r>
        <w:rPr>
          <w:rFonts w:hint="eastAsia"/>
          <w:sz w:val="24"/>
          <w:szCs w:val="24"/>
        </w:rPr>
        <w:t>通說採消極同位原則，預算雖與法律同位，但尚不得據此改廢法律。就有法律而無預算之情形而言，法律雖已規定收入或支出之依據，但一開始如未編列預算，此時由於憲法第</w:t>
      </w:r>
      <w:r>
        <w:rPr>
          <w:rFonts w:hint="eastAsia"/>
          <w:sz w:val="24"/>
          <w:szCs w:val="24"/>
        </w:rPr>
        <w:t>70</w:t>
      </w:r>
      <w:r>
        <w:rPr>
          <w:rFonts w:hint="eastAsia"/>
          <w:sz w:val="24"/>
          <w:szCs w:val="24"/>
        </w:rPr>
        <w:t>條以及大法官議決釋字第</w:t>
      </w:r>
      <w:r>
        <w:rPr>
          <w:rFonts w:hint="eastAsia"/>
          <w:sz w:val="24"/>
          <w:szCs w:val="24"/>
        </w:rPr>
        <w:t>391</w:t>
      </w:r>
      <w:r>
        <w:rPr>
          <w:rFonts w:hint="eastAsia"/>
          <w:sz w:val="24"/>
          <w:szCs w:val="24"/>
        </w:rPr>
        <w:t>號解釋之限制，立法院無由將該筆預算補行列入，僅能以預算案違法</w:t>
      </w:r>
      <w:r>
        <w:rPr>
          <w:rFonts w:hint="eastAsia"/>
          <w:sz w:val="24"/>
          <w:szCs w:val="24"/>
        </w:rPr>
        <w:t>(</w:t>
      </w:r>
      <w:r>
        <w:rPr>
          <w:rFonts w:hint="eastAsia"/>
          <w:sz w:val="24"/>
          <w:szCs w:val="24"/>
        </w:rPr>
        <w:t>或違憲</w:t>
      </w:r>
      <w:r>
        <w:rPr>
          <w:rFonts w:hint="eastAsia"/>
          <w:sz w:val="24"/>
          <w:szCs w:val="24"/>
        </w:rPr>
        <w:t>)</w:t>
      </w:r>
      <w:r>
        <w:rPr>
          <w:rFonts w:hint="eastAsia"/>
          <w:sz w:val="24"/>
          <w:szCs w:val="24"/>
        </w:rPr>
        <w:t>為由，退回行政院，要求重編；如未重行編入該筆預算，則此時預算與法律將產生不一致。此時預算與法律之不一致，雖可歸責於行政院，但行政院仍可透過追加預算</w:t>
      </w:r>
      <w:r>
        <w:rPr>
          <w:rFonts w:hint="eastAsia"/>
          <w:sz w:val="24"/>
          <w:szCs w:val="24"/>
        </w:rPr>
        <w:t>(</w:t>
      </w:r>
      <w:r>
        <w:rPr>
          <w:rFonts w:hint="eastAsia"/>
          <w:sz w:val="24"/>
          <w:szCs w:val="24"/>
        </w:rPr>
        <w:t>或基金超支併決算等</w:t>
      </w:r>
      <w:r>
        <w:rPr>
          <w:rFonts w:hint="eastAsia"/>
          <w:sz w:val="24"/>
          <w:szCs w:val="24"/>
        </w:rPr>
        <w:t>)</w:t>
      </w:r>
      <w:r>
        <w:rPr>
          <w:rFonts w:hint="eastAsia"/>
          <w:sz w:val="24"/>
          <w:szCs w:val="24"/>
        </w:rPr>
        <w:t>之方式補救，惟尚難據此一律解為行政院有辦理追加預算之法律上義務，蓋此時之義務仍較偏向政治責任之性質。參蔡茂</w:t>
      </w:r>
      <w:r w:rsidRPr="00F87CE2">
        <w:rPr>
          <w:rFonts w:hint="eastAsia"/>
          <w:sz w:val="24"/>
          <w:szCs w:val="24"/>
        </w:rPr>
        <w:t>寅</w:t>
      </w:r>
      <w:r>
        <w:rPr>
          <w:rFonts w:hint="eastAsia"/>
          <w:sz w:val="24"/>
          <w:szCs w:val="24"/>
        </w:rPr>
        <w:t>-</w:t>
      </w:r>
      <w:r>
        <w:rPr>
          <w:rFonts w:hint="eastAsia"/>
          <w:sz w:val="24"/>
          <w:szCs w:val="24"/>
        </w:rPr>
        <w:t>台灣大學法律學系教授，財政法</w:t>
      </w:r>
      <w:r>
        <w:rPr>
          <w:rFonts w:hAnsi="標楷體" w:hint="eastAsia"/>
          <w:sz w:val="24"/>
          <w:szCs w:val="24"/>
        </w:rPr>
        <w:t>:</w:t>
      </w:r>
      <w:r>
        <w:rPr>
          <w:rFonts w:hint="eastAsia"/>
          <w:sz w:val="24"/>
          <w:szCs w:val="24"/>
        </w:rPr>
        <w:t>第三講</w:t>
      </w:r>
      <w:r>
        <w:rPr>
          <w:rFonts w:hint="eastAsia"/>
          <w:sz w:val="24"/>
          <w:szCs w:val="24"/>
        </w:rPr>
        <w:t xml:space="preserve"> </w:t>
      </w:r>
      <w:r>
        <w:rPr>
          <w:rFonts w:hint="eastAsia"/>
          <w:sz w:val="24"/>
          <w:szCs w:val="24"/>
        </w:rPr>
        <w:t>預算之效力</w:t>
      </w:r>
      <w:r>
        <w:rPr>
          <w:rFonts w:hAnsi="標楷體" w:hint="eastAsia"/>
          <w:sz w:val="24"/>
          <w:szCs w:val="24"/>
        </w:rPr>
        <w:t>—兼</w:t>
      </w:r>
      <w:r>
        <w:rPr>
          <w:rFonts w:hint="eastAsia"/>
          <w:sz w:val="24"/>
          <w:szCs w:val="24"/>
        </w:rPr>
        <w:t>論大法官釋字第</w:t>
      </w:r>
      <w:r>
        <w:rPr>
          <w:rFonts w:hint="eastAsia"/>
          <w:sz w:val="24"/>
          <w:szCs w:val="24"/>
        </w:rPr>
        <w:t>520</w:t>
      </w:r>
      <w:r>
        <w:rPr>
          <w:rFonts w:hint="eastAsia"/>
          <w:sz w:val="24"/>
          <w:szCs w:val="24"/>
        </w:rPr>
        <w:t>號解釋，月旦法學教室第</w:t>
      </w:r>
      <w:r>
        <w:rPr>
          <w:rFonts w:hint="eastAsia"/>
          <w:sz w:val="24"/>
          <w:szCs w:val="24"/>
        </w:rPr>
        <w:t>14</w:t>
      </w:r>
      <w:r>
        <w:rPr>
          <w:rFonts w:hint="eastAsia"/>
          <w:sz w:val="24"/>
          <w:szCs w:val="24"/>
        </w:rPr>
        <w:t>期，頁</w:t>
      </w:r>
      <w:r>
        <w:rPr>
          <w:rFonts w:hint="eastAsia"/>
          <w:sz w:val="24"/>
          <w:szCs w:val="24"/>
        </w:rPr>
        <w:t>83</w:t>
      </w:r>
      <w:r>
        <w:rPr>
          <w:rFonts w:hint="eastAsia"/>
          <w:sz w:val="24"/>
          <w:szCs w:val="24"/>
        </w:rPr>
        <w:t>至</w:t>
      </w:r>
      <w:r>
        <w:rPr>
          <w:rFonts w:hint="eastAsia"/>
          <w:sz w:val="24"/>
          <w:szCs w:val="24"/>
        </w:rPr>
        <w:t>98</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C7B"/>
    <w:rsid w:val="00000D05"/>
    <w:rsid w:val="00001036"/>
    <w:rsid w:val="00001210"/>
    <w:rsid w:val="00001242"/>
    <w:rsid w:val="000016A5"/>
    <w:rsid w:val="000017B5"/>
    <w:rsid w:val="00001935"/>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858"/>
    <w:rsid w:val="00006AAA"/>
    <w:rsid w:val="00006CFA"/>
    <w:rsid w:val="00006D7E"/>
    <w:rsid w:val="00006F27"/>
    <w:rsid w:val="00007202"/>
    <w:rsid w:val="00007277"/>
    <w:rsid w:val="000072EA"/>
    <w:rsid w:val="000073F3"/>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E70"/>
    <w:rsid w:val="00015C9E"/>
    <w:rsid w:val="00015E4D"/>
    <w:rsid w:val="000167BE"/>
    <w:rsid w:val="00017211"/>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11A8"/>
    <w:rsid w:val="00051C17"/>
    <w:rsid w:val="000520EB"/>
    <w:rsid w:val="00052173"/>
    <w:rsid w:val="00052A9F"/>
    <w:rsid w:val="00052B9D"/>
    <w:rsid w:val="00052BB9"/>
    <w:rsid w:val="0005306B"/>
    <w:rsid w:val="000534D8"/>
    <w:rsid w:val="0005390F"/>
    <w:rsid w:val="00053F04"/>
    <w:rsid w:val="000542EC"/>
    <w:rsid w:val="0005466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533"/>
    <w:rsid w:val="0006657B"/>
    <w:rsid w:val="000666AD"/>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F44"/>
    <w:rsid w:val="000B0BCE"/>
    <w:rsid w:val="000B0F4A"/>
    <w:rsid w:val="000B111D"/>
    <w:rsid w:val="000B23EF"/>
    <w:rsid w:val="000B28A2"/>
    <w:rsid w:val="000B2AC3"/>
    <w:rsid w:val="000B2BA9"/>
    <w:rsid w:val="000B2BE3"/>
    <w:rsid w:val="000B3029"/>
    <w:rsid w:val="000B30C1"/>
    <w:rsid w:val="000B3B1B"/>
    <w:rsid w:val="000B3D7E"/>
    <w:rsid w:val="000B3F05"/>
    <w:rsid w:val="000B4BC2"/>
    <w:rsid w:val="000B53EE"/>
    <w:rsid w:val="000B5ADB"/>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96B"/>
    <w:rsid w:val="000C5F5C"/>
    <w:rsid w:val="000C6344"/>
    <w:rsid w:val="000C64AF"/>
    <w:rsid w:val="000C6507"/>
    <w:rsid w:val="000C6B59"/>
    <w:rsid w:val="000C72CD"/>
    <w:rsid w:val="000C740C"/>
    <w:rsid w:val="000C744B"/>
    <w:rsid w:val="000D01BB"/>
    <w:rsid w:val="000D05AA"/>
    <w:rsid w:val="000D0651"/>
    <w:rsid w:val="000D0866"/>
    <w:rsid w:val="000D156E"/>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2340"/>
    <w:rsid w:val="000E258C"/>
    <w:rsid w:val="000E26ED"/>
    <w:rsid w:val="000E27FC"/>
    <w:rsid w:val="000E2877"/>
    <w:rsid w:val="000E3084"/>
    <w:rsid w:val="000E33CC"/>
    <w:rsid w:val="000E35A8"/>
    <w:rsid w:val="000E35D6"/>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916"/>
    <w:rsid w:val="0011107B"/>
    <w:rsid w:val="001111E7"/>
    <w:rsid w:val="001112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44B"/>
    <w:rsid w:val="00125C39"/>
    <w:rsid w:val="00126021"/>
    <w:rsid w:val="001265A7"/>
    <w:rsid w:val="0012669A"/>
    <w:rsid w:val="001267F0"/>
    <w:rsid w:val="00126A6B"/>
    <w:rsid w:val="00126D21"/>
    <w:rsid w:val="00127130"/>
    <w:rsid w:val="0012732A"/>
    <w:rsid w:val="0012738A"/>
    <w:rsid w:val="001273A1"/>
    <w:rsid w:val="001279D4"/>
    <w:rsid w:val="00127F4B"/>
    <w:rsid w:val="001304E4"/>
    <w:rsid w:val="00130683"/>
    <w:rsid w:val="00130770"/>
    <w:rsid w:val="00130CF5"/>
    <w:rsid w:val="0013101F"/>
    <w:rsid w:val="0013153F"/>
    <w:rsid w:val="00131B7B"/>
    <w:rsid w:val="001327C7"/>
    <w:rsid w:val="00132C36"/>
    <w:rsid w:val="00132C88"/>
    <w:rsid w:val="00132CBE"/>
    <w:rsid w:val="00132EB5"/>
    <w:rsid w:val="0013315E"/>
    <w:rsid w:val="001332B8"/>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B01"/>
    <w:rsid w:val="00184D43"/>
    <w:rsid w:val="00184E04"/>
    <w:rsid w:val="00184EF1"/>
    <w:rsid w:val="0018541E"/>
    <w:rsid w:val="001857D8"/>
    <w:rsid w:val="0018613D"/>
    <w:rsid w:val="00186624"/>
    <w:rsid w:val="00187274"/>
    <w:rsid w:val="00187583"/>
    <w:rsid w:val="00187BE2"/>
    <w:rsid w:val="00187BF6"/>
    <w:rsid w:val="00187F4A"/>
    <w:rsid w:val="001900F1"/>
    <w:rsid w:val="001919EA"/>
    <w:rsid w:val="00191BAE"/>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C26"/>
    <w:rsid w:val="001B2DD2"/>
    <w:rsid w:val="001B3566"/>
    <w:rsid w:val="001B39AC"/>
    <w:rsid w:val="001B4113"/>
    <w:rsid w:val="001B44F0"/>
    <w:rsid w:val="001B45D5"/>
    <w:rsid w:val="001B4C4A"/>
    <w:rsid w:val="001B4F61"/>
    <w:rsid w:val="001B4FD5"/>
    <w:rsid w:val="001B517E"/>
    <w:rsid w:val="001B5C9E"/>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1E3"/>
    <w:rsid w:val="001D0200"/>
    <w:rsid w:val="001D033B"/>
    <w:rsid w:val="001D06D8"/>
    <w:rsid w:val="001D093A"/>
    <w:rsid w:val="001D095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D63"/>
    <w:rsid w:val="00215335"/>
    <w:rsid w:val="00215695"/>
    <w:rsid w:val="00215A9D"/>
    <w:rsid w:val="00215E2A"/>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5097"/>
    <w:rsid w:val="002558B1"/>
    <w:rsid w:val="00255958"/>
    <w:rsid w:val="00255D2D"/>
    <w:rsid w:val="00255E74"/>
    <w:rsid w:val="002565E9"/>
    <w:rsid w:val="0025720E"/>
    <w:rsid w:val="002572C4"/>
    <w:rsid w:val="0025732E"/>
    <w:rsid w:val="0025773B"/>
    <w:rsid w:val="0025778C"/>
    <w:rsid w:val="00257A0C"/>
    <w:rsid w:val="00257A58"/>
    <w:rsid w:val="00257AA9"/>
    <w:rsid w:val="00260C99"/>
    <w:rsid w:val="00261527"/>
    <w:rsid w:val="002616A8"/>
    <w:rsid w:val="002616AC"/>
    <w:rsid w:val="002618F6"/>
    <w:rsid w:val="0026255A"/>
    <w:rsid w:val="0026283D"/>
    <w:rsid w:val="00263315"/>
    <w:rsid w:val="002636B5"/>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41FF"/>
    <w:rsid w:val="00274347"/>
    <w:rsid w:val="002743E3"/>
    <w:rsid w:val="002745D4"/>
    <w:rsid w:val="00274626"/>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9F0"/>
    <w:rsid w:val="00283AEA"/>
    <w:rsid w:val="002845A6"/>
    <w:rsid w:val="00284B16"/>
    <w:rsid w:val="00284D2D"/>
    <w:rsid w:val="0028598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60A5"/>
    <w:rsid w:val="002C63EE"/>
    <w:rsid w:val="002C6729"/>
    <w:rsid w:val="002C6A5F"/>
    <w:rsid w:val="002C6C6A"/>
    <w:rsid w:val="002C700A"/>
    <w:rsid w:val="002C7578"/>
    <w:rsid w:val="002C79D9"/>
    <w:rsid w:val="002C7AFC"/>
    <w:rsid w:val="002C7B53"/>
    <w:rsid w:val="002D046F"/>
    <w:rsid w:val="002D0784"/>
    <w:rsid w:val="002D0AF9"/>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201"/>
    <w:rsid w:val="002D4693"/>
    <w:rsid w:val="002D496E"/>
    <w:rsid w:val="002D5240"/>
    <w:rsid w:val="002D5663"/>
    <w:rsid w:val="002D6199"/>
    <w:rsid w:val="002D6CC5"/>
    <w:rsid w:val="002D6E9B"/>
    <w:rsid w:val="002D70E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4156"/>
    <w:rsid w:val="002E4529"/>
    <w:rsid w:val="002E4C3E"/>
    <w:rsid w:val="002E4FDE"/>
    <w:rsid w:val="002E5730"/>
    <w:rsid w:val="002E59FD"/>
    <w:rsid w:val="002E5A61"/>
    <w:rsid w:val="002E5B54"/>
    <w:rsid w:val="002E5D44"/>
    <w:rsid w:val="002E6340"/>
    <w:rsid w:val="002E637A"/>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4AA"/>
    <w:rsid w:val="003075DF"/>
    <w:rsid w:val="00307849"/>
    <w:rsid w:val="00307B02"/>
    <w:rsid w:val="00310176"/>
    <w:rsid w:val="0031066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EAC"/>
    <w:rsid w:val="003152B9"/>
    <w:rsid w:val="00315344"/>
    <w:rsid w:val="00315374"/>
    <w:rsid w:val="0031539F"/>
    <w:rsid w:val="00315460"/>
    <w:rsid w:val="00315CC4"/>
    <w:rsid w:val="00315F08"/>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CE7"/>
    <w:rsid w:val="00325DBB"/>
    <w:rsid w:val="00326199"/>
    <w:rsid w:val="003263AE"/>
    <w:rsid w:val="00326C0A"/>
    <w:rsid w:val="00326C20"/>
    <w:rsid w:val="00327605"/>
    <w:rsid w:val="00327ABC"/>
    <w:rsid w:val="00327D9B"/>
    <w:rsid w:val="00327E0D"/>
    <w:rsid w:val="00330997"/>
    <w:rsid w:val="00330F9A"/>
    <w:rsid w:val="003313D9"/>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FD"/>
    <w:rsid w:val="00336EC7"/>
    <w:rsid w:val="00336F9C"/>
    <w:rsid w:val="00337AC4"/>
    <w:rsid w:val="00337DC2"/>
    <w:rsid w:val="00340060"/>
    <w:rsid w:val="003401D4"/>
    <w:rsid w:val="00340852"/>
    <w:rsid w:val="00340E64"/>
    <w:rsid w:val="003423AE"/>
    <w:rsid w:val="0034241E"/>
    <w:rsid w:val="00342729"/>
    <w:rsid w:val="00342A72"/>
    <w:rsid w:val="003430B5"/>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699"/>
    <w:rsid w:val="00371760"/>
    <w:rsid w:val="003722CF"/>
    <w:rsid w:val="0037235A"/>
    <w:rsid w:val="00372971"/>
    <w:rsid w:val="003729E3"/>
    <w:rsid w:val="0037305F"/>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4CFD"/>
    <w:rsid w:val="003853D3"/>
    <w:rsid w:val="0038547D"/>
    <w:rsid w:val="003854EC"/>
    <w:rsid w:val="00385500"/>
    <w:rsid w:val="00385704"/>
    <w:rsid w:val="00385997"/>
    <w:rsid w:val="00385AA7"/>
    <w:rsid w:val="00385F95"/>
    <w:rsid w:val="00385FD1"/>
    <w:rsid w:val="00386048"/>
    <w:rsid w:val="003862E7"/>
    <w:rsid w:val="003864CB"/>
    <w:rsid w:val="003867DB"/>
    <w:rsid w:val="00386D37"/>
    <w:rsid w:val="00387443"/>
    <w:rsid w:val="00387719"/>
    <w:rsid w:val="00387A59"/>
    <w:rsid w:val="00387B9C"/>
    <w:rsid w:val="00387DD4"/>
    <w:rsid w:val="00390C5A"/>
    <w:rsid w:val="00390F90"/>
    <w:rsid w:val="00391043"/>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A03CE"/>
    <w:rsid w:val="003A08DC"/>
    <w:rsid w:val="003A0C4F"/>
    <w:rsid w:val="003A12B9"/>
    <w:rsid w:val="003A157B"/>
    <w:rsid w:val="003A181C"/>
    <w:rsid w:val="003A1B06"/>
    <w:rsid w:val="003A1ECC"/>
    <w:rsid w:val="003A213E"/>
    <w:rsid w:val="003A284C"/>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6274"/>
    <w:rsid w:val="003B63FD"/>
    <w:rsid w:val="003B64C6"/>
    <w:rsid w:val="003B68CC"/>
    <w:rsid w:val="003B7686"/>
    <w:rsid w:val="003B76A0"/>
    <w:rsid w:val="003B76E5"/>
    <w:rsid w:val="003B78EC"/>
    <w:rsid w:val="003B7BC2"/>
    <w:rsid w:val="003B7C49"/>
    <w:rsid w:val="003C05A7"/>
    <w:rsid w:val="003C05FA"/>
    <w:rsid w:val="003C06FA"/>
    <w:rsid w:val="003C10E8"/>
    <w:rsid w:val="003C1C1E"/>
    <w:rsid w:val="003C213C"/>
    <w:rsid w:val="003C286E"/>
    <w:rsid w:val="003C2BEB"/>
    <w:rsid w:val="003C365B"/>
    <w:rsid w:val="003C3768"/>
    <w:rsid w:val="003C39CB"/>
    <w:rsid w:val="003C3A50"/>
    <w:rsid w:val="003C41CA"/>
    <w:rsid w:val="003C424F"/>
    <w:rsid w:val="003C43D4"/>
    <w:rsid w:val="003C460A"/>
    <w:rsid w:val="003C470A"/>
    <w:rsid w:val="003C4E3C"/>
    <w:rsid w:val="003C5089"/>
    <w:rsid w:val="003C53B9"/>
    <w:rsid w:val="003C5801"/>
    <w:rsid w:val="003C5869"/>
    <w:rsid w:val="003C59FD"/>
    <w:rsid w:val="003C5B98"/>
    <w:rsid w:val="003C5C43"/>
    <w:rsid w:val="003C748F"/>
    <w:rsid w:val="003C7831"/>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F09"/>
    <w:rsid w:val="00412FDB"/>
    <w:rsid w:val="0041305A"/>
    <w:rsid w:val="00413D83"/>
    <w:rsid w:val="00413D9C"/>
    <w:rsid w:val="00413EB6"/>
    <w:rsid w:val="00414458"/>
    <w:rsid w:val="004149A2"/>
    <w:rsid w:val="00414D62"/>
    <w:rsid w:val="00414E88"/>
    <w:rsid w:val="00414F31"/>
    <w:rsid w:val="0041513A"/>
    <w:rsid w:val="004151D4"/>
    <w:rsid w:val="00415C06"/>
    <w:rsid w:val="00415F09"/>
    <w:rsid w:val="004162FE"/>
    <w:rsid w:val="0041695C"/>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A7"/>
    <w:rsid w:val="0046747E"/>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AA"/>
    <w:rsid w:val="004768D3"/>
    <w:rsid w:val="00480285"/>
    <w:rsid w:val="004804D5"/>
    <w:rsid w:val="004805C9"/>
    <w:rsid w:val="00480C03"/>
    <w:rsid w:val="00481AAD"/>
    <w:rsid w:val="004826E4"/>
    <w:rsid w:val="00482E40"/>
    <w:rsid w:val="004831EA"/>
    <w:rsid w:val="004833A0"/>
    <w:rsid w:val="00483AF2"/>
    <w:rsid w:val="00484030"/>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97D"/>
    <w:rsid w:val="00493AAC"/>
    <w:rsid w:val="00493B97"/>
    <w:rsid w:val="00493BC2"/>
    <w:rsid w:val="00493F4E"/>
    <w:rsid w:val="00495A5D"/>
    <w:rsid w:val="00496578"/>
    <w:rsid w:val="00496E67"/>
    <w:rsid w:val="0049714D"/>
    <w:rsid w:val="004976FF"/>
    <w:rsid w:val="00497937"/>
    <w:rsid w:val="004A0257"/>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509"/>
    <w:rsid w:val="004C4801"/>
    <w:rsid w:val="004C4AC4"/>
    <w:rsid w:val="004C5280"/>
    <w:rsid w:val="004C5437"/>
    <w:rsid w:val="004C577F"/>
    <w:rsid w:val="004C5FAA"/>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8EE"/>
    <w:rsid w:val="00517DC7"/>
    <w:rsid w:val="0052001B"/>
    <w:rsid w:val="005209F2"/>
    <w:rsid w:val="00520E49"/>
    <w:rsid w:val="0052139B"/>
    <w:rsid w:val="005219F0"/>
    <w:rsid w:val="00521DB2"/>
    <w:rsid w:val="00522267"/>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B61"/>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A9E"/>
    <w:rsid w:val="00544DA6"/>
    <w:rsid w:val="00545051"/>
    <w:rsid w:val="0054581E"/>
    <w:rsid w:val="00545AD8"/>
    <w:rsid w:val="0054609A"/>
    <w:rsid w:val="005460E5"/>
    <w:rsid w:val="0054628C"/>
    <w:rsid w:val="00546629"/>
    <w:rsid w:val="00546902"/>
    <w:rsid w:val="00546A82"/>
    <w:rsid w:val="00546E19"/>
    <w:rsid w:val="00547080"/>
    <w:rsid w:val="00547154"/>
    <w:rsid w:val="00547288"/>
    <w:rsid w:val="00547BC3"/>
    <w:rsid w:val="00547CA6"/>
    <w:rsid w:val="005509A0"/>
    <w:rsid w:val="00550B63"/>
    <w:rsid w:val="00550DFC"/>
    <w:rsid w:val="00550E47"/>
    <w:rsid w:val="00550F49"/>
    <w:rsid w:val="00551286"/>
    <w:rsid w:val="00551FC9"/>
    <w:rsid w:val="00552132"/>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30D3"/>
    <w:rsid w:val="0057345F"/>
    <w:rsid w:val="005738E7"/>
    <w:rsid w:val="00573BF2"/>
    <w:rsid w:val="00573F8E"/>
    <w:rsid w:val="0057406E"/>
    <w:rsid w:val="0057467A"/>
    <w:rsid w:val="005749E8"/>
    <w:rsid w:val="00574BBC"/>
    <w:rsid w:val="00574E69"/>
    <w:rsid w:val="00575084"/>
    <w:rsid w:val="00575A26"/>
    <w:rsid w:val="00575A51"/>
    <w:rsid w:val="00575CE1"/>
    <w:rsid w:val="00575D47"/>
    <w:rsid w:val="00575F5C"/>
    <w:rsid w:val="00575FFA"/>
    <w:rsid w:val="0057688A"/>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74A"/>
    <w:rsid w:val="00594CF1"/>
    <w:rsid w:val="0059562D"/>
    <w:rsid w:val="00595FB4"/>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795"/>
    <w:rsid w:val="005E1997"/>
    <w:rsid w:val="005E239E"/>
    <w:rsid w:val="005E265A"/>
    <w:rsid w:val="005E2891"/>
    <w:rsid w:val="005E2B2F"/>
    <w:rsid w:val="005E4620"/>
    <w:rsid w:val="005E46FE"/>
    <w:rsid w:val="005E4764"/>
    <w:rsid w:val="005E4886"/>
    <w:rsid w:val="005E4DD0"/>
    <w:rsid w:val="005E4EBF"/>
    <w:rsid w:val="005E4FE5"/>
    <w:rsid w:val="005E5694"/>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DA"/>
    <w:rsid w:val="006078A7"/>
    <w:rsid w:val="00607A20"/>
    <w:rsid w:val="00607AF3"/>
    <w:rsid w:val="00607CB9"/>
    <w:rsid w:val="0061092A"/>
    <w:rsid w:val="00610C95"/>
    <w:rsid w:val="0061184F"/>
    <w:rsid w:val="0061190C"/>
    <w:rsid w:val="00611D0D"/>
    <w:rsid w:val="00612344"/>
    <w:rsid w:val="006125A9"/>
    <w:rsid w:val="00612624"/>
    <w:rsid w:val="00612670"/>
    <w:rsid w:val="0061270C"/>
    <w:rsid w:val="0061284C"/>
    <w:rsid w:val="00612C5D"/>
    <w:rsid w:val="00612DD9"/>
    <w:rsid w:val="00612E2B"/>
    <w:rsid w:val="006137AA"/>
    <w:rsid w:val="00613946"/>
    <w:rsid w:val="00613975"/>
    <w:rsid w:val="00613FB4"/>
    <w:rsid w:val="00614570"/>
    <w:rsid w:val="006149AD"/>
    <w:rsid w:val="00615487"/>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6D9"/>
    <w:rsid w:val="00625E38"/>
    <w:rsid w:val="006266D5"/>
    <w:rsid w:val="00626ABD"/>
    <w:rsid w:val="00626B74"/>
    <w:rsid w:val="00626F63"/>
    <w:rsid w:val="0063011D"/>
    <w:rsid w:val="00630133"/>
    <w:rsid w:val="00630138"/>
    <w:rsid w:val="00630649"/>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4EA"/>
    <w:rsid w:val="0064392C"/>
    <w:rsid w:val="00643A1F"/>
    <w:rsid w:val="00643A65"/>
    <w:rsid w:val="006441CD"/>
    <w:rsid w:val="006442C7"/>
    <w:rsid w:val="006446EA"/>
    <w:rsid w:val="00644839"/>
    <w:rsid w:val="00644C8E"/>
    <w:rsid w:val="00644D24"/>
    <w:rsid w:val="00644DF2"/>
    <w:rsid w:val="006463FF"/>
    <w:rsid w:val="006464B2"/>
    <w:rsid w:val="0064670A"/>
    <w:rsid w:val="00646776"/>
    <w:rsid w:val="00646E2D"/>
    <w:rsid w:val="006472B5"/>
    <w:rsid w:val="00647439"/>
    <w:rsid w:val="006477D7"/>
    <w:rsid w:val="00650112"/>
    <w:rsid w:val="00650C7A"/>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840"/>
    <w:rsid w:val="00685855"/>
    <w:rsid w:val="0068604B"/>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A67"/>
    <w:rsid w:val="006A3315"/>
    <w:rsid w:val="006A3599"/>
    <w:rsid w:val="006A3972"/>
    <w:rsid w:val="006A42A5"/>
    <w:rsid w:val="006A467B"/>
    <w:rsid w:val="006A4ACC"/>
    <w:rsid w:val="006A4CBD"/>
    <w:rsid w:val="006A4DA9"/>
    <w:rsid w:val="006A4FFF"/>
    <w:rsid w:val="006A515E"/>
    <w:rsid w:val="006A5308"/>
    <w:rsid w:val="006A5BCA"/>
    <w:rsid w:val="006A6AA5"/>
    <w:rsid w:val="006A75ED"/>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9C0"/>
    <w:rsid w:val="006D69CC"/>
    <w:rsid w:val="006D72A7"/>
    <w:rsid w:val="006D7446"/>
    <w:rsid w:val="006D7600"/>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9D"/>
    <w:rsid w:val="007028D2"/>
    <w:rsid w:val="00703556"/>
    <w:rsid w:val="007038C4"/>
    <w:rsid w:val="00703BD9"/>
    <w:rsid w:val="00703EA0"/>
    <w:rsid w:val="0070420E"/>
    <w:rsid w:val="0070500B"/>
    <w:rsid w:val="00705323"/>
    <w:rsid w:val="00705C5C"/>
    <w:rsid w:val="00705E96"/>
    <w:rsid w:val="007064B6"/>
    <w:rsid w:val="007069BC"/>
    <w:rsid w:val="00706B7B"/>
    <w:rsid w:val="00707493"/>
    <w:rsid w:val="00707833"/>
    <w:rsid w:val="00707F71"/>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C82"/>
    <w:rsid w:val="00724FFE"/>
    <w:rsid w:val="007252DD"/>
    <w:rsid w:val="00725AFC"/>
    <w:rsid w:val="00725E43"/>
    <w:rsid w:val="00726662"/>
    <w:rsid w:val="00727AAA"/>
    <w:rsid w:val="00727BAA"/>
    <w:rsid w:val="00730280"/>
    <w:rsid w:val="00730638"/>
    <w:rsid w:val="00730888"/>
    <w:rsid w:val="00730C54"/>
    <w:rsid w:val="00730FD1"/>
    <w:rsid w:val="007312C6"/>
    <w:rsid w:val="007317DA"/>
    <w:rsid w:val="00731A74"/>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618"/>
    <w:rsid w:val="007559E3"/>
    <w:rsid w:val="00755C1C"/>
    <w:rsid w:val="00755C8D"/>
    <w:rsid w:val="00755E5A"/>
    <w:rsid w:val="00756625"/>
    <w:rsid w:val="00756DB4"/>
    <w:rsid w:val="00756FF0"/>
    <w:rsid w:val="0075729E"/>
    <w:rsid w:val="0075733E"/>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2214"/>
    <w:rsid w:val="00792879"/>
    <w:rsid w:val="0079302A"/>
    <w:rsid w:val="00793135"/>
    <w:rsid w:val="00793530"/>
    <w:rsid w:val="007939F9"/>
    <w:rsid w:val="00793BB1"/>
    <w:rsid w:val="00793E6D"/>
    <w:rsid w:val="00793F1C"/>
    <w:rsid w:val="007942EA"/>
    <w:rsid w:val="007942FB"/>
    <w:rsid w:val="00794725"/>
    <w:rsid w:val="00794AB7"/>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ED"/>
    <w:rsid w:val="007B3069"/>
    <w:rsid w:val="007B39BF"/>
    <w:rsid w:val="007B3BA7"/>
    <w:rsid w:val="007B3C53"/>
    <w:rsid w:val="007B434E"/>
    <w:rsid w:val="007B4660"/>
    <w:rsid w:val="007B46C6"/>
    <w:rsid w:val="007B46F8"/>
    <w:rsid w:val="007B4B3A"/>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904"/>
    <w:rsid w:val="007E4A50"/>
    <w:rsid w:val="007E5262"/>
    <w:rsid w:val="007E5BB3"/>
    <w:rsid w:val="007E5D5C"/>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D36"/>
    <w:rsid w:val="00805E4E"/>
    <w:rsid w:val="00806CBE"/>
    <w:rsid w:val="00806EC4"/>
    <w:rsid w:val="00807292"/>
    <w:rsid w:val="0080737D"/>
    <w:rsid w:val="00807C5A"/>
    <w:rsid w:val="008107C3"/>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4382"/>
    <w:rsid w:val="0088482C"/>
    <w:rsid w:val="00884B6B"/>
    <w:rsid w:val="00884C65"/>
    <w:rsid w:val="00884E05"/>
    <w:rsid w:val="00884ED0"/>
    <w:rsid w:val="00884ED7"/>
    <w:rsid w:val="0088510E"/>
    <w:rsid w:val="00885780"/>
    <w:rsid w:val="00885863"/>
    <w:rsid w:val="0088625E"/>
    <w:rsid w:val="00886F0E"/>
    <w:rsid w:val="0088710F"/>
    <w:rsid w:val="00887784"/>
    <w:rsid w:val="00887A99"/>
    <w:rsid w:val="00887EC5"/>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612"/>
    <w:rsid w:val="008B599D"/>
    <w:rsid w:val="008B5D94"/>
    <w:rsid w:val="008B5E2C"/>
    <w:rsid w:val="008B5F48"/>
    <w:rsid w:val="008B5FC5"/>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B36"/>
    <w:rsid w:val="00910DA6"/>
    <w:rsid w:val="00910E5C"/>
    <w:rsid w:val="0091140E"/>
    <w:rsid w:val="00911CFD"/>
    <w:rsid w:val="009120DC"/>
    <w:rsid w:val="009122E5"/>
    <w:rsid w:val="009122E9"/>
    <w:rsid w:val="00912398"/>
    <w:rsid w:val="009123B9"/>
    <w:rsid w:val="009129CD"/>
    <w:rsid w:val="00912E13"/>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60AF"/>
    <w:rsid w:val="00926697"/>
    <w:rsid w:val="00926786"/>
    <w:rsid w:val="009268DE"/>
    <w:rsid w:val="00926C50"/>
    <w:rsid w:val="00926E96"/>
    <w:rsid w:val="00926FCB"/>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5F7"/>
    <w:rsid w:val="0095453D"/>
    <w:rsid w:val="00954930"/>
    <w:rsid w:val="00954ABC"/>
    <w:rsid w:val="00955CE9"/>
    <w:rsid w:val="0096015B"/>
    <w:rsid w:val="009604CB"/>
    <w:rsid w:val="00960C16"/>
    <w:rsid w:val="0096178E"/>
    <w:rsid w:val="0096221F"/>
    <w:rsid w:val="009626B2"/>
    <w:rsid w:val="009631F3"/>
    <w:rsid w:val="0096372A"/>
    <w:rsid w:val="00964283"/>
    <w:rsid w:val="0096440F"/>
    <w:rsid w:val="00964D05"/>
    <w:rsid w:val="00964F38"/>
    <w:rsid w:val="009650AC"/>
    <w:rsid w:val="009652A5"/>
    <w:rsid w:val="009653D2"/>
    <w:rsid w:val="009659C7"/>
    <w:rsid w:val="00965C9A"/>
    <w:rsid w:val="00966C39"/>
    <w:rsid w:val="00967376"/>
    <w:rsid w:val="00967400"/>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752"/>
    <w:rsid w:val="009B47A7"/>
    <w:rsid w:val="009B50D5"/>
    <w:rsid w:val="009B5283"/>
    <w:rsid w:val="009B538B"/>
    <w:rsid w:val="009B5AF1"/>
    <w:rsid w:val="009B5E7C"/>
    <w:rsid w:val="009B6436"/>
    <w:rsid w:val="009B6DF1"/>
    <w:rsid w:val="009B6E44"/>
    <w:rsid w:val="009B7590"/>
    <w:rsid w:val="009B7654"/>
    <w:rsid w:val="009B767B"/>
    <w:rsid w:val="009B76AB"/>
    <w:rsid w:val="009B7CD3"/>
    <w:rsid w:val="009C0071"/>
    <w:rsid w:val="009C01EB"/>
    <w:rsid w:val="009C041E"/>
    <w:rsid w:val="009C0D4C"/>
    <w:rsid w:val="009C0D67"/>
    <w:rsid w:val="009C0FC1"/>
    <w:rsid w:val="009C12AB"/>
    <w:rsid w:val="009C130E"/>
    <w:rsid w:val="009C159D"/>
    <w:rsid w:val="009C19AB"/>
    <w:rsid w:val="009C1FEE"/>
    <w:rsid w:val="009C2190"/>
    <w:rsid w:val="009C234F"/>
    <w:rsid w:val="009C2882"/>
    <w:rsid w:val="009C2975"/>
    <w:rsid w:val="009C2BAB"/>
    <w:rsid w:val="009C2BEB"/>
    <w:rsid w:val="009C2DF3"/>
    <w:rsid w:val="009C3227"/>
    <w:rsid w:val="009C3264"/>
    <w:rsid w:val="009C387A"/>
    <w:rsid w:val="009C401C"/>
    <w:rsid w:val="009C40D9"/>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B10"/>
    <w:rsid w:val="009D6D52"/>
    <w:rsid w:val="009D6E33"/>
    <w:rsid w:val="009D6E56"/>
    <w:rsid w:val="009D6FCE"/>
    <w:rsid w:val="009D7586"/>
    <w:rsid w:val="009D765A"/>
    <w:rsid w:val="009D7927"/>
    <w:rsid w:val="009D7C16"/>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DE"/>
    <w:rsid w:val="009E3C3D"/>
    <w:rsid w:val="009E3CE2"/>
    <w:rsid w:val="009E4556"/>
    <w:rsid w:val="009E4594"/>
    <w:rsid w:val="009E4FA9"/>
    <w:rsid w:val="009E5157"/>
    <w:rsid w:val="009E56BE"/>
    <w:rsid w:val="009E57AB"/>
    <w:rsid w:val="009E57F4"/>
    <w:rsid w:val="009E5AC0"/>
    <w:rsid w:val="009E5FE5"/>
    <w:rsid w:val="009E6083"/>
    <w:rsid w:val="009E6146"/>
    <w:rsid w:val="009E6154"/>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F9C"/>
    <w:rsid w:val="00A45667"/>
    <w:rsid w:val="00A45B9C"/>
    <w:rsid w:val="00A46132"/>
    <w:rsid w:val="00A462BA"/>
    <w:rsid w:val="00A46329"/>
    <w:rsid w:val="00A4640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C1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AB7"/>
    <w:rsid w:val="00AA2B34"/>
    <w:rsid w:val="00AA2CB3"/>
    <w:rsid w:val="00AA2CBF"/>
    <w:rsid w:val="00AA31FA"/>
    <w:rsid w:val="00AA3485"/>
    <w:rsid w:val="00AA3B5B"/>
    <w:rsid w:val="00AA3D2A"/>
    <w:rsid w:val="00AA3D46"/>
    <w:rsid w:val="00AA3EB7"/>
    <w:rsid w:val="00AA3F96"/>
    <w:rsid w:val="00AA40EE"/>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C1827"/>
    <w:rsid w:val="00AC29D8"/>
    <w:rsid w:val="00AC2B5C"/>
    <w:rsid w:val="00AC2F89"/>
    <w:rsid w:val="00AC2FC5"/>
    <w:rsid w:val="00AC31B4"/>
    <w:rsid w:val="00AC3F0C"/>
    <w:rsid w:val="00AC42F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6D"/>
    <w:rsid w:val="00AF7C2B"/>
    <w:rsid w:val="00AF7F4E"/>
    <w:rsid w:val="00B000EE"/>
    <w:rsid w:val="00B00367"/>
    <w:rsid w:val="00B00636"/>
    <w:rsid w:val="00B00838"/>
    <w:rsid w:val="00B00917"/>
    <w:rsid w:val="00B00E85"/>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4E2"/>
    <w:rsid w:val="00B75C31"/>
    <w:rsid w:val="00B762D1"/>
    <w:rsid w:val="00B76602"/>
    <w:rsid w:val="00B767AB"/>
    <w:rsid w:val="00B7692B"/>
    <w:rsid w:val="00B777CD"/>
    <w:rsid w:val="00B80099"/>
    <w:rsid w:val="00B800D8"/>
    <w:rsid w:val="00B8070D"/>
    <w:rsid w:val="00B80748"/>
    <w:rsid w:val="00B80AFF"/>
    <w:rsid w:val="00B810E6"/>
    <w:rsid w:val="00B8153D"/>
    <w:rsid w:val="00B81956"/>
    <w:rsid w:val="00B826DB"/>
    <w:rsid w:val="00B8292E"/>
    <w:rsid w:val="00B8294E"/>
    <w:rsid w:val="00B82A9F"/>
    <w:rsid w:val="00B833DB"/>
    <w:rsid w:val="00B840AC"/>
    <w:rsid w:val="00B84690"/>
    <w:rsid w:val="00B8471C"/>
    <w:rsid w:val="00B84F17"/>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BC9"/>
    <w:rsid w:val="00BC183E"/>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311D"/>
    <w:rsid w:val="00BD3697"/>
    <w:rsid w:val="00BD386D"/>
    <w:rsid w:val="00BD3B55"/>
    <w:rsid w:val="00BD3CA3"/>
    <w:rsid w:val="00BD3CC0"/>
    <w:rsid w:val="00BD3CE6"/>
    <w:rsid w:val="00BD4227"/>
    <w:rsid w:val="00BD42BA"/>
    <w:rsid w:val="00BD4463"/>
    <w:rsid w:val="00BD4570"/>
    <w:rsid w:val="00BD477B"/>
    <w:rsid w:val="00BD4832"/>
    <w:rsid w:val="00BD4B69"/>
    <w:rsid w:val="00BD4C08"/>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7629"/>
    <w:rsid w:val="00BF773E"/>
    <w:rsid w:val="00BF78FC"/>
    <w:rsid w:val="00BF7A12"/>
    <w:rsid w:val="00C000AB"/>
    <w:rsid w:val="00C0038F"/>
    <w:rsid w:val="00C0263D"/>
    <w:rsid w:val="00C026A2"/>
    <w:rsid w:val="00C0280F"/>
    <w:rsid w:val="00C02AAF"/>
    <w:rsid w:val="00C02F68"/>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A11"/>
    <w:rsid w:val="00C20BF2"/>
    <w:rsid w:val="00C20EE6"/>
    <w:rsid w:val="00C210C9"/>
    <w:rsid w:val="00C214A5"/>
    <w:rsid w:val="00C21556"/>
    <w:rsid w:val="00C21682"/>
    <w:rsid w:val="00C21E2C"/>
    <w:rsid w:val="00C2224A"/>
    <w:rsid w:val="00C224C2"/>
    <w:rsid w:val="00C22E10"/>
    <w:rsid w:val="00C23134"/>
    <w:rsid w:val="00C23B7C"/>
    <w:rsid w:val="00C24482"/>
    <w:rsid w:val="00C244F7"/>
    <w:rsid w:val="00C2468D"/>
    <w:rsid w:val="00C24DD3"/>
    <w:rsid w:val="00C25210"/>
    <w:rsid w:val="00C25E5D"/>
    <w:rsid w:val="00C25F5F"/>
    <w:rsid w:val="00C262EB"/>
    <w:rsid w:val="00C265E2"/>
    <w:rsid w:val="00C26AE9"/>
    <w:rsid w:val="00C26AEE"/>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834"/>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B5F"/>
    <w:rsid w:val="00C97D63"/>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18C"/>
    <w:rsid w:val="00CA3338"/>
    <w:rsid w:val="00CA3528"/>
    <w:rsid w:val="00CA3529"/>
    <w:rsid w:val="00CA36CE"/>
    <w:rsid w:val="00CA3791"/>
    <w:rsid w:val="00CA3E36"/>
    <w:rsid w:val="00CA3E98"/>
    <w:rsid w:val="00CA426D"/>
    <w:rsid w:val="00CA4988"/>
    <w:rsid w:val="00CA4A62"/>
    <w:rsid w:val="00CA58F8"/>
    <w:rsid w:val="00CA6748"/>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C7A"/>
    <w:rsid w:val="00CC1DD6"/>
    <w:rsid w:val="00CC1EF7"/>
    <w:rsid w:val="00CC2309"/>
    <w:rsid w:val="00CC276B"/>
    <w:rsid w:val="00CC2890"/>
    <w:rsid w:val="00CC2DA0"/>
    <w:rsid w:val="00CC309B"/>
    <w:rsid w:val="00CC31DF"/>
    <w:rsid w:val="00CC37A2"/>
    <w:rsid w:val="00CC39E2"/>
    <w:rsid w:val="00CC4413"/>
    <w:rsid w:val="00CC473D"/>
    <w:rsid w:val="00CC486C"/>
    <w:rsid w:val="00CC48C8"/>
    <w:rsid w:val="00CC48E4"/>
    <w:rsid w:val="00CC4C47"/>
    <w:rsid w:val="00CC4E65"/>
    <w:rsid w:val="00CC54E7"/>
    <w:rsid w:val="00CC58B4"/>
    <w:rsid w:val="00CC5BFE"/>
    <w:rsid w:val="00CC5CDE"/>
    <w:rsid w:val="00CC60EC"/>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D05"/>
    <w:rsid w:val="00D520C7"/>
    <w:rsid w:val="00D52C8C"/>
    <w:rsid w:val="00D53301"/>
    <w:rsid w:val="00D5345B"/>
    <w:rsid w:val="00D5395E"/>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8A8"/>
    <w:rsid w:val="00D73BC1"/>
    <w:rsid w:val="00D741A7"/>
    <w:rsid w:val="00D743AE"/>
    <w:rsid w:val="00D7478C"/>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53BC"/>
    <w:rsid w:val="00D857AF"/>
    <w:rsid w:val="00D859C7"/>
    <w:rsid w:val="00D8603C"/>
    <w:rsid w:val="00D861A9"/>
    <w:rsid w:val="00D86368"/>
    <w:rsid w:val="00D86B71"/>
    <w:rsid w:val="00D86FE3"/>
    <w:rsid w:val="00D87498"/>
    <w:rsid w:val="00D8758F"/>
    <w:rsid w:val="00D878D4"/>
    <w:rsid w:val="00D87948"/>
    <w:rsid w:val="00D87A4E"/>
    <w:rsid w:val="00D87D78"/>
    <w:rsid w:val="00D90088"/>
    <w:rsid w:val="00D90170"/>
    <w:rsid w:val="00D90A09"/>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3A1"/>
    <w:rsid w:val="00DC06C9"/>
    <w:rsid w:val="00DC0EED"/>
    <w:rsid w:val="00DC0FA2"/>
    <w:rsid w:val="00DC105C"/>
    <w:rsid w:val="00DC1901"/>
    <w:rsid w:val="00DC1F76"/>
    <w:rsid w:val="00DC203D"/>
    <w:rsid w:val="00DC2874"/>
    <w:rsid w:val="00DC28F8"/>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42F6"/>
    <w:rsid w:val="00E3435B"/>
    <w:rsid w:val="00E34373"/>
    <w:rsid w:val="00E34529"/>
    <w:rsid w:val="00E346AD"/>
    <w:rsid w:val="00E349CC"/>
    <w:rsid w:val="00E34C15"/>
    <w:rsid w:val="00E34C48"/>
    <w:rsid w:val="00E34EE3"/>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FF7"/>
    <w:rsid w:val="00E8260B"/>
    <w:rsid w:val="00E82892"/>
    <w:rsid w:val="00E829CE"/>
    <w:rsid w:val="00E82C1A"/>
    <w:rsid w:val="00E82E33"/>
    <w:rsid w:val="00E8317D"/>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D3C"/>
    <w:rsid w:val="00EA3D73"/>
    <w:rsid w:val="00EA3F97"/>
    <w:rsid w:val="00EA401E"/>
    <w:rsid w:val="00EA43E0"/>
    <w:rsid w:val="00EA4578"/>
    <w:rsid w:val="00EA46A2"/>
    <w:rsid w:val="00EA4753"/>
    <w:rsid w:val="00EA478D"/>
    <w:rsid w:val="00EA4835"/>
    <w:rsid w:val="00EA4AC1"/>
    <w:rsid w:val="00EA4B60"/>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2BB8"/>
    <w:rsid w:val="00F02C55"/>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75E0"/>
    <w:rsid w:val="00F47B99"/>
    <w:rsid w:val="00F47D8C"/>
    <w:rsid w:val="00F47E05"/>
    <w:rsid w:val="00F507F8"/>
    <w:rsid w:val="00F50AA5"/>
    <w:rsid w:val="00F51B09"/>
    <w:rsid w:val="00F52BF9"/>
    <w:rsid w:val="00F53185"/>
    <w:rsid w:val="00F53762"/>
    <w:rsid w:val="00F53876"/>
    <w:rsid w:val="00F53AAB"/>
    <w:rsid w:val="00F53F9C"/>
    <w:rsid w:val="00F540C4"/>
    <w:rsid w:val="00F544DC"/>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AA7"/>
    <w:rsid w:val="00F75FC1"/>
    <w:rsid w:val="00F76019"/>
    <w:rsid w:val="00F763FC"/>
    <w:rsid w:val="00F76E22"/>
    <w:rsid w:val="00F770BF"/>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14DE"/>
    <w:rsid w:val="00F917C7"/>
    <w:rsid w:val="00F918C6"/>
    <w:rsid w:val="00F91BF8"/>
    <w:rsid w:val="00F91E5F"/>
    <w:rsid w:val="00F9216B"/>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96B"/>
    <w:rsid w:val="00FA6E09"/>
    <w:rsid w:val="00FA7256"/>
    <w:rsid w:val="00FA734F"/>
    <w:rsid w:val="00FA774D"/>
    <w:rsid w:val="00FA7B74"/>
    <w:rsid w:val="00FA7D19"/>
    <w:rsid w:val="00FB0385"/>
    <w:rsid w:val="00FB04C3"/>
    <w:rsid w:val="00FB081C"/>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C02"/>
    <w:rsid w:val="00FB7E85"/>
    <w:rsid w:val="00FB7F93"/>
    <w:rsid w:val="00FC0199"/>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E0BDB"/>
    <w:rsid w:val="00FE1E61"/>
    <w:rsid w:val="00FE1EF1"/>
    <w:rsid w:val="00FE2090"/>
    <w:rsid w:val="00FE20C8"/>
    <w:rsid w:val="00FE234E"/>
    <w:rsid w:val="00FE2435"/>
    <w:rsid w:val="00FE314C"/>
    <w:rsid w:val="00FE326B"/>
    <w:rsid w:val="00FE329D"/>
    <w:rsid w:val="00FE335E"/>
    <w:rsid w:val="00FE3886"/>
    <w:rsid w:val="00FE391F"/>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44FFB29-0731-4C5A-BBC0-7B7AD5A79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F58C8"/>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paragraph" w:customStyle="1" w:styleId="Default">
    <w:name w:val="Default"/>
    <w:rsid w:val="00195B39"/>
    <w:pPr>
      <w:widowControl w:val="0"/>
      <w:autoSpaceDE w:val="0"/>
      <w:autoSpaceDN w:val="0"/>
      <w:adjustRightInd w:val="0"/>
    </w:pPr>
    <w:rPr>
      <w:rFonts w:ascii="標楷體" w:eastAsia="標楷體" w:cs="標楷體"/>
      <w:color w:val="000000"/>
      <w:sz w:val="24"/>
      <w:szCs w:val="24"/>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1">
    <w:name w:val="annotation reference"/>
    <w:uiPriority w:val="99"/>
    <w:semiHidden/>
    <w:unhideWhenUsed/>
    <w:rsid w:val="00B27550"/>
    <w:rPr>
      <w:sz w:val="18"/>
      <w:szCs w:val="18"/>
    </w:rPr>
  </w:style>
  <w:style w:type="paragraph" w:styleId="aff2">
    <w:name w:val="annotation text"/>
    <w:basedOn w:val="a"/>
    <w:link w:val="aff3"/>
    <w:uiPriority w:val="99"/>
    <w:semiHidden/>
    <w:unhideWhenUsed/>
    <w:rsid w:val="00B27550"/>
    <w:pPr>
      <w:jc w:val="left"/>
    </w:pPr>
    <w:rPr>
      <w:lang w:val="x-none" w:eastAsia="x-none"/>
    </w:rPr>
  </w:style>
  <w:style w:type="character" w:customStyle="1" w:styleId="aff3">
    <w:name w:val="註解文字 字元"/>
    <w:link w:val="aff2"/>
    <w:uiPriority w:val="99"/>
    <w:semiHidden/>
    <w:rsid w:val="00B27550"/>
    <w:rPr>
      <w:rFonts w:ascii="標楷體" w:eastAsia="標楷體"/>
      <w:kern w:val="2"/>
      <w:sz w:val="28"/>
      <w:szCs w:val="28"/>
    </w:rPr>
  </w:style>
  <w:style w:type="paragraph" w:styleId="aff4">
    <w:name w:val="annotation subject"/>
    <w:basedOn w:val="aff2"/>
    <w:next w:val="aff2"/>
    <w:link w:val="aff5"/>
    <w:uiPriority w:val="99"/>
    <w:semiHidden/>
    <w:unhideWhenUsed/>
    <w:rsid w:val="00B27550"/>
    <w:rPr>
      <w:b/>
      <w:bCs/>
    </w:rPr>
  </w:style>
  <w:style w:type="character" w:customStyle="1" w:styleId="aff5">
    <w:name w:val="註解主旨 字元"/>
    <w:link w:val="aff4"/>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6">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8">
    <w:name w:val="表格內文之標頭"/>
    <w:basedOn w:val="142"/>
    <w:rsid w:val="00127F4B"/>
    <w:pPr>
      <w:spacing w:before="250"/>
    </w:pPr>
    <w:rPr>
      <w:rFonts w:ascii="標楷體" w:cs="新細明體"/>
      <w:b/>
      <w:bCs/>
      <w:snapToGrid w:val="0"/>
      <w:sz w:val="28"/>
      <w:szCs w:val="20"/>
    </w:rPr>
  </w:style>
  <w:style w:type="paragraph" w:styleId="aff9">
    <w:name w:val="Salutation"/>
    <w:basedOn w:val="a"/>
    <w:next w:val="a"/>
    <w:link w:val="affa"/>
    <w:uiPriority w:val="99"/>
    <w:unhideWhenUsed/>
    <w:rsid w:val="006828EE"/>
    <w:pPr>
      <w:spacing w:line="500" w:lineRule="exact"/>
    </w:pPr>
    <w:rPr>
      <w:snapToGrid w:val="0"/>
      <w:lang w:val="x-none" w:eastAsia="x-none"/>
    </w:rPr>
  </w:style>
  <w:style w:type="character" w:customStyle="1" w:styleId="affa">
    <w:name w:val="問候 字元"/>
    <w:link w:val="aff9"/>
    <w:uiPriority w:val="99"/>
    <w:rsid w:val="006828EE"/>
    <w:rPr>
      <w:rFonts w:ascii="標楷體" w:eastAsia="標楷體"/>
      <w:snapToGrid w:val="0"/>
      <w:kern w:val="2"/>
      <w:sz w:val="28"/>
      <w:szCs w:val="28"/>
    </w:rPr>
  </w:style>
  <w:style w:type="paragraph" w:styleId="affb">
    <w:name w:val="Closing"/>
    <w:basedOn w:val="a"/>
    <w:link w:val="affc"/>
    <w:uiPriority w:val="99"/>
    <w:unhideWhenUsed/>
    <w:rsid w:val="00F41CE2"/>
    <w:pPr>
      <w:ind w:leftChars="1800" w:left="100"/>
    </w:pPr>
    <w:rPr>
      <w:snapToGrid w:val="0"/>
      <w:sz w:val="24"/>
    </w:rPr>
  </w:style>
  <w:style w:type="character" w:customStyle="1" w:styleId="affc">
    <w:name w:val="結語 字元"/>
    <w:link w:val="affb"/>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06351-DA8D-43C4-A6DD-8C515C923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197</Words>
  <Characters>1123</Characters>
  <Application>Microsoft Office Word</Application>
  <DocSecurity>0</DocSecurity>
  <Lines>9</Lines>
  <Paragraphs>2</Paragraphs>
  <ScaleCrop>false</ScaleCrop>
  <Company/>
  <LinksUpToDate>false</LinksUpToDate>
  <CharactersWithSpaces>1318</CharactersWithSpaces>
  <SharedDoc>false</SharedDoc>
  <HLinks>
    <vt:vector size="60" baseType="variant">
      <vt:variant>
        <vt:i4>1507378</vt:i4>
      </vt:variant>
      <vt:variant>
        <vt:i4>56</vt:i4>
      </vt:variant>
      <vt:variant>
        <vt:i4>0</vt:i4>
      </vt:variant>
      <vt:variant>
        <vt:i4>5</vt:i4>
      </vt:variant>
      <vt:variant>
        <vt:lpwstr/>
      </vt:variant>
      <vt:variant>
        <vt:lpwstr>_Toc181955743</vt:lpwstr>
      </vt:variant>
      <vt:variant>
        <vt:i4>1507378</vt:i4>
      </vt:variant>
      <vt:variant>
        <vt:i4>50</vt:i4>
      </vt:variant>
      <vt:variant>
        <vt:i4>0</vt:i4>
      </vt:variant>
      <vt:variant>
        <vt:i4>5</vt:i4>
      </vt:variant>
      <vt:variant>
        <vt:lpwstr/>
      </vt:variant>
      <vt:variant>
        <vt:lpwstr>_Toc181955742</vt:lpwstr>
      </vt:variant>
      <vt:variant>
        <vt:i4>1507378</vt:i4>
      </vt:variant>
      <vt:variant>
        <vt:i4>44</vt:i4>
      </vt:variant>
      <vt:variant>
        <vt:i4>0</vt:i4>
      </vt:variant>
      <vt:variant>
        <vt:i4>5</vt:i4>
      </vt:variant>
      <vt:variant>
        <vt:lpwstr/>
      </vt:variant>
      <vt:variant>
        <vt:lpwstr>_Toc181955741</vt:lpwstr>
      </vt:variant>
      <vt:variant>
        <vt:i4>1507378</vt:i4>
      </vt:variant>
      <vt:variant>
        <vt:i4>38</vt:i4>
      </vt:variant>
      <vt:variant>
        <vt:i4>0</vt:i4>
      </vt:variant>
      <vt:variant>
        <vt:i4>5</vt:i4>
      </vt:variant>
      <vt:variant>
        <vt:lpwstr/>
      </vt:variant>
      <vt:variant>
        <vt:lpwstr>_Toc181955740</vt:lpwstr>
      </vt:variant>
      <vt:variant>
        <vt:i4>1048626</vt:i4>
      </vt:variant>
      <vt:variant>
        <vt:i4>32</vt:i4>
      </vt:variant>
      <vt:variant>
        <vt:i4>0</vt:i4>
      </vt:variant>
      <vt:variant>
        <vt:i4>5</vt:i4>
      </vt:variant>
      <vt:variant>
        <vt:lpwstr/>
      </vt:variant>
      <vt:variant>
        <vt:lpwstr>_Toc181955739</vt:lpwstr>
      </vt:variant>
      <vt:variant>
        <vt:i4>1048626</vt:i4>
      </vt:variant>
      <vt:variant>
        <vt:i4>26</vt:i4>
      </vt:variant>
      <vt:variant>
        <vt:i4>0</vt:i4>
      </vt:variant>
      <vt:variant>
        <vt:i4>5</vt:i4>
      </vt:variant>
      <vt:variant>
        <vt:lpwstr/>
      </vt:variant>
      <vt:variant>
        <vt:lpwstr>_Toc181955738</vt:lpwstr>
      </vt:variant>
      <vt:variant>
        <vt:i4>1048626</vt:i4>
      </vt:variant>
      <vt:variant>
        <vt:i4>20</vt:i4>
      </vt:variant>
      <vt:variant>
        <vt:i4>0</vt:i4>
      </vt:variant>
      <vt:variant>
        <vt:i4>5</vt:i4>
      </vt:variant>
      <vt:variant>
        <vt:lpwstr/>
      </vt:variant>
      <vt:variant>
        <vt:lpwstr>_Toc181955737</vt:lpwstr>
      </vt:variant>
      <vt:variant>
        <vt:i4>1048626</vt:i4>
      </vt:variant>
      <vt:variant>
        <vt:i4>14</vt:i4>
      </vt:variant>
      <vt:variant>
        <vt:i4>0</vt:i4>
      </vt:variant>
      <vt:variant>
        <vt:i4>5</vt:i4>
      </vt:variant>
      <vt:variant>
        <vt:lpwstr/>
      </vt:variant>
      <vt:variant>
        <vt:lpwstr>_Toc181955736</vt:lpwstr>
      </vt:variant>
      <vt:variant>
        <vt:i4>1048626</vt:i4>
      </vt:variant>
      <vt:variant>
        <vt:i4>8</vt:i4>
      </vt:variant>
      <vt:variant>
        <vt:i4>0</vt:i4>
      </vt:variant>
      <vt:variant>
        <vt:i4>5</vt:i4>
      </vt:variant>
      <vt:variant>
        <vt:lpwstr/>
      </vt:variant>
      <vt:variant>
        <vt:lpwstr>_Toc181955735</vt:lpwstr>
      </vt:variant>
      <vt:variant>
        <vt:i4>1048626</vt:i4>
      </vt:variant>
      <vt:variant>
        <vt:i4>2</vt:i4>
      </vt:variant>
      <vt:variant>
        <vt:i4>0</vt:i4>
      </vt:variant>
      <vt:variant>
        <vt:i4>5</vt:i4>
      </vt:variant>
      <vt:variant>
        <vt:lpwstr/>
      </vt:variant>
      <vt:variant>
        <vt:lpwstr>_Toc181955734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2024-11-08T03:41:00Z</cp:lastPrinted>
  <dcterms:created xsi:type="dcterms:W3CDTF">2024-11-08T06:53:00Z</dcterms:created>
  <dcterms:modified xsi:type="dcterms:W3CDTF">2024-11-08T06:53:00Z</dcterms:modified>
</cp:coreProperties>
</file>