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5E4" w:rsidRPr="00507BD2" w:rsidRDefault="00494324" w:rsidP="006515E4">
      <w:pPr>
        <w:adjustRightInd w:val="0"/>
        <w:ind w:leftChars="0" w:left="0" w:firstLineChars="0" w:firstLine="0"/>
        <w:rPr>
          <w:rFonts w:hAnsi="標楷體" w:hint="eastAsia"/>
          <w:b/>
          <w:sz w:val="36"/>
        </w:rPr>
      </w:pPr>
      <w:bookmarkStart w:id="0" w:name="_GoBack"/>
      <w:bookmarkEnd w:id="0"/>
      <w:r w:rsidRPr="00507BD2">
        <w:rPr>
          <w:rFonts w:hAnsi="標楷體" w:hint="eastAsia"/>
          <w:b/>
          <w:sz w:val="36"/>
        </w:rPr>
        <w:t>中央銀行11</w:t>
      </w:r>
      <w:r w:rsidR="00532EDB" w:rsidRPr="00507BD2">
        <w:rPr>
          <w:rFonts w:hAnsi="標楷體"/>
          <w:b/>
          <w:sz w:val="36"/>
        </w:rPr>
        <w:t>4</w:t>
      </w:r>
      <w:r w:rsidRPr="00507BD2">
        <w:rPr>
          <w:rFonts w:hAnsi="標楷體" w:hint="eastAsia"/>
          <w:b/>
          <w:sz w:val="36"/>
        </w:rPr>
        <w:t>年度營業預算評估報告</w:t>
      </w:r>
    </w:p>
    <w:p w:rsidR="00494324" w:rsidRPr="00507BD2" w:rsidRDefault="00494324" w:rsidP="00A90610">
      <w:pPr>
        <w:pStyle w:val="a8"/>
        <w:ind w:firstLine="566"/>
        <w:rPr>
          <w:rFonts w:hAnsi="標楷體" w:hint="eastAsia"/>
        </w:rPr>
      </w:pPr>
      <w:r w:rsidRPr="00507BD2">
        <w:rPr>
          <w:rFonts w:hAnsi="標楷體" w:hint="eastAsia"/>
        </w:rPr>
        <w:t>中央銀行</w:t>
      </w:r>
      <w:r w:rsidR="00532EDB" w:rsidRPr="00507BD2">
        <w:rPr>
          <w:rFonts w:hAnsi="標楷體" w:hint="eastAsia"/>
        </w:rPr>
        <w:t>(</w:t>
      </w:r>
      <w:r w:rsidRPr="00507BD2">
        <w:rPr>
          <w:rFonts w:hAnsi="標楷體" w:hint="eastAsia"/>
        </w:rPr>
        <w:t>以下簡稱央行</w:t>
      </w:r>
      <w:r w:rsidR="00532EDB" w:rsidRPr="00507BD2">
        <w:rPr>
          <w:rFonts w:hAnsi="標楷體" w:hint="eastAsia"/>
        </w:rPr>
        <w:t>)</w:t>
      </w:r>
      <w:r w:rsidRPr="00507BD2">
        <w:rPr>
          <w:rFonts w:hAnsi="標楷體" w:hint="eastAsia"/>
        </w:rPr>
        <w:t>為國家銀行，</w:t>
      </w:r>
      <w:r w:rsidR="00C75457" w:rsidRPr="00507BD2">
        <w:rPr>
          <w:rFonts w:hAnsi="標楷體" w:hint="eastAsia"/>
        </w:rPr>
        <w:t>係貨幣政策之制定及執行機關，</w:t>
      </w:r>
      <w:r w:rsidR="00A90610" w:rsidRPr="00A90610">
        <w:rPr>
          <w:rFonts w:hAnsi="標楷體" w:hint="eastAsia"/>
        </w:rPr>
        <w:t>促進金融穩定</w:t>
      </w:r>
      <w:r w:rsidR="00A90610">
        <w:rPr>
          <w:rFonts w:hAnsi="標楷體" w:hint="eastAsia"/>
        </w:rPr>
        <w:t>、健全銀行業務、維護對內與對外幣值之穩定及</w:t>
      </w:r>
      <w:r w:rsidR="00A90610" w:rsidRPr="00A90610">
        <w:rPr>
          <w:rFonts w:hAnsi="標楷體" w:hint="eastAsia"/>
        </w:rPr>
        <w:t>協助經濟之發展。</w:t>
      </w:r>
      <w:r w:rsidR="000E56BC" w:rsidRPr="00507BD2">
        <w:rPr>
          <w:rFonts w:hAnsi="標楷體" w:hint="eastAsia"/>
        </w:rPr>
        <w:t>央行</w:t>
      </w:r>
      <w:r w:rsidRPr="00507BD2">
        <w:rPr>
          <w:rFonts w:hAnsi="標楷體" w:hint="eastAsia"/>
        </w:rPr>
        <w:t>11</w:t>
      </w:r>
      <w:r w:rsidR="006054CF" w:rsidRPr="00507BD2">
        <w:rPr>
          <w:rFonts w:hAnsi="標楷體"/>
        </w:rPr>
        <w:t>4</w:t>
      </w:r>
      <w:r w:rsidRPr="00507BD2">
        <w:rPr>
          <w:rFonts w:hAnsi="標楷體" w:hint="eastAsia"/>
        </w:rPr>
        <w:t>年度</w:t>
      </w:r>
      <w:r w:rsidR="006A53C1" w:rsidRPr="00507BD2">
        <w:rPr>
          <w:rFonts w:hAnsi="標楷體" w:hint="eastAsia"/>
        </w:rPr>
        <w:t>預算案</w:t>
      </w:r>
      <w:r w:rsidRPr="00507BD2">
        <w:rPr>
          <w:rFonts w:hAnsi="標楷體" w:hint="eastAsia"/>
        </w:rPr>
        <w:t>「營業收入」編列</w:t>
      </w:r>
      <w:r w:rsidR="00BD467A" w:rsidRPr="00507BD2">
        <w:rPr>
          <w:rFonts w:hAnsi="標楷體"/>
        </w:rPr>
        <w:t>4,267</w:t>
      </w:r>
      <w:r w:rsidR="00BD467A" w:rsidRPr="00507BD2">
        <w:rPr>
          <w:rFonts w:hAnsi="標楷體" w:hint="eastAsia"/>
        </w:rPr>
        <w:t>億</w:t>
      </w:r>
      <w:r w:rsidR="00BD467A" w:rsidRPr="00507BD2">
        <w:rPr>
          <w:rFonts w:hAnsi="標楷體"/>
        </w:rPr>
        <w:t>8,139</w:t>
      </w:r>
      <w:r w:rsidR="00BD467A" w:rsidRPr="00507BD2">
        <w:rPr>
          <w:rFonts w:hAnsi="標楷體" w:hint="eastAsia"/>
        </w:rPr>
        <w:t>萬</w:t>
      </w:r>
      <w:r w:rsidR="00BD467A" w:rsidRPr="00507BD2">
        <w:rPr>
          <w:rFonts w:hAnsi="標楷體"/>
        </w:rPr>
        <w:t>9</w:t>
      </w:r>
      <w:r w:rsidRPr="00507BD2">
        <w:rPr>
          <w:rFonts w:hAnsi="標楷體" w:hint="eastAsia"/>
        </w:rPr>
        <w:t>千元，「營業成本」編列</w:t>
      </w:r>
      <w:r w:rsidR="00BD467A" w:rsidRPr="00507BD2">
        <w:rPr>
          <w:rFonts w:hAnsi="標楷體"/>
        </w:rPr>
        <w:t>2,484</w:t>
      </w:r>
      <w:r w:rsidR="00BD467A" w:rsidRPr="00507BD2">
        <w:rPr>
          <w:rFonts w:hAnsi="標楷體" w:hint="eastAsia"/>
        </w:rPr>
        <w:t>億</w:t>
      </w:r>
      <w:r w:rsidR="00BD467A" w:rsidRPr="00507BD2">
        <w:rPr>
          <w:rFonts w:hAnsi="標楷體"/>
        </w:rPr>
        <w:t>3,942</w:t>
      </w:r>
      <w:r w:rsidR="00BD467A" w:rsidRPr="00507BD2">
        <w:rPr>
          <w:rFonts w:hAnsi="標楷體" w:hint="eastAsia"/>
        </w:rPr>
        <w:t>萬</w:t>
      </w:r>
      <w:r w:rsidR="00BD467A" w:rsidRPr="00507BD2">
        <w:rPr>
          <w:rFonts w:hAnsi="標楷體"/>
        </w:rPr>
        <w:t>5</w:t>
      </w:r>
      <w:r w:rsidRPr="00507BD2">
        <w:rPr>
          <w:rFonts w:hAnsi="標楷體" w:hint="eastAsia"/>
        </w:rPr>
        <w:t>千元，「營業費用」編列</w:t>
      </w:r>
      <w:r w:rsidR="00BD467A" w:rsidRPr="00507BD2">
        <w:rPr>
          <w:rFonts w:hAnsi="標楷體"/>
        </w:rPr>
        <w:t>25</w:t>
      </w:r>
      <w:r w:rsidR="00BD467A" w:rsidRPr="00507BD2">
        <w:rPr>
          <w:rFonts w:hAnsi="標楷體" w:hint="eastAsia"/>
        </w:rPr>
        <w:t>億</w:t>
      </w:r>
      <w:r w:rsidR="00BD467A" w:rsidRPr="00507BD2">
        <w:rPr>
          <w:rFonts w:hAnsi="標楷體"/>
        </w:rPr>
        <w:t>960</w:t>
      </w:r>
      <w:r w:rsidR="00BD467A" w:rsidRPr="00507BD2">
        <w:rPr>
          <w:rFonts w:hAnsi="標楷體" w:hint="eastAsia"/>
        </w:rPr>
        <w:t>萬</w:t>
      </w:r>
      <w:r w:rsidR="00BD467A" w:rsidRPr="00507BD2">
        <w:rPr>
          <w:rFonts w:hAnsi="標楷體"/>
        </w:rPr>
        <w:t>5</w:t>
      </w:r>
      <w:r w:rsidRPr="00507BD2">
        <w:rPr>
          <w:rFonts w:hAnsi="標楷體" w:hint="eastAsia"/>
        </w:rPr>
        <w:t>千元，「營業利益」</w:t>
      </w:r>
      <w:r w:rsidR="000C6CB7" w:rsidRPr="00507BD2">
        <w:rPr>
          <w:rFonts w:hAnsi="標楷體" w:hint="eastAsia"/>
        </w:rPr>
        <w:t>編列</w:t>
      </w:r>
      <w:r w:rsidR="00BD467A" w:rsidRPr="00507BD2">
        <w:rPr>
          <w:rFonts w:hAnsi="標楷體"/>
        </w:rPr>
        <w:t>1,758</w:t>
      </w:r>
      <w:r w:rsidR="00BD467A" w:rsidRPr="00507BD2">
        <w:rPr>
          <w:rFonts w:hAnsi="標楷體" w:hint="eastAsia"/>
        </w:rPr>
        <w:t>億</w:t>
      </w:r>
      <w:r w:rsidR="00BD467A" w:rsidRPr="00507BD2">
        <w:rPr>
          <w:rFonts w:hAnsi="標楷體"/>
        </w:rPr>
        <w:t>3,236</w:t>
      </w:r>
      <w:r w:rsidR="00BD467A" w:rsidRPr="00507BD2">
        <w:rPr>
          <w:rFonts w:hAnsi="標楷體" w:hint="eastAsia"/>
        </w:rPr>
        <w:t>萬</w:t>
      </w:r>
      <w:r w:rsidR="00BD467A" w:rsidRPr="00507BD2">
        <w:rPr>
          <w:rFonts w:hAnsi="標楷體"/>
        </w:rPr>
        <w:t>9</w:t>
      </w:r>
      <w:r w:rsidR="000C6CB7" w:rsidRPr="00507BD2">
        <w:rPr>
          <w:rFonts w:hAnsi="標楷體" w:hint="eastAsia"/>
        </w:rPr>
        <w:t>千</w:t>
      </w:r>
      <w:r w:rsidRPr="00507BD2">
        <w:rPr>
          <w:rFonts w:hAnsi="標楷體" w:hint="eastAsia"/>
        </w:rPr>
        <w:t>元，</w:t>
      </w:r>
      <w:r w:rsidR="00A90610">
        <w:rPr>
          <w:rFonts w:hAnsi="標楷體" w:hint="eastAsia"/>
        </w:rPr>
        <w:t>營業利益加計</w:t>
      </w:r>
      <w:r w:rsidRPr="00507BD2">
        <w:rPr>
          <w:rFonts w:hAnsi="標楷體" w:hint="eastAsia"/>
        </w:rPr>
        <w:t>「營業外收入」</w:t>
      </w:r>
      <w:r w:rsidR="00BD467A" w:rsidRPr="00507BD2">
        <w:rPr>
          <w:rFonts w:hAnsi="標楷體"/>
        </w:rPr>
        <w:t>2</w:t>
      </w:r>
      <w:r w:rsidR="00BD467A" w:rsidRPr="00507BD2">
        <w:rPr>
          <w:rFonts w:hAnsi="標楷體" w:hint="eastAsia"/>
        </w:rPr>
        <w:t>億</w:t>
      </w:r>
      <w:r w:rsidR="00BD467A" w:rsidRPr="00507BD2">
        <w:rPr>
          <w:rFonts w:hAnsi="標楷體"/>
        </w:rPr>
        <w:t>2,763</w:t>
      </w:r>
      <w:r w:rsidR="00BD467A" w:rsidRPr="00507BD2">
        <w:rPr>
          <w:rFonts w:hAnsi="標楷體" w:hint="eastAsia"/>
        </w:rPr>
        <w:t>萬</w:t>
      </w:r>
      <w:r w:rsidR="00BD467A" w:rsidRPr="00507BD2">
        <w:rPr>
          <w:rFonts w:hAnsi="標楷體"/>
        </w:rPr>
        <w:t>3</w:t>
      </w:r>
      <w:r w:rsidRPr="00507BD2">
        <w:rPr>
          <w:rFonts w:hAnsi="標楷體" w:hint="eastAsia"/>
        </w:rPr>
        <w:t>千元，扣除「營業外費用」</w:t>
      </w:r>
      <w:r w:rsidR="005E6189" w:rsidRPr="00507BD2">
        <w:rPr>
          <w:rFonts w:hAnsi="標楷體"/>
        </w:rPr>
        <w:t>7</w:t>
      </w:r>
      <w:r w:rsidR="005E6189" w:rsidRPr="00507BD2">
        <w:rPr>
          <w:rFonts w:hAnsi="標楷體" w:hint="eastAsia"/>
        </w:rPr>
        <w:t>億</w:t>
      </w:r>
      <w:r w:rsidR="005E6189" w:rsidRPr="00507BD2">
        <w:rPr>
          <w:rFonts w:hAnsi="標楷體"/>
        </w:rPr>
        <w:t>4,000</w:t>
      </w:r>
      <w:r w:rsidR="005E6189" w:rsidRPr="00507BD2">
        <w:rPr>
          <w:rFonts w:hAnsi="標楷體" w:hint="eastAsia"/>
        </w:rPr>
        <w:t>萬</w:t>
      </w:r>
      <w:r w:rsidRPr="00507BD2">
        <w:rPr>
          <w:rFonts w:hAnsi="標楷體" w:hint="eastAsia"/>
        </w:rPr>
        <w:t>元後，</w:t>
      </w:r>
      <w:r w:rsidR="009D0693" w:rsidRPr="00507BD2">
        <w:rPr>
          <w:rFonts w:hAnsi="標楷體" w:hint="eastAsia"/>
        </w:rPr>
        <w:t>預計</w:t>
      </w:r>
      <w:r w:rsidRPr="00507BD2">
        <w:rPr>
          <w:rFonts w:hAnsi="標楷體" w:hint="eastAsia"/>
        </w:rPr>
        <w:t>本期淨利為</w:t>
      </w:r>
      <w:r w:rsidR="005E6189" w:rsidRPr="00507BD2">
        <w:rPr>
          <w:rFonts w:hAnsi="標楷體"/>
        </w:rPr>
        <w:t>1,753</w:t>
      </w:r>
      <w:r w:rsidR="005E6189" w:rsidRPr="00507BD2">
        <w:rPr>
          <w:rFonts w:hAnsi="標楷體" w:hint="eastAsia"/>
        </w:rPr>
        <w:t>億</w:t>
      </w:r>
      <w:r w:rsidR="005E6189" w:rsidRPr="00507BD2">
        <w:rPr>
          <w:rFonts w:hAnsi="標楷體"/>
        </w:rPr>
        <w:t>2,000</w:t>
      </w:r>
      <w:r w:rsidR="005E6189" w:rsidRPr="00507BD2">
        <w:rPr>
          <w:rFonts w:hAnsi="標楷體" w:hint="eastAsia"/>
        </w:rPr>
        <w:t>萬</w:t>
      </w:r>
      <w:r w:rsidR="005E6189" w:rsidRPr="00507BD2">
        <w:rPr>
          <w:rFonts w:hAnsi="標楷體"/>
        </w:rPr>
        <w:t>2</w:t>
      </w:r>
      <w:r w:rsidRPr="00507BD2">
        <w:rPr>
          <w:rFonts w:hAnsi="標楷體" w:hint="eastAsia"/>
        </w:rPr>
        <w:t>千元，較11</w:t>
      </w:r>
      <w:r w:rsidR="000C6CB7" w:rsidRPr="00507BD2">
        <w:rPr>
          <w:rFonts w:hAnsi="標楷體"/>
        </w:rPr>
        <w:t>3</w:t>
      </w:r>
      <w:r w:rsidRPr="00507BD2">
        <w:rPr>
          <w:rFonts w:hAnsi="標楷體" w:hint="eastAsia"/>
        </w:rPr>
        <w:t>年度預算</w:t>
      </w:r>
      <w:r w:rsidR="000C6CB7" w:rsidRPr="00507BD2">
        <w:rPr>
          <w:rFonts w:hAnsi="標楷體" w:hint="eastAsia"/>
        </w:rPr>
        <w:t>案數</w:t>
      </w:r>
      <w:r w:rsidR="005E6189" w:rsidRPr="00507BD2">
        <w:rPr>
          <w:rFonts w:hAnsi="標楷體"/>
        </w:rPr>
        <w:t>1,753</w:t>
      </w:r>
      <w:r w:rsidR="005E6189" w:rsidRPr="00507BD2">
        <w:rPr>
          <w:rFonts w:hAnsi="標楷體" w:hint="eastAsia"/>
        </w:rPr>
        <w:t>億</w:t>
      </w:r>
      <w:r w:rsidR="005E6189" w:rsidRPr="00507BD2">
        <w:rPr>
          <w:rFonts w:hAnsi="標楷體"/>
        </w:rPr>
        <w:t>546</w:t>
      </w:r>
      <w:r w:rsidR="005E6189" w:rsidRPr="00507BD2">
        <w:rPr>
          <w:rFonts w:hAnsi="標楷體" w:hint="eastAsia"/>
        </w:rPr>
        <w:t>萬</w:t>
      </w:r>
      <w:r w:rsidR="005E6189" w:rsidRPr="00507BD2">
        <w:rPr>
          <w:rFonts w:hAnsi="標楷體"/>
        </w:rPr>
        <w:t>2</w:t>
      </w:r>
      <w:r w:rsidRPr="00507BD2">
        <w:rPr>
          <w:rFonts w:hAnsi="標楷體" w:hint="eastAsia"/>
        </w:rPr>
        <w:t>千元增加</w:t>
      </w:r>
      <w:r w:rsidR="005E6189" w:rsidRPr="00507BD2">
        <w:rPr>
          <w:rFonts w:hAnsi="標楷體"/>
        </w:rPr>
        <w:t>1,454</w:t>
      </w:r>
      <w:r w:rsidR="00D57402" w:rsidRPr="00507BD2">
        <w:rPr>
          <w:rFonts w:hAnsi="標楷體" w:hint="eastAsia"/>
        </w:rPr>
        <w:t>萬</w:t>
      </w:r>
      <w:r w:rsidRPr="00507BD2">
        <w:rPr>
          <w:rFonts w:hAnsi="標楷體" w:hint="eastAsia"/>
        </w:rPr>
        <w:t>元</w:t>
      </w:r>
      <w:r w:rsidR="00EB438C" w:rsidRPr="00507BD2">
        <w:rPr>
          <w:rFonts w:hAnsi="標楷體" w:hint="eastAsia"/>
        </w:rPr>
        <w:t>(</w:t>
      </w:r>
      <w:r w:rsidR="009D0693" w:rsidRPr="00507BD2">
        <w:rPr>
          <w:rFonts w:hAnsi="標楷體" w:hint="eastAsia"/>
        </w:rPr>
        <w:t>增幅</w:t>
      </w:r>
      <w:r w:rsidR="00D57402" w:rsidRPr="00507BD2">
        <w:rPr>
          <w:rFonts w:hAnsi="標楷體" w:hint="eastAsia"/>
        </w:rPr>
        <w:t>0.01</w:t>
      </w:r>
      <w:r w:rsidR="009D0693" w:rsidRPr="00507BD2">
        <w:rPr>
          <w:rFonts w:hAnsi="標楷體" w:hint="eastAsia"/>
        </w:rPr>
        <w:t>%</w:t>
      </w:r>
      <w:r w:rsidR="00EB438C" w:rsidRPr="00507BD2">
        <w:rPr>
          <w:rFonts w:hAnsi="標楷體" w:hint="eastAsia"/>
        </w:rPr>
        <w:t>）</w:t>
      </w:r>
      <w:r w:rsidRPr="00507BD2">
        <w:rPr>
          <w:rFonts w:hAnsi="標楷體" w:hint="eastAsia"/>
        </w:rPr>
        <w:t>。茲就</w:t>
      </w:r>
      <w:r w:rsidR="006054CF" w:rsidRPr="00507BD2">
        <w:rPr>
          <w:rFonts w:hAnsi="標楷體" w:hint="eastAsia"/>
        </w:rPr>
        <w:t>該</w:t>
      </w:r>
      <w:r w:rsidRPr="00507BD2">
        <w:rPr>
          <w:rFonts w:hAnsi="標楷體" w:hint="eastAsia"/>
        </w:rPr>
        <w:t>行11</w:t>
      </w:r>
      <w:r w:rsidR="006054CF" w:rsidRPr="00507BD2">
        <w:rPr>
          <w:rFonts w:hAnsi="標楷體"/>
        </w:rPr>
        <w:t>4</w:t>
      </w:r>
      <w:r w:rsidR="006A53C1" w:rsidRPr="00507BD2">
        <w:rPr>
          <w:rFonts w:hAnsi="標楷體" w:hint="eastAsia"/>
        </w:rPr>
        <w:t>年</w:t>
      </w:r>
      <w:r w:rsidRPr="00507BD2">
        <w:rPr>
          <w:rFonts w:hAnsi="標楷體" w:hint="eastAsia"/>
        </w:rPr>
        <w:t>度營業預算案</w:t>
      </w:r>
      <w:r w:rsidR="006054CF" w:rsidRPr="00507BD2">
        <w:rPr>
          <w:rFonts w:hAnsi="標楷體" w:hint="eastAsia"/>
        </w:rPr>
        <w:t>評析</w:t>
      </w:r>
      <w:r w:rsidRPr="00507BD2">
        <w:rPr>
          <w:rFonts w:hAnsi="標楷體" w:hint="eastAsia"/>
        </w:rPr>
        <w:t>如下：</w:t>
      </w:r>
    </w:p>
    <w:p w:rsidR="00C75457" w:rsidRPr="00507BD2" w:rsidRDefault="00C75457" w:rsidP="00CE444F">
      <w:pPr>
        <w:pStyle w:val="14"/>
        <w:ind w:left="567" w:hanging="567"/>
        <w:rPr>
          <w:rFonts w:hAnsi="標楷體" w:hint="eastAsia"/>
        </w:rPr>
      </w:pPr>
      <w:bookmarkStart w:id="1" w:name="_Toc229476289"/>
      <w:bookmarkStart w:id="2" w:name="_Toc276390718"/>
      <w:bookmarkStart w:id="3" w:name="_Toc303763647"/>
      <w:bookmarkStart w:id="4" w:name="_Toc514147231"/>
      <w:bookmarkStart w:id="5" w:name="_Toc81923765"/>
      <w:bookmarkStart w:id="6" w:name="_Toc81923766"/>
      <w:bookmarkStart w:id="7" w:name="_Toc181965725"/>
      <w:r w:rsidRPr="00507BD2">
        <w:rPr>
          <w:rFonts w:hAnsi="標楷體" w:hint="eastAsia"/>
        </w:rPr>
        <w:t>一、</w:t>
      </w:r>
      <w:r w:rsidR="002334C6" w:rsidRPr="00507BD2">
        <w:rPr>
          <w:rFonts w:hAnsi="標楷體" w:hint="eastAsia"/>
        </w:rPr>
        <w:t>不動產貸款集中度問題猶存，113年度</w:t>
      </w:r>
      <w:r w:rsidR="00A90610">
        <w:rPr>
          <w:rFonts w:hAnsi="標楷體" w:hint="eastAsia"/>
        </w:rPr>
        <w:t>至8月底</w:t>
      </w:r>
      <w:r w:rsidR="002334C6" w:rsidRPr="00507BD2">
        <w:rPr>
          <w:rFonts w:hAnsi="標楷體" w:hint="eastAsia"/>
        </w:rPr>
        <w:t>購置住宅貸款餘額急速增加，</w:t>
      </w:r>
      <w:r w:rsidR="00EA5898" w:rsidRPr="00507BD2">
        <w:rPr>
          <w:rFonts w:hAnsi="標楷體" w:hint="eastAsia"/>
        </w:rPr>
        <w:t>多數銀行</w:t>
      </w:r>
      <w:r w:rsidR="00A90610">
        <w:rPr>
          <w:rFonts w:hAnsi="標楷體" w:hint="eastAsia"/>
        </w:rPr>
        <w:t>建築放款</w:t>
      </w:r>
      <w:r w:rsidR="00EA5898" w:rsidRPr="00507BD2">
        <w:rPr>
          <w:rFonts w:hAnsi="標楷體" w:hint="eastAsia"/>
        </w:rPr>
        <w:t>趨近法定</w:t>
      </w:r>
      <w:r w:rsidR="00854BFD">
        <w:rPr>
          <w:rFonts w:hAnsi="標楷體" w:hint="eastAsia"/>
        </w:rPr>
        <w:t>及內部警戒</w:t>
      </w:r>
      <w:r w:rsidR="00EA5898" w:rsidRPr="00507BD2">
        <w:rPr>
          <w:rFonts w:hAnsi="標楷體" w:hint="eastAsia"/>
        </w:rPr>
        <w:t>上限，</w:t>
      </w:r>
      <w:r w:rsidR="00C27307" w:rsidRPr="00507BD2">
        <w:rPr>
          <w:rFonts w:hAnsi="標楷體" w:hint="eastAsia"/>
        </w:rPr>
        <w:t>允宜</w:t>
      </w:r>
      <w:r w:rsidR="0080469D">
        <w:rPr>
          <w:rFonts w:hAnsi="標楷體" w:hint="eastAsia"/>
        </w:rPr>
        <w:t>滾動</w:t>
      </w:r>
      <w:r w:rsidR="00A2645A" w:rsidRPr="00507BD2">
        <w:rPr>
          <w:rFonts w:hAnsi="標楷體" w:hint="eastAsia"/>
        </w:rPr>
        <w:t>檢討選擇性信用管制措施</w:t>
      </w:r>
      <w:r w:rsidR="008405FD" w:rsidRPr="00507BD2">
        <w:rPr>
          <w:rFonts w:hAnsi="標楷體" w:hint="eastAsia"/>
        </w:rPr>
        <w:t>，俾</w:t>
      </w:r>
      <w:r w:rsidR="00BE29CB" w:rsidRPr="00507BD2">
        <w:rPr>
          <w:rFonts w:hAnsi="標楷體" w:hint="eastAsia"/>
        </w:rPr>
        <w:t>維</w:t>
      </w:r>
      <w:r w:rsidR="00854BFD">
        <w:rPr>
          <w:rFonts w:hAnsi="標楷體" w:hint="eastAsia"/>
        </w:rPr>
        <w:t>持</w:t>
      </w:r>
      <w:r w:rsidR="00BE29CB" w:rsidRPr="00507BD2">
        <w:rPr>
          <w:rFonts w:hAnsi="標楷體" w:hint="eastAsia"/>
        </w:rPr>
        <w:t>金融</w:t>
      </w:r>
      <w:r w:rsidR="00EB61E1">
        <w:rPr>
          <w:rFonts w:hAnsi="標楷體" w:hint="eastAsia"/>
        </w:rPr>
        <w:t>穩定</w:t>
      </w:r>
      <w:r w:rsidR="00BE29CB" w:rsidRPr="00507BD2">
        <w:rPr>
          <w:rFonts w:hAnsi="標楷體" w:hint="eastAsia"/>
        </w:rPr>
        <w:t>並兼顧</w:t>
      </w:r>
      <w:r w:rsidR="008E11C1" w:rsidRPr="00507BD2">
        <w:rPr>
          <w:rFonts w:hAnsi="標楷體" w:hint="eastAsia"/>
        </w:rPr>
        <w:t>民眾需求</w:t>
      </w:r>
      <w:bookmarkEnd w:id="7"/>
    </w:p>
    <w:p w:rsidR="00C75457" w:rsidRPr="00507BD2" w:rsidRDefault="00444C73" w:rsidP="00CE444F">
      <w:pPr>
        <w:ind w:left="566" w:firstLine="566"/>
        <w:rPr>
          <w:rFonts w:hAnsi="標楷體" w:hint="eastAsia"/>
        </w:rPr>
      </w:pPr>
      <w:r w:rsidRPr="00507BD2">
        <w:rPr>
          <w:rFonts w:hAnsi="標楷體" w:hint="eastAsia"/>
        </w:rPr>
        <w:t>央行114年度預算案</w:t>
      </w:r>
      <w:r w:rsidR="000E29C6" w:rsidRPr="00507BD2">
        <w:rPr>
          <w:rFonts w:hAnsi="標楷體" w:hint="eastAsia"/>
        </w:rPr>
        <w:t>於</w:t>
      </w:r>
      <w:r w:rsidRPr="00507BD2">
        <w:rPr>
          <w:rFonts w:hAnsi="標楷體" w:hint="eastAsia"/>
        </w:rPr>
        <w:t>「貳、經營政策」</w:t>
      </w:r>
      <w:r w:rsidR="00696714">
        <w:rPr>
          <w:rFonts w:hAnsi="標楷體" w:hint="eastAsia"/>
        </w:rPr>
        <w:t>-「一、調節金融」</w:t>
      </w:r>
      <w:r w:rsidRPr="00507BD2">
        <w:rPr>
          <w:rFonts w:hAnsi="標楷體" w:hint="eastAsia"/>
        </w:rPr>
        <w:t>列有「持續執行選擇性信用管制措施，督促金融機構控管不動產授信風險；配合行政院『健全房地產市場方案』，協助促進房地產市場健全發展。」</w:t>
      </w:r>
      <w:r w:rsidR="00B55562" w:rsidRPr="00507BD2">
        <w:rPr>
          <w:rFonts w:hAnsi="標楷體" w:hint="eastAsia"/>
        </w:rPr>
        <w:t>近年度不</w:t>
      </w:r>
      <w:r w:rsidR="00022CAB" w:rsidRPr="00507BD2">
        <w:rPr>
          <w:rFonts w:hAnsi="標楷體" w:hint="eastAsia"/>
        </w:rPr>
        <w:t>動產貸款餘額明顯上升</w:t>
      </w:r>
      <w:r w:rsidR="00B55562" w:rsidRPr="00507BD2">
        <w:rPr>
          <w:rFonts w:hAnsi="標楷體" w:hint="eastAsia"/>
        </w:rPr>
        <w:t>，</w:t>
      </w:r>
      <w:r w:rsidR="00C75457" w:rsidRPr="00507BD2">
        <w:rPr>
          <w:rFonts w:hAnsi="標楷體" w:hint="eastAsia"/>
        </w:rPr>
        <w:t>央行</w:t>
      </w:r>
      <w:r w:rsidR="00B55562" w:rsidRPr="00507BD2">
        <w:rPr>
          <w:rFonts w:hAnsi="標楷體" w:hint="eastAsia"/>
        </w:rPr>
        <w:t>實施</w:t>
      </w:r>
      <w:r w:rsidR="00C75457" w:rsidRPr="00507BD2">
        <w:rPr>
          <w:rFonts w:hAnsi="標楷體" w:hint="eastAsia"/>
        </w:rPr>
        <w:t>選擇性</w:t>
      </w:r>
      <w:r w:rsidR="0033609C" w:rsidRPr="00507BD2">
        <w:rPr>
          <w:rFonts w:hAnsi="標楷體" w:hint="eastAsia"/>
        </w:rPr>
        <w:t>信用</w:t>
      </w:r>
      <w:r w:rsidR="00C75457" w:rsidRPr="00507BD2">
        <w:rPr>
          <w:rFonts w:hAnsi="標楷體" w:hint="eastAsia"/>
        </w:rPr>
        <w:t>管制措施後</w:t>
      </w:r>
      <w:r w:rsidR="00022CAB" w:rsidRPr="00507BD2">
        <w:rPr>
          <w:rFonts w:hAnsi="標楷體" w:hint="eastAsia"/>
        </w:rPr>
        <w:t>集中度</w:t>
      </w:r>
      <w:r w:rsidR="00B55562" w:rsidRPr="00507BD2">
        <w:rPr>
          <w:rFonts w:hAnsi="標楷體" w:hint="eastAsia"/>
        </w:rPr>
        <w:t>仍居高不下</w:t>
      </w:r>
      <w:r w:rsidR="00961DD6" w:rsidRPr="00507BD2">
        <w:rPr>
          <w:rFonts w:hAnsi="標楷體" w:hint="eastAsia"/>
        </w:rPr>
        <w:t>，</w:t>
      </w:r>
      <w:r w:rsidR="006E0056" w:rsidRPr="00507BD2">
        <w:rPr>
          <w:rFonts w:hAnsi="標楷體" w:hint="eastAsia"/>
        </w:rPr>
        <w:t>多數</w:t>
      </w:r>
      <w:r w:rsidR="00B55562" w:rsidRPr="00507BD2">
        <w:rPr>
          <w:rFonts w:hAnsi="標楷體" w:hint="eastAsia"/>
        </w:rPr>
        <w:t>銀行</w:t>
      </w:r>
      <w:r w:rsidRPr="00507BD2">
        <w:rPr>
          <w:rFonts w:hAnsi="標楷體" w:hint="eastAsia"/>
        </w:rPr>
        <w:t>甚至</w:t>
      </w:r>
      <w:r w:rsidR="006060C5">
        <w:rPr>
          <w:rFonts w:hAnsi="標楷體" w:hint="eastAsia"/>
        </w:rPr>
        <w:t>趨</w:t>
      </w:r>
      <w:r w:rsidR="00B55562" w:rsidRPr="00507BD2">
        <w:rPr>
          <w:rFonts w:hAnsi="標楷體" w:hint="eastAsia"/>
        </w:rPr>
        <w:t>近銀行法第72條之2</w:t>
      </w:r>
      <w:r w:rsidR="006E0056" w:rsidRPr="00507BD2">
        <w:rPr>
          <w:rFonts w:hAnsi="標楷體" w:hint="eastAsia"/>
        </w:rPr>
        <w:t>及內部警戒</w:t>
      </w:r>
      <w:r w:rsidR="00B55562" w:rsidRPr="00507BD2">
        <w:rPr>
          <w:rFonts w:hAnsi="標楷體" w:hint="eastAsia"/>
        </w:rPr>
        <w:t>上限</w:t>
      </w:r>
      <w:r w:rsidRPr="00507BD2">
        <w:rPr>
          <w:rFonts w:hAnsi="標楷體" w:hint="eastAsia"/>
        </w:rPr>
        <w:t>，容有審慎管控必要</w:t>
      </w:r>
      <w:r w:rsidR="00C75457" w:rsidRPr="00507BD2">
        <w:rPr>
          <w:rFonts w:hAnsi="標楷體" w:hint="eastAsia"/>
        </w:rPr>
        <w:t>。</w:t>
      </w:r>
      <w:r w:rsidR="00454129" w:rsidRPr="00507BD2">
        <w:rPr>
          <w:rFonts w:hAnsi="標楷體" w:hint="eastAsia"/>
        </w:rPr>
        <w:t>謹</w:t>
      </w:r>
      <w:r w:rsidR="00C75457" w:rsidRPr="00507BD2">
        <w:rPr>
          <w:rFonts w:hAnsi="標楷體" w:hint="eastAsia"/>
        </w:rPr>
        <w:t>說明如下：</w:t>
      </w:r>
    </w:p>
    <w:p w:rsidR="00C75457" w:rsidRPr="00507BD2" w:rsidRDefault="00C75457" w:rsidP="00C75457">
      <w:pPr>
        <w:pStyle w:val="a4"/>
        <w:rPr>
          <w:rFonts w:hint="eastAsia"/>
          <w:b/>
        </w:rPr>
      </w:pPr>
      <w:r w:rsidRPr="00507BD2">
        <w:rPr>
          <w:rFonts w:hint="eastAsia"/>
          <w:b/>
        </w:rPr>
        <w:t>(一)</w:t>
      </w:r>
      <w:r w:rsidR="00022CAB" w:rsidRPr="00507BD2">
        <w:rPr>
          <w:rFonts w:hint="eastAsia"/>
          <w:b/>
        </w:rPr>
        <w:t>為</w:t>
      </w:r>
      <w:r w:rsidR="00AD5171" w:rsidRPr="00507BD2">
        <w:rPr>
          <w:rFonts w:hint="eastAsia"/>
          <w:b/>
        </w:rPr>
        <w:t>健全房市並使房價合理化</w:t>
      </w:r>
      <w:r w:rsidR="00C640A8" w:rsidRPr="00507BD2">
        <w:rPr>
          <w:rFonts w:hint="eastAsia"/>
          <w:b/>
        </w:rPr>
        <w:t>，</w:t>
      </w:r>
      <w:r w:rsidRPr="00507BD2">
        <w:rPr>
          <w:rFonts w:hint="eastAsia"/>
          <w:b/>
        </w:rPr>
        <w:t>央行</w:t>
      </w:r>
      <w:r w:rsidR="00503849" w:rsidRPr="00507BD2">
        <w:rPr>
          <w:rFonts w:hint="eastAsia"/>
          <w:b/>
        </w:rPr>
        <w:t>實施選擇性信用管制措施</w:t>
      </w:r>
      <w:r w:rsidR="00A4421F" w:rsidRPr="00507BD2">
        <w:rPr>
          <w:rFonts w:hint="eastAsia"/>
          <w:b/>
        </w:rPr>
        <w:t>，期引導信用資源有效配置及合理運用</w:t>
      </w:r>
    </w:p>
    <w:p w:rsidR="00781FC9" w:rsidRDefault="00C17B1F" w:rsidP="00EE4C60">
      <w:pPr>
        <w:pStyle w:val="21"/>
        <w:ind w:left="850" w:firstLine="566"/>
        <w:rPr>
          <w:rFonts w:hAnsi="標楷體"/>
        </w:rPr>
      </w:pPr>
      <w:r w:rsidRPr="00507BD2">
        <w:rPr>
          <w:rFonts w:hAnsi="標楷體" w:hint="eastAsia"/>
        </w:rPr>
        <w:t>因美中貿易戰供應鏈重組促使臺商資金回流及半導體投資帶動經濟發展，</w:t>
      </w:r>
      <w:r w:rsidR="00854BFD">
        <w:rPr>
          <w:rFonts w:hAnsi="標楷體" w:hint="eastAsia"/>
        </w:rPr>
        <w:t>加</w:t>
      </w:r>
      <w:r w:rsidRPr="00507BD2">
        <w:rPr>
          <w:rFonts w:hAnsi="標楷體" w:hint="eastAsia"/>
        </w:rPr>
        <w:t>以我國</w:t>
      </w:r>
      <w:r w:rsidR="00CD5989">
        <w:rPr>
          <w:rFonts w:hAnsi="標楷體" w:hint="eastAsia"/>
        </w:rPr>
        <w:t>利率</w:t>
      </w:r>
      <w:r w:rsidR="00A90610">
        <w:rPr>
          <w:rFonts w:hAnsi="標楷體" w:hint="eastAsia"/>
        </w:rPr>
        <w:t>相對</w:t>
      </w:r>
      <w:r w:rsidR="00CD5989">
        <w:rPr>
          <w:rFonts w:hAnsi="標楷體" w:hint="eastAsia"/>
        </w:rPr>
        <w:t>不高</w:t>
      </w:r>
      <w:r w:rsidRPr="00507BD2">
        <w:rPr>
          <w:rFonts w:hAnsi="標楷體" w:hint="eastAsia"/>
        </w:rPr>
        <w:t>，「青年安心成家購屋優惠貸款」</w:t>
      </w:r>
      <w:r w:rsidR="00022CAB" w:rsidRPr="00507BD2">
        <w:rPr>
          <w:rFonts w:hAnsi="標楷體" w:hint="eastAsia"/>
        </w:rPr>
        <w:t>(新青安貸款)</w:t>
      </w:r>
      <w:r w:rsidRPr="00507BD2">
        <w:rPr>
          <w:rFonts w:hAnsi="標楷體" w:hint="eastAsia"/>
        </w:rPr>
        <w:t>降低購屋門檻，致房價價格急劇上漲</w:t>
      </w:r>
      <w:r w:rsidR="00800409">
        <w:rPr>
          <w:rFonts w:hAnsi="標楷體" w:hint="eastAsia"/>
        </w:rPr>
        <w:t>(詳圖1)</w:t>
      </w:r>
      <w:r w:rsidRPr="00507BD2">
        <w:rPr>
          <w:rFonts w:hAnsi="標楷體" w:hint="eastAsia"/>
        </w:rPr>
        <w:t>，形成預期心理，衍生房貸增加</w:t>
      </w:r>
      <w:r w:rsidR="00A90610">
        <w:rPr>
          <w:rFonts w:hAnsi="標楷體" w:hint="eastAsia"/>
        </w:rPr>
        <w:t>，</w:t>
      </w:r>
      <w:r w:rsidRPr="00507BD2">
        <w:rPr>
          <w:rFonts w:hAnsi="標楷體" w:hint="eastAsia"/>
        </w:rPr>
        <w:t>政府亦加大補貼之</w:t>
      </w:r>
      <w:r w:rsidR="00A90610">
        <w:rPr>
          <w:rFonts w:hAnsi="標楷體" w:hint="eastAsia"/>
        </w:rPr>
        <w:t>現象</w:t>
      </w:r>
      <w:r w:rsidRPr="00507BD2">
        <w:rPr>
          <w:rFonts w:hAnsi="標楷體" w:hint="eastAsia"/>
        </w:rPr>
        <w:t>。</w:t>
      </w:r>
      <w:r w:rsidR="00781FC9" w:rsidRPr="00507BD2">
        <w:rPr>
          <w:rFonts w:hAnsi="標楷體" w:hint="eastAsia"/>
        </w:rPr>
        <w:t>為遏止炒作或不合理價量猖獗，</w:t>
      </w:r>
      <w:r w:rsidR="00AD5171" w:rsidRPr="00507BD2">
        <w:rPr>
          <w:rFonts w:hAnsi="標楷體" w:hint="eastAsia"/>
        </w:rPr>
        <w:t>健全房市並使房價合理化，</w:t>
      </w:r>
      <w:r w:rsidR="00EE4C60" w:rsidRPr="00507BD2">
        <w:rPr>
          <w:rFonts w:hAnsi="標楷體" w:hint="eastAsia"/>
        </w:rPr>
        <w:t>行</w:t>
      </w:r>
      <w:r w:rsidR="00EE4C60" w:rsidRPr="00507BD2">
        <w:rPr>
          <w:rFonts w:hAnsi="標楷體" w:hint="eastAsia"/>
        </w:rPr>
        <w:lastRenderedPageBreak/>
        <w:t>政院於109年12月3日推出「健全房地產市場方案」，相關部會陸續祭出多項因應措施，</w:t>
      </w:r>
      <w:r w:rsidR="00956CBA" w:rsidRPr="00507BD2">
        <w:rPr>
          <w:rFonts w:hAnsi="標楷體" w:hint="eastAsia"/>
        </w:rPr>
        <w:t>央行就</w:t>
      </w:r>
      <w:r w:rsidR="00A4421F" w:rsidRPr="00507BD2">
        <w:rPr>
          <w:rFonts w:hAnsi="標楷體" w:hint="eastAsia"/>
        </w:rPr>
        <w:t>職掌</w:t>
      </w:r>
      <w:r w:rsidR="00956CBA" w:rsidRPr="00507BD2">
        <w:rPr>
          <w:rFonts w:hAnsi="標楷體" w:hint="eastAsia"/>
        </w:rPr>
        <w:t>業務</w:t>
      </w:r>
      <w:r w:rsidR="00A53844">
        <w:rPr>
          <w:rFonts w:hAnsi="標楷體" w:hint="eastAsia"/>
        </w:rPr>
        <w:t>陸續</w:t>
      </w:r>
      <w:r w:rsidR="00761751" w:rsidRPr="00507BD2">
        <w:rPr>
          <w:rFonts w:hAnsi="標楷體" w:hint="eastAsia"/>
        </w:rPr>
        <w:t>實施選擇性信用管制措施，</w:t>
      </w:r>
      <w:r w:rsidR="00BF0F46" w:rsidRPr="00507BD2">
        <w:rPr>
          <w:rFonts w:hAnsi="標楷體" w:hint="eastAsia"/>
        </w:rPr>
        <w:t>修訂</w:t>
      </w:r>
      <w:r w:rsidR="00956CBA" w:rsidRPr="00507BD2">
        <w:rPr>
          <w:rFonts w:hAnsi="標楷體" w:hint="eastAsia"/>
        </w:rPr>
        <w:t>「</w:t>
      </w:r>
      <w:r w:rsidR="00EE4C60" w:rsidRPr="00507BD2">
        <w:rPr>
          <w:rFonts w:hAnsi="標楷體" w:hint="eastAsia"/>
        </w:rPr>
        <w:t>中央銀行對金融機構辦理不動產抵押貸款業務規定</w:t>
      </w:r>
      <w:r w:rsidR="00956CBA" w:rsidRPr="00507BD2">
        <w:rPr>
          <w:rFonts w:hAnsi="標楷體" w:hint="eastAsia"/>
        </w:rPr>
        <w:t>」</w:t>
      </w:r>
      <w:r w:rsidR="00EE4C60" w:rsidRPr="00507BD2">
        <w:rPr>
          <w:rFonts w:hAnsi="標楷體" w:hint="eastAsia"/>
        </w:rPr>
        <w:t>，期</w:t>
      </w:r>
      <w:r w:rsidR="00B55562" w:rsidRPr="00507BD2">
        <w:rPr>
          <w:rFonts w:hAnsi="標楷體" w:hint="eastAsia"/>
        </w:rPr>
        <w:t>引導信用資源有效配置及合理運用，並控管銀行授信風險。</w:t>
      </w:r>
    </w:p>
    <w:p w:rsidR="00667DBD" w:rsidRDefault="00E924A2" w:rsidP="007E7FCC">
      <w:pPr>
        <w:pStyle w:val="21"/>
        <w:ind w:leftChars="0" w:left="0" w:firstLineChars="0" w:firstLine="0"/>
        <w:rPr>
          <w:rFonts w:hAnsi="標楷體" w:hint="eastAsia"/>
        </w:rPr>
      </w:pPr>
      <w:r>
        <w:rPr>
          <w:noProof/>
        </w:rPr>
        <w:drawing>
          <wp:anchor distT="0" distB="0" distL="114300" distR="114300" simplePos="0" relativeHeight="251657728" behindDoc="0" locked="0" layoutInCell="1" allowOverlap="1">
            <wp:simplePos x="0" y="0"/>
            <wp:positionH relativeFrom="column">
              <wp:posOffset>-514985</wp:posOffset>
            </wp:positionH>
            <wp:positionV relativeFrom="paragraph">
              <wp:posOffset>329565</wp:posOffset>
            </wp:positionV>
            <wp:extent cx="6559550" cy="2555875"/>
            <wp:effectExtent l="0" t="0" r="0" b="0"/>
            <wp:wrapSquare wrapText="bothSides"/>
            <wp:docPr id="7" name="圖片 7" descr="房地產指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房地產指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59550" cy="2555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7DBD">
        <w:rPr>
          <w:rFonts w:hint="eastAsia"/>
          <w:b/>
        </w:rPr>
        <w:t>圖1</w:t>
      </w:r>
      <w:r w:rsidR="00667DBD" w:rsidRPr="00507BD2">
        <w:rPr>
          <w:rFonts w:hAnsi="標楷體" w:hint="eastAsia"/>
          <w:b/>
        </w:rPr>
        <w:t xml:space="preserve"> 10</w:t>
      </w:r>
      <w:r w:rsidR="00667DBD">
        <w:rPr>
          <w:b/>
        </w:rPr>
        <w:t>7</w:t>
      </w:r>
      <w:r w:rsidR="00667DBD" w:rsidRPr="00507BD2">
        <w:rPr>
          <w:rFonts w:hAnsi="標楷體" w:hint="eastAsia"/>
          <w:b/>
        </w:rPr>
        <w:t>至11</w:t>
      </w:r>
      <w:r w:rsidR="00667DBD" w:rsidRPr="00507BD2">
        <w:rPr>
          <w:rFonts w:hAnsi="標楷體"/>
          <w:b/>
        </w:rPr>
        <w:t>3</w:t>
      </w:r>
      <w:r w:rsidR="00667DBD" w:rsidRPr="00507BD2">
        <w:rPr>
          <w:rFonts w:hAnsi="標楷體" w:hint="eastAsia"/>
          <w:b/>
        </w:rPr>
        <w:t>年</w:t>
      </w:r>
      <w:r w:rsidR="00667DBD">
        <w:rPr>
          <w:rFonts w:hint="eastAsia"/>
          <w:b/>
        </w:rPr>
        <w:t>第</w:t>
      </w:r>
      <w:r w:rsidR="00C11884">
        <w:rPr>
          <w:b/>
        </w:rPr>
        <w:t>3</w:t>
      </w:r>
      <w:r w:rsidR="00667DBD">
        <w:rPr>
          <w:rFonts w:hint="eastAsia"/>
          <w:b/>
        </w:rPr>
        <w:t>季國泰房地產指數走勢圖</w:t>
      </w:r>
    </w:p>
    <w:p w:rsidR="00800409" w:rsidRDefault="00800409" w:rsidP="007E7FCC">
      <w:pPr>
        <w:pStyle w:val="142"/>
      </w:pPr>
      <w:r w:rsidRPr="00667DBD">
        <w:rPr>
          <w:rStyle w:val="143"/>
          <w:rFonts w:hint="eastAsia"/>
        </w:rPr>
        <w:t>資料來源：內政部不動產資訊平臺。</w:t>
      </w:r>
    </w:p>
    <w:p w:rsidR="00C84F3E" w:rsidRDefault="00EE4C60" w:rsidP="00EE4C60">
      <w:pPr>
        <w:pStyle w:val="21"/>
        <w:ind w:left="850" w:firstLine="566"/>
        <w:rPr>
          <w:rFonts w:hAnsi="標楷體"/>
        </w:rPr>
      </w:pPr>
      <w:r w:rsidRPr="00507BD2">
        <w:rPr>
          <w:rFonts w:hAnsi="標楷體" w:hint="eastAsia"/>
        </w:rPr>
        <w:t>由</w:t>
      </w:r>
      <w:r w:rsidR="00B457A3" w:rsidRPr="00507BD2">
        <w:rPr>
          <w:rFonts w:hAnsi="標楷體" w:hint="eastAsia"/>
        </w:rPr>
        <w:t>7次</w:t>
      </w:r>
      <w:r w:rsidR="003C7857" w:rsidRPr="00507BD2">
        <w:rPr>
          <w:rFonts w:hAnsi="標楷體" w:hint="eastAsia"/>
        </w:rPr>
        <w:t>調整</w:t>
      </w:r>
      <w:r w:rsidR="00CE5711" w:rsidRPr="00507BD2">
        <w:rPr>
          <w:rFonts w:hAnsi="標楷體" w:hint="eastAsia"/>
        </w:rPr>
        <w:t>內容</w:t>
      </w:r>
      <w:r w:rsidRPr="00507BD2">
        <w:rPr>
          <w:rFonts w:hAnsi="標楷體" w:hint="eastAsia"/>
        </w:rPr>
        <w:t>以觀(詳表1)，</w:t>
      </w:r>
      <w:r w:rsidR="00C84F3E" w:rsidRPr="00507BD2">
        <w:rPr>
          <w:rFonts w:hAnsi="標楷體" w:hint="eastAsia"/>
        </w:rPr>
        <w:t>規範</w:t>
      </w:r>
      <w:r w:rsidR="00B457A3" w:rsidRPr="00507BD2">
        <w:rPr>
          <w:rFonts w:hAnsi="標楷體" w:hint="eastAsia"/>
        </w:rPr>
        <w:t>項目包括</w:t>
      </w:r>
      <w:r w:rsidR="00C84F3E" w:rsidRPr="00507BD2">
        <w:rPr>
          <w:rFonts w:hAnsi="標楷體" w:hint="eastAsia"/>
        </w:rPr>
        <w:t>金融機構承作公司法人購置住宅貸款</w:t>
      </w:r>
      <w:r w:rsidR="0095653E" w:rsidRPr="00507BD2">
        <w:rPr>
          <w:rFonts w:hAnsi="標楷體" w:hint="eastAsia"/>
        </w:rPr>
        <w:t>成數、自然人購置高價住宅及特定地區購屋貸款成數</w:t>
      </w:r>
      <w:r w:rsidR="00C84F3E" w:rsidRPr="00507BD2">
        <w:rPr>
          <w:rFonts w:hAnsi="標楷體" w:hint="eastAsia"/>
        </w:rPr>
        <w:t>、購地貸款</w:t>
      </w:r>
      <w:r w:rsidR="0095653E" w:rsidRPr="00507BD2">
        <w:rPr>
          <w:rFonts w:hAnsi="標楷體" w:hint="eastAsia"/>
        </w:rPr>
        <w:t>成數</w:t>
      </w:r>
      <w:r w:rsidR="00C84F3E" w:rsidRPr="00507BD2">
        <w:rPr>
          <w:rFonts w:hAnsi="標楷體" w:hint="eastAsia"/>
        </w:rPr>
        <w:t>、餘屋貸款</w:t>
      </w:r>
      <w:r w:rsidR="00BF218A" w:rsidRPr="00507BD2">
        <w:rPr>
          <w:rFonts w:hAnsi="標楷體" w:hint="eastAsia"/>
        </w:rPr>
        <w:t>額度</w:t>
      </w:r>
      <w:r w:rsidR="0095653E" w:rsidRPr="00507BD2">
        <w:rPr>
          <w:rFonts w:hAnsi="標楷體" w:hint="eastAsia"/>
        </w:rPr>
        <w:t>及工業區閒置土地抵押貸款成數</w:t>
      </w:r>
      <w:r w:rsidR="00BF218A" w:rsidRPr="00507BD2">
        <w:rPr>
          <w:rFonts w:hAnsi="標楷體" w:hint="eastAsia"/>
        </w:rPr>
        <w:t>。嗣銀行信用資源向不動產相關部門傾斜之情勢更加嚴峻，為免過度流向不動產市場，不利金融穩定與經濟永續發展，爰</w:t>
      </w:r>
      <w:r w:rsidR="000E56BC" w:rsidRPr="00507BD2">
        <w:rPr>
          <w:rFonts w:hAnsi="標楷體" w:hint="eastAsia"/>
        </w:rPr>
        <w:t>自</w:t>
      </w:r>
      <w:r w:rsidR="00CE5711" w:rsidRPr="00507BD2">
        <w:rPr>
          <w:rFonts w:hAnsi="標楷體" w:hint="eastAsia"/>
        </w:rPr>
        <w:t>113年9月20日起</w:t>
      </w:r>
      <w:r w:rsidR="003C7857" w:rsidRPr="00507BD2">
        <w:rPr>
          <w:rFonts w:hAnsi="標楷體" w:hint="eastAsia"/>
        </w:rPr>
        <w:t>再</w:t>
      </w:r>
      <w:r w:rsidR="00A62E16" w:rsidRPr="00507BD2">
        <w:rPr>
          <w:rFonts w:hAnsi="標楷體" w:hint="eastAsia"/>
        </w:rPr>
        <w:t>調降</w:t>
      </w:r>
      <w:r w:rsidR="0095653E" w:rsidRPr="00507BD2">
        <w:rPr>
          <w:rFonts w:hAnsi="標楷體" w:hint="eastAsia"/>
        </w:rPr>
        <w:t>貸款成數</w:t>
      </w:r>
      <w:r w:rsidR="00B457A3" w:rsidRPr="00507BD2">
        <w:rPr>
          <w:rFonts w:hAnsi="標楷體" w:hint="eastAsia"/>
        </w:rPr>
        <w:t>，自然人購置第2戶貸款</w:t>
      </w:r>
      <w:r w:rsidR="0095653E" w:rsidRPr="00507BD2">
        <w:rPr>
          <w:rFonts w:hAnsi="標楷體" w:hint="eastAsia"/>
        </w:rPr>
        <w:t>成數</w:t>
      </w:r>
      <w:r w:rsidR="00A62E16" w:rsidRPr="00507BD2">
        <w:rPr>
          <w:rFonts w:hAnsi="標楷體" w:hint="eastAsia"/>
        </w:rPr>
        <w:t>實施地區</w:t>
      </w:r>
      <w:r w:rsidR="000E56BC" w:rsidRPr="00507BD2">
        <w:rPr>
          <w:rFonts w:hAnsi="標楷體" w:hint="eastAsia"/>
        </w:rPr>
        <w:t>更</w:t>
      </w:r>
      <w:r w:rsidR="00B457A3" w:rsidRPr="00507BD2">
        <w:rPr>
          <w:rFonts w:hAnsi="標楷體" w:hint="eastAsia"/>
        </w:rPr>
        <w:t>擴及全國。</w:t>
      </w:r>
    </w:p>
    <w:p w:rsidR="00C75457" w:rsidRPr="00507BD2" w:rsidRDefault="00C75457" w:rsidP="00BF0F46">
      <w:pPr>
        <w:pStyle w:val="ad"/>
        <w:ind w:left="283" w:hanging="283"/>
        <w:rPr>
          <w:rFonts w:hAnsi="標楷體" w:hint="eastAsia"/>
          <w:b/>
        </w:rPr>
      </w:pPr>
      <w:r w:rsidRPr="00507BD2">
        <w:rPr>
          <w:rFonts w:hAnsi="標楷體" w:hint="eastAsia"/>
          <w:b/>
        </w:rPr>
        <w:t>表1</w:t>
      </w:r>
      <w:r w:rsidR="00BF0F46" w:rsidRPr="00507BD2">
        <w:rPr>
          <w:rFonts w:hAnsi="標楷體" w:hint="eastAsia"/>
          <w:b/>
        </w:rPr>
        <w:t xml:space="preserve"> </w:t>
      </w:r>
      <w:r w:rsidRPr="00507BD2">
        <w:rPr>
          <w:rFonts w:hAnsi="標楷體" w:hint="eastAsia"/>
          <w:b/>
        </w:rPr>
        <w:t>截至1</w:t>
      </w:r>
      <w:r w:rsidRPr="00507BD2">
        <w:rPr>
          <w:rFonts w:hAnsi="標楷體"/>
          <w:b/>
        </w:rPr>
        <w:t>1</w:t>
      </w:r>
      <w:r w:rsidR="00943025" w:rsidRPr="00507BD2">
        <w:rPr>
          <w:rFonts w:hAnsi="標楷體"/>
          <w:b/>
        </w:rPr>
        <w:t>3</w:t>
      </w:r>
      <w:r w:rsidRPr="00507BD2">
        <w:rPr>
          <w:rFonts w:hAnsi="標楷體"/>
          <w:b/>
        </w:rPr>
        <w:t>年</w:t>
      </w:r>
      <w:r w:rsidR="00943025" w:rsidRPr="00507BD2">
        <w:rPr>
          <w:rFonts w:hAnsi="標楷體" w:hint="eastAsia"/>
          <w:b/>
        </w:rPr>
        <w:t>9</w:t>
      </w:r>
      <w:r w:rsidR="00943025" w:rsidRPr="00507BD2">
        <w:rPr>
          <w:rFonts w:hAnsi="標楷體"/>
          <w:b/>
        </w:rPr>
        <w:t>月25</w:t>
      </w:r>
      <w:r w:rsidR="00943025" w:rsidRPr="00507BD2">
        <w:rPr>
          <w:rFonts w:hAnsi="標楷體" w:hint="eastAsia"/>
          <w:b/>
        </w:rPr>
        <w:t>日</w:t>
      </w:r>
      <w:r w:rsidR="00BF0F46" w:rsidRPr="00507BD2">
        <w:rPr>
          <w:rFonts w:hAnsi="標楷體" w:hint="eastAsia"/>
          <w:b/>
        </w:rPr>
        <w:t>止</w:t>
      </w:r>
      <w:r w:rsidRPr="00507BD2">
        <w:rPr>
          <w:rFonts w:hAnsi="標楷體" w:hint="eastAsia"/>
          <w:b/>
        </w:rPr>
        <w:t>央行選擇性信用管制措施調整情形表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94"/>
        <w:gridCol w:w="1456"/>
        <w:gridCol w:w="1132"/>
        <w:gridCol w:w="1105"/>
        <w:gridCol w:w="1017"/>
        <w:gridCol w:w="926"/>
        <w:gridCol w:w="926"/>
        <w:gridCol w:w="926"/>
        <w:gridCol w:w="836"/>
      </w:tblGrid>
      <w:tr w:rsidR="00BF0F46" w:rsidRPr="00507BD2" w:rsidTr="00EB398E">
        <w:trPr>
          <w:trHeight w:val="20"/>
          <w:tblHeader/>
        </w:trPr>
        <w:tc>
          <w:tcPr>
            <w:tcW w:w="1015" w:type="pct"/>
            <w:gridSpan w:val="2"/>
            <w:vMerge w:val="restart"/>
            <w:shd w:val="clear" w:color="auto" w:fill="auto"/>
            <w:vAlign w:val="center"/>
          </w:tcPr>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貸款項目</w:t>
            </w:r>
          </w:p>
        </w:tc>
        <w:tc>
          <w:tcPr>
            <w:tcW w:w="3985" w:type="pct"/>
            <w:gridSpan w:val="7"/>
          </w:tcPr>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貸款條件</w:t>
            </w:r>
          </w:p>
        </w:tc>
      </w:tr>
      <w:tr w:rsidR="00BF0F46" w:rsidRPr="00507BD2" w:rsidTr="00EB398E">
        <w:trPr>
          <w:trHeight w:val="20"/>
          <w:tblHeader/>
        </w:trPr>
        <w:tc>
          <w:tcPr>
            <w:tcW w:w="1015" w:type="pct"/>
            <w:gridSpan w:val="2"/>
            <w:vMerge/>
            <w:shd w:val="clear" w:color="auto" w:fill="auto"/>
          </w:tcPr>
          <w:p w:rsidR="00BF0F46" w:rsidRPr="00507BD2" w:rsidRDefault="00BF0F46" w:rsidP="00BF0F46">
            <w:pPr>
              <w:spacing w:line="280" w:lineRule="exact"/>
              <w:ind w:leftChars="0" w:left="0" w:firstLineChars="0" w:firstLine="0"/>
              <w:jc w:val="center"/>
              <w:rPr>
                <w:rFonts w:hAnsi="標楷體"/>
                <w:b/>
                <w:spacing w:val="-20"/>
                <w:sz w:val="22"/>
                <w:szCs w:val="22"/>
              </w:rPr>
            </w:pPr>
          </w:p>
        </w:tc>
        <w:tc>
          <w:tcPr>
            <w:tcW w:w="657" w:type="pct"/>
            <w:shd w:val="clear" w:color="auto" w:fill="auto"/>
            <w:vAlign w:val="center"/>
          </w:tcPr>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109.12.8</w:t>
            </w:r>
          </w:p>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~110.3.18</w:t>
            </w:r>
          </w:p>
        </w:tc>
        <w:tc>
          <w:tcPr>
            <w:tcW w:w="641" w:type="pct"/>
            <w:shd w:val="clear" w:color="auto" w:fill="auto"/>
            <w:vAlign w:val="center"/>
          </w:tcPr>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110.3.19</w:t>
            </w:r>
          </w:p>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~110.9.23</w:t>
            </w:r>
          </w:p>
        </w:tc>
        <w:tc>
          <w:tcPr>
            <w:tcW w:w="590" w:type="pct"/>
          </w:tcPr>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110.9.24</w:t>
            </w:r>
          </w:p>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~110.12.16</w:t>
            </w:r>
          </w:p>
        </w:tc>
        <w:tc>
          <w:tcPr>
            <w:tcW w:w="537" w:type="pct"/>
            <w:vAlign w:val="center"/>
          </w:tcPr>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110.12.16</w:t>
            </w:r>
          </w:p>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w:t>
            </w:r>
            <w:r w:rsidRPr="00507BD2">
              <w:rPr>
                <w:rFonts w:hAnsi="標楷體" w:hint="eastAsia"/>
                <w:b/>
                <w:spacing w:val="-20"/>
                <w:sz w:val="22"/>
                <w:szCs w:val="22"/>
              </w:rPr>
              <w:t>2</w:t>
            </w:r>
            <w:r w:rsidRPr="00507BD2">
              <w:rPr>
                <w:rFonts w:hAnsi="標楷體"/>
                <w:b/>
                <w:spacing w:val="-20"/>
                <w:sz w:val="22"/>
                <w:szCs w:val="22"/>
              </w:rPr>
              <w:t>.</w:t>
            </w:r>
            <w:r w:rsidRPr="00507BD2">
              <w:rPr>
                <w:rFonts w:hAnsi="標楷體" w:hint="eastAsia"/>
                <w:b/>
                <w:spacing w:val="-20"/>
                <w:sz w:val="22"/>
                <w:szCs w:val="22"/>
              </w:rPr>
              <w:t>6</w:t>
            </w:r>
            <w:r w:rsidRPr="00507BD2">
              <w:rPr>
                <w:rFonts w:hAnsi="標楷體"/>
                <w:b/>
                <w:spacing w:val="-20"/>
                <w:sz w:val="22"/>
                <w:szCs w:val="22"/>
              </w:rPr>
              <w:t>.</w:t>
            </w:r>
            <w:r w:rsidRPr="00507BD2">
              <w:rPr>
                <w:rFonts w:hAnsi="標楷體" w:hint="eastAsia"/>
                <w:b/>
                <w:spacing w:val="-20"/>
                <w:sz w:val="22"/>
                <w:szCs w:val="22"/>
              </w:rPr>
              <w:t>15</w:t>
            </w:r>
          </w:p>
        </w:tc>
        <w:tc>
          <w:tcPr>
            <w:tcW w:w="537" w:type="pct"/>
          </w:tcPr>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112.6.16</w:t>
            </w:r>
          </w:p>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~113.6.13</w:t>
            </w:r>
          </w:p>
        </w:tc>
        <w:tc>
          <w:tcPr>
            <w:tcW w:w="537" w:type="pct"/>
          </w:tcPr>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113.6.14</w:t>
            </w:r>
          </w:p>
          <w:p w:rsidR="00BF0F46" w:rsidRPr="00507BD2" w:rsidRDefault="00BF0F46" w:rsidP="00BF0F46">
            <w:pPr>
              <w:spacing w:line="280" w:lineRule="exact"/>
              <w:ind w:leftChars="0" w:left="0" w:firstLineChars="0" w:firstLine="0"/>
              <w:jc w:val="center"/>
              <w:rPr>
                <w:rFonts w:hAnsi="標楷體"/>
                <w:b/>
                <w:spacing w:val="-20"/>
                <w:sz w:val="22"/>
                <w:szCs w:val="22"/>
              </w:rPr>
            </w:pPr>
            <w:r w:rsidRPr="00507BD2">
              <w:rPr>
                <w:rFonts w:hAnsi="標楷體"/>
                <w:b/>
                <w:spacing w:val="-20"/>
                <w:sz w:val="22"/>
                <w:szCs w:val="22"/>
              </w:rPr>
              <w:t>~113.</w:t>
            </w:r>
            <w:r w:rsidRPr="00507BD2">
              <w:rPr>
                <w:rFonts w:hAnsi="標楷體" w:hint="eastAsia"/>
                <w:b/>
                <w:spacing w:val="-20"/>
                <w:sz w:val="22"/>
                <w:szCs w:val="22"/>
              </w:rPr>
              <w:t>9</w:t>
            </w:r>
            <w:r w:rsidRPr="00507BD2">
              <w:rPr>
                <w:rFonts w:hAnsi="標楷體"/>
                <w:b/>
                <w:spacing w:val="-20"/>
                <w:sz w:val="22"/>
                <w:szCs w:val="22"/>
              </w:rPr>
              <w:t>.</w:t>
            </w:r>
            <w:r w:rsidRPr="00507BD2">
              <w:rPr>
                <w:rFonts w:hAnsi="標楷體" w:hint="eastAsia"/>
                <w:b/>
                <w:spacing w:val="-20"/>
                <w:sz w:val="22"/>
                <w:szCs w:val="22"/>
              </w:rPr>
              <w:t>19</w:t>
            </w:r>
          </w:p>
        </w:tc>
        <w:tc>
          <w:tcPr>
            <w:tcW w:w="485" w:type="pct"/>
            <w:vAlign w:val="center"/>
          </w:tcPr>
          <w:p w:rsidR="00BF0F46" w:rsidRPr="00507BD2" w:rsidRDefault="00BF0F46" w:rsidP="00BF0F46">
            <w:pPr>
              <w:spacing w:line="280" w:lineRule="exact"/>
              <w:ind w:leftChars="0" w:left="0" w:firstLineChars="0" w:firstLine="0"/>
              <w:jc w:val="center"/>
              <w:rPr>
                <w:rFonts w:hAnsi="標楷體" w:hint="eastAsia"/>
                <w:b/>
                <w:spacing w:val="-40"/>
                <w:sz w:val="22"/>
                <w:szCs w:val="22"/>
              </w:rPr>
            </w:pPr>
            <w:r w:rsidRPr="00507BD2">
              <w:rPr>
                <w:rFonts w:hAnsi="標楷體"/>
                <w:b/>
                <w:spacing w:val="-40"/>
                <w:sz w:val="22"/>
                <w:szCs w:val="22"/>
              </w:rPr>
              <w:t>113.</w:t>
            </w:r>
            <w:r w:rsidRPr="00507BD2">
              <w:rPr>
                <w:rFonts w:hAnsi="標楷體" w:hint="eastAsia"/>
                <w:b/>
                <w:spacing w:val="-40"/>
                <w:sz w:val="22"/>
                <w:szCs w:val="22"/>
              </w:rPr>
              <w:t>9</w:t>
            </w:r>
            <w:r w:rsidRPr="00507BD2">
              <w:rPr>
                <w:rFonts w:hAnsi="標楷體"/>
                <w:b/>
                <w:spacing w:val="-40"/>
                <w:sz w:val="22"/>
                <w:szCs w:val="22"/>
              </w:rPr>
              <w:t>.</w:t>
            </w:r>
            <w:r w:rsidRPr="00507BD2">
              <w:rPr>
                <w:rFonts w:hAnsi="標楷體" w:hint="eastAsia"/>
                <w:b/>
                <w:spacing w:val="-40"/>
                <w:sz w:val="22"/>
                <w:szCs w:val="22"/>
              </w:rPr>
              <w:t>20起</w:t>
            </w:r>
          </w:p>
        </w:tc>
      </w:tr>
      <w:tr w:rsidR="00BF0F46" w:rsidRPr="00507BD2" w:rsidTr="00EB398E">
        <w:trPr>
          <w:trHeight w:val="20"/>
        </w:trPr>
        <w:tc>
          <w:tcPr>
            <w:tcW w:w="171" w:type="pct"/>
            <w:vMerge w:val="restar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公</w:t>
            </w:r>
          </w:p>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司</w:t>
            </w:r>
          </w:p>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法</w:t>
            </w:r>
          </w:p>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人</w:t>
            </w:r>
          </w:p>
        </w:tc>
        <w:tc>
          <w:tcPr>
            <w:tcW w:w="845" w:type="pct"/>
            <w:shd w:val="clear" w:color="auto" w:fill="auto"/>
            <w:vAlign w:val="center"/>
          </w:tcPr>
          <w:p w:rsidR="00BF0F46" w:rsidRPr="00507BD2" w:rsidRDefault="00BF0F46" w:rsidP="00BF0F46">
            <w:pPr>
              <w:spacing w:line="280" w:lineRule="exact"/>
              <w:ind w:leftChars="0" w:left="0" w:firstLineChars="0" w:firstLine="0"/>
              <w:rPr>
                <w:rFonts w:hAnsi="標楷體"/>
                <w:sz w:val="22"/>
                <w:szCs w:val="22"/>
              </w:rPr>
            </w:pPr>
            <w:r w:rsidRPr="00507BD2">
              <w:rPr>
                <w:rFonts w:hAnsi="標楷體"/>
                <w:sz w:val="22"/>
                <w:szCs w:val="22"/>
              </w:rPr>
              <w:t>第1戶購置住宅貸款</w:t>
            </w:r>
          </w:p>
        </w:tc>
        <w:tc>
          <w:tcPr>
            <w:tcW w:w="657" w:type="pct"/>
            <w:shd w:val="clear" w:color="auto" w:fill="auto"/>
            <w:vAlign w:val="center"/>
          </w:tcPr>
          <w:p w:rsidR="00F413FE"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6成，</w:t>
            </w:r>
          </w:p>
          <w:p w:rsidR="00BF0F46" w:rsidRPr="00507BD2" w:rsidRDefault="00F413FE" w:rsidP="00BF0F46">
            <w:pPr>
              <w:spacing w:line="280" w:lineRule="exact"/>
              <w:ind w:leftChars="0" w:left="0" w:firstLineChars="0" w:firstLine="0"/>
              <w:rPr>
                <w:rFonts w:hAnsi="標楷體"/>
                <w:spacing w:val="-20"/>
                <w:sz w:val="22"/>
                <w:szCs w:val="22"/>
              </w:rPr>
            </w:pPr>
            <w:r>
              <w:rPr>
                <w:rFonts w:hAnsi="標楷體" w:hint="eastAsia"/>
                <w:spacing w:val="-20"/>
                <w:sz w:val="22"/>
                <w:szCs w:val="22"/>
              </w:rPr>
              <w:t>無</w:t>
            </w:r>
            <w:r w:rsidR="00BF0F46" w:rsidRPr="00507BD2">
              <w:rPr>
                <w:rFonts w:hAnsi="標楷體"/>
                <w:spacing w:val="-20"/>
                <w:sz w:val="22"/>
                <w:szCs w:val="22"/>
              </w:rPr>
              <w:t>寬限期</w:t>
            </w:r>
          </w:p>
        </w:tc>
        <w:tc>
          <w:tcPr>
            <w:tcW w:w="641" w:type="pct"/>
            <w:vMerge w:val="restart"/>
            <w:shd w:val="clear" w:color="auto" w:fill="auto"/>
            <w:tcMar>
              <w:left w:w="85" w:type="dxa"/>
              <w:right w:w="28" w:type="dxa"/>
            </w:tcMar>
            <w:vAlign w:val="center"/>
          </w:tcPr>
          <w:p w:rsidR="00F413FE"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4成，</w:t>
            </w:r>
          </w:p>
          <w:p w:rsidR="00BF0F46" w:rsidRPr="00507BD2" w:rsidRDefault="00F413FE" w:rsidP="00BF0F46">
            <w:pPr>
              <w:spacing w:line="280" w:lineRule="exact"/>
              <w:ind w:leftChars="0" w:left="0" w:firstLineChars="0" w:firstLine="0"/>
              <w:rPr>
                <w:rFonts w:hAnsi="標楷體"/>
                <w:spacing w:val="-20"/>
                <w:sz w:val="22"/>
                <w:szCs w:val="22"/>
              </w:rPr>
            </w:pPr>
            <w:r>
              <w:rPr>
                <w:rFonts w:hAnsi="標楷體" w:hint="eastAsia"/>
                <w:spacing w:val="-20"/>
                <w:sz w:val="22"/>
                <w:szCs w:val="22"/>
              </w:rPr>
              <w:t>無</w:t>
            </w:r>
            <w:r w:rsidR="00BF0F46" w:rsidRPr="00507BD2">
              <w:rPr>
                <w:rFonts w:hAnsi="標楷體"/>
                <w:spacing w:val="-20"/>
                <w:sz w:val="22"/>
                <w:szCs w:val="22"/>
              </w:rPr>
              <w:t>寬限期</w:t>
            </w:r>
          </w:p>
        </w:tc>
        <w:tc>
          <w:tcPr>
            <w:tcW w:w="590"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485"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hint="eastAsia"/>
                <w:spacing w:val="-20"/>
                <w:sz w:val="22"/>
                <w:szCs w:val="22"/>
              </w:rPr>
              <w:t>3</w:t>
            </w:r>
            <w:r w:rsidRPr="00507BD2">
              <w:rPr>
                <w:rFonts w:hAnsi="標楷體"/>
                <w:spacing w:val="-20"/>
                <w:sz w:val="22"/>
                <w:szCs w:val="22"/>
              </w:rPr>
              <w:t>成，</w:t>
            </w:r>
          </w:p>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無寬限期</w:t>
            </w:r>
          </w:p>
        </w:tc>
      </w:tr>
      <w:tr w:rsidR="00BF0F46" w:rsidRPr="00507BD2" w:rsidTr="00EB398E">
        <w:trPr>
          <w:trHeight w:val="20"/>
        </w:trPr>
        <w:tc>
          <w:tcPr>
            <w:tcW w:w="171" w:type="pct"/>
            <w:vMerge/>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p>
        </w:tc>
        <w:tc>
          <w:tcPr>
            <w:tcW w:w="845"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第2戶以上購置住宅貸款</w:t>
            </w:r>
          </w:p>
        </w:tc>
        <w:tc>
          <w:tcPr>
            <w:tcW w:w="657" w:type="pct"/>
            <w:shd w:val="clear" w:color="auto" w:fill="auto"/>
            <w:vAlign w:val="center"/>
          </w:tcPr>
          <w:p w:rsidR="00F413FE"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5成，</w:t>
            </w:r>
          </w:p>
          <w:p w:rsidR="00BF0F46" w:rsidRPr="00507BD2" w:rsidRDefault="00F413FE" w:rsidP="00BF0F46">
            <w:pPr>
              <w:spacing w:line="280" w:lineRule="exact"/>
              <w:ind w:leftChars="0" w:left="0" w:firstLineChars="0" w:firstLine="0"/>
              <w:rPr>
                <w:rFonts w:hAnsi="標楷體"/>
                <w:spacing w:val="-20"/>
                <w:sz w:val="22"/>
                <w:szCs w:val="22"/>
              </w:rPr>
            </w:pPr>
            <w:r>
              <w:rPr>
                <w:rFonts w:hAnsi="標楷體" w:hint="eastAsia"/>
                <w:spacing w:val="-20"/>
                <w:sz w:val="22"/>
                <w:szCs w:val="22"/>
              </w:rPr>
              <w:t>無</w:t>
            </w:r>
            <w:r w:rsidR="00BF0F46" w:rsidRPr="00507BD2">
              <w:rPr>
                <w:rFonts w:hAnsi="標楷體"/>
                <w:spacing w:val="-20"/>
                <w:sz w:val="22"/>
                <w:szCs w:val="22"/>
              </w:rPr>
              <w:t>寬限期</w:t>
            </w:r>
          </w:p>
        </w:tc>
        <w:tc>
          <w:tcPr>
            <w:tcW w:w="641" w:type="pct"/>
            <w:vMerge/>
            <w:shd w:val="clear" w:color="auto" w:fill="auto"/>
            <w:tcMar>
              <w:left w:w="85" w:type="dxa"/>
              <w:right w:w="28" w:type="dxa"/>
            </w:tcMar>
            <w:vAlign w:val="center"/>
          </w:tcPr>
          <w:p w:rsidR="00BF0F46" w:rsidRPr="00507BD2" w:rsidRDefault="00BF0F46" w:rsidP="00BF0F46">
            <w:pPr>
              <w:spacing w:line="280" w:lineRule="exact"/>
              <w:ind w:leftChars="0" w:left="0" w:firstLineChars="0" w:firstLine="0"/>
              <w:rPr>
                <w:rFonts w:hAnsi="標楷體"/>
                <w:spacing w:val="-20"/>
                <w:sz w:val="22"/>
                <w:szCs w:val="22"/>
              </w:rPr>
            </w:pPr>
          </w:p>
        </w:tc>
        <w:tc>
          <w:tcPr>
            <w:tcW w:w="590" w:type="pct"/>
            <w:vMerge/>
          </w:tcPr>
          <w:p w:rsidR="00BF0F46" w:rsidRPr="00507BD2" w:rsidRDefault="00BF0F46" w:rsidP="00BF0F46">
            <w:pPr>
              <w:spacing w:line="280" w:lineRule="exact"/>
              <w:ind w:leftChars="0" w:left="0" w:firstLineChars="0" w:firstLine="0"/>
              <w:rPr>
                <w:rFonts w:hAnsi="標楷體"/>
                <w:spacing w:val="-20"/>
                <w:sz w:val="22"/>
                <w:szCs w:val="22"/>
              </w:rPr>
            </w:pPr>
          </w:p>
        </w:tc>
        <w:tc>
          <w:tcPr>
            <w:tcW w:w="537" w:type="pct"/>
            <w:vMerge/>
            <w:vAlign w:val="center"/>
          </w:tcPr>
          <w:p w:rsidR="00BF0F46" w:rsidRPr="00507BD2" w:rsidRDefault="00BF0F46" w:rsidP="00BF0F46">
            <w:pPr>
              <w:spacing w:line="280" w:lineRule="exact"/>
              <w:ind w:leftChars="0" w:left="0" w:firstLineChars="0" w:firstLine="0"/>
              <w:rPr>
                <w:rFonts w:hAnsi="標楷體"/>
                <w:spacing w:val="-20"/>
                <w:sz w:val="22"/>
                <w:szCs w:val="22"/>
              </w:rPr>
            </w:pPr>
          </w:p>
        </w:tc>
        <w:tc>
          <w:tcPr>
            <w:tcW w:w="537" w:type="pct"/>
            <w:vMerge/>
          </w:tcPr>
          <w:p w:rsidR="00BF0F46" w:rsidRPr="00507BD2" w:rsidRDefault="00BF0F46" w:rsidP="00BF0F46">
            <w:pPr>
              <w:spacing w:line="280" w:lineRule="exact"/>
              <w:ind w:leftChars="0" w:left="0" w:firstLineChars="0" w:firstLine="0"/>
              <w:rPr>
                <w:rFonts w:hAnsi="標楷體"/>
                <w:spacing w:val="-20"/>
                <w:sz w:val="22"/>
                <w:szCs w:val="22"/>
              </w:rPr>
            </w:pPr>
          </w:p>
        </w:tc>
        <w:tc>
          <w:tcPr>
            <w:tcW w:w="537" w:type="pct"/>
            <w:vMerge/>
          </w:tcPr>
          <w:p w:rsidR="00BF0F46" w:rsidRPr="00507BD2" w:rsidRDefault="00BF0F46" w:rsidP="00BF0F46">
            <w:pPr>
              <w:spacing w:line="280" w:lineRule="exact"/>
              <w:ind w:leftChars="0" w:left="0" w:firstLineChars="0" w:firstLine="0"/>
              <w:rPr>
                <w:rFonts w:hAnsi="標楷體"/>
                <w:spacing w:val="-20"/>
                <w:sz w:val="22"/>
                <w:szCs w:val="22"/>
              </w:rPr>
            </w:pPr>
          </w:p>
        </w:tc>
        <w:tc>
          <w:tcPr>
            <w:tcW w:w="485" w:type="pct"/>
            <w:vMerge/>
            <w:vAlign w:val="center"/>
          </w:tcPr>
          <w:p w:rsidR="00BF0F46" w:rsidRPr="00507BD2" w:rsidRDefault="00BF0F46" w:rsidP="00BF0F46">
            <w:pPr>
              <w:spacing w:line="280" w:lineRule="exact"/>
              <w:ind w:leftChars="0" w:left="0" w:firstLineChars="0" w:firstLine="0"/>
              <w:rPr>
                <w:rFonts w:hAnsi="標楷體"/>
                <w:spacing w:val="-20"/>
                <w:sz w:val="22"/>
                <w:szCs w:val="22"/>
              </w:rPr>
            </w:pPr>
          </w:p>
        </w:tc>
      </w:tr>
      <w:tr w:rsidR="00BF0F46" w:rsidRPr="00507BD2" w:rsidTr="00EB398E">
        <w:trPr>
          <w:trHeight w:val="20"/>
        </w:trPr>
        <w:tc>
          <w:tcPr>
            <w:tcW w:w="171" w:type="pct"/>
            <w:vMerge w:val="restar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lastRenderedPageBreak/>
              <w:t>自</w:t>
            </w:r>
          </w:p>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然</w:t>
            </w:r>
          </w:p>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人</w:t>
            </w:r>
          </w:p>
        </w:tc>
        <w:tc>
          <w:tcPr>
            <w:tcW w:w="845"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已有2戶以下房貸之購置高價住宅貸款</w:t>
            </w:r>
          </w:p>
        </w:tc>
        <w:tc>
          <w:tcPr>
            <w:tcW w:w="657" w:type="pct"/>
            <w:vMerge w:val="restart"/>
            <w:shd w:val="clear" w:color="auto" w:fill="auto"/>
            <w:vAlign w:val="center"/>
          </w:tcPr>
          <w:p w:rsidR="00BF0F46" w:rsidRPr="00507BD2" w:rsidRDefault="00BF0F46" w:rsidP="00BF0F46">
            <w:pPr>
              <w:spacing w:line="280" w:lineRule="exact"/>
              <w:ind w:leftChars="0" w:left="0" w:firstLineChars="0" w:firstLine="0"/>
              <w:rPr>
                <w:rFonts w:hAnsi="標楷體"/>
                <w:sz w:val="22"/>
                <w:szCs w:val="22"/>
              </w:rPr>
            </w:pPr>
            <w:r w:rsidRPr="00507BD2">
              <w:rPr>
                <w:rFonts w:hAnsi="標楷體" w:hint="eastAsia"/>
                <w:sz w:val="22"/>
                <w:szCs w:val="22"/>
              </w:rPr>
              <w:t>6成，</w:t>
            </w:r>
          </w:p>
          <w:p w:rsidR="00BF0F46" w:rsidRPr="00507BD2" w:rsidRDefault="00BF0F46" w:rsidP="00BF0F46">
            <w:pPr>
              <w:spacing w:line="280" w:lineRule="exact"/>
              <w:ind w:leftChars="0" w:left="0" w:firstLineChars="0" w:firstLine="0"/>
              <w:rPr>
                <w:rFonts w:hAnsi="標楷體"/>
                <w:sz w:val="22"/>
                <w:szCs w:val="22"/>
              </w:rPr>
            </w:pPr>
            <w:r w:rsidRPr="00507BD2">
              <w:rPr>
                <w:rFonts w:hAnsi="標楷體" w:hint="eastAsia"/>
                <w:sz w:val="22"/>
                <w:szCs w:val="22"/>
              </w:rPr>
              <w:t>無寬限期</w:t>
            </w:r>
          </w:p>
        </w:tc>
        <w:tc>
          <w:tcPr>
            <w:tcW w:w="641" w:type="pct"/>
            <w:shd w:val="clear" w:color="auto" w:fill="auto"/>
            <w:tcMar>
              <w:left w:w="85" w:type="dxa"/>
              <w:right w:w="28" w:type="dxa"/>
            </w:tcMar>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5.5成，</w:t>
            </w:r>
          </w:p>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無寬限期</w:t>
            </w:r>
          </w:p>
        </w:tc>
        <w:tc>
          <w:tcPr>
            <w:tcW w:w="590"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hint="eastAsia"/>
                <w:spacing w:val="-20"/>
                <w:sz w:val="22"/>
                <w:szCs w:val="22"/>
              </w:rPr>
              <w:t>維持不變</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4成，</w:t>
            </w:r>
          </w:p>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無寬限期</w:t>
            </w:r>
          </w:p>
        </w:tc>
        <w:tc>
          <w:tcPr>
            <w:tcW w:w="537"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485"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hint="eastAsia"/>
                <w:spacing w:val="-20"/>
                <w:sz w:val="22"/>
                <w:szCs w:val="22"/>
              </w:rPr>
              <w:t>3</w:t>
            </w:r>
            <w:r w:rsidRPr="00507BD2">
              <w:rPr>
                <w:rFonts w:hAnsi="標楷體"/>
                <w:spacing w:val="-20"/>
                <w:sz w:val="22"/>
                <w:szCs w:val="22"/>
              </w:rPr>
              <w:t>成，</w:t>
            </w:r>
          </w:p>
          <w:p w:rsidR="00BF0F46" w:rsidRPr="00507BD2" w:rsidRDefault="00F413FE" w:rsidP="00BF0F46">
            <w:pPr>
              <w:spacing w:line="280" w:lineRule="exact"/>
              <w:ind w:leftChars="0" w:left="0" w:firstLineChars="0" w:firstLine="0"/>
              <w:rPr>
                <w:rFonts w:hAnsi="標楷體"/>
                <w:spacing w:val="-20"/>
                <w:sz w:val="22"/>
                <w:szCs w:val="22"/>
              </w:rPr>
            </w:pPr>
            <w:r>
              <w:rPr>
                <w:rFonts w:hAnsi="標楷體" w:hint="eastAsia"/>
                <w:spacing w:val="-20"/>
                <w:sz w:val="22"/>
                <w:szCs w:val="22"/>
              </w:rPr>
              <w:t>無</w:t>
            </w:r>
            <w:r w:rsidR="00BF0F46" w:rsidRPr="00507BD2">
              <w:rPr>
                <w:rFonts w:hAnsi="標楷體"/>
                <w:spacing w:val="-20"/>
                <w:sz w:val="22"/>
                <w:szCs w:val="22"/>
              </w:rPr>
              <w:t>寬限期</w:t>
            </w:r>
          </w:p>
        </w:tc>
      </w:tr>
      <w:tr w:rsidR="00BF0F46" w:rsidRPr="00507BD2" w:rsidTr="00EB398E">
        <w:trPr>
          <w:trHeight w:val="20"/>
        </w:trPr>
        <w:tc>
          <w:tcPr>
            <w:tcW w:w="171" w:type="pct"/>
            <w:vMerge/>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p>
        </w:tc>
        <w:tc>
          <w:tcPr>
            <w:tcW w:w="845"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已有3戶以上房貸之購置高價住宅貸款</w:t>
            </w:r>
          </w:p>
        </w:tc>
        <w:tc>
          <w:tcPr>
            <w:tcW w:w="657" w:type="pct"/>
            <w:vMerge/>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p>
        </w:tc>
        <w:tc>
          <w:tcPr>
            <w:tcW w:w="641" w:type="pct"/>
            <w:shd w:val="clear" w:color="auto" w:fill="auto"/>
            <w:tcMar>
              <w:left w:w="85" w:type="dxa"/>
              <w:right w:w="28" w:type="dxa"/>
            </w:tcMar>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4成，</w:t>
            </w:r>
          </w:p>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無寬限期</w:t>
            </w:r>
          </w:p>
        </w:tc>
        <w:tc>
          <w:tcPr>
            <w:tcW w:w="590" w:type="pct"/>
            <w:vMerge/>
            <w:vAlign w:val="center"/>
          </w:tcPr>
          <w:p w:rsidR="00BF0F46" w:rsidRPr="00507BD2" w:rsidRDefault="00BF0F46" w:rsidP="00BF0F46">
            <w:pPr>
              <w:spacing w:line="280" w:lineRule="exact"/>
              <w:ind w:leftChars="0" w:left="0" w:firstLineChars="0" w:firstLine="0"/>
              <w:rPr>
                <w:rFonts w:hAnsi="標楷體"/>
                <w:spacing w:val="-20"/>
                <w:sz w:val="22"/>
                <w:szCs w:val="22"/>
              </w:rPr>
            </w:pP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Merge/>
            <w:vAlign w:val="center"/>
          </w:tcPr>
          <w:p w:rsidR="00BF0F46" w:rsidRPr="00507BD2" w:rsidRDefault="00BF0F46" w:rsidP="00BF0F46">
            <w:pPr>
              <w:spacing w:line="280" w:lineRule="exact"/>
              <w:ind w:leftChars="0" w:left="0" w:firstLineChars="0" w:firstLine="0"/>
              <w:rPr>
                <w:rFonts w:hAnsi="標楷體"/>
                <w:spacing w:val="-20"/>
                <w:sz w:val="22"/>
                <w:szCs w:val="22"/>
              </w:rPr>
            </w:pPr>
          </w:p>
        </w:tc>
        <w:tc>
          <w:tcPr>
            <w:tcW w:w="537" w:type="pct"/>
            <w:vMerge/>
            <w:vAlign w:val="center"/>
          </w:tcPr>
          <w:p w:rsidR="00BF0F46" w:rsidRPr="00507BD2" w:rsidRDefault="00BF0F46" w:rsidP="00BF0F46">
            <w:pPr>
              <w:spacing w:line="280" w:lineRule="exact"/>
              <w:ind w:leftChars="0" w:left="0" w:firstLineChars="0" w:firstLine="0"/>
              <w:rPr>
                <w:rFonts w:hAnsi="標楷體"/>
                <w:spacing w:val="-20"/>
                <w:sz w:val="22"/>
                <w:szCs w:val="22"/>
              </w:rPr>
            </w:pPr>
          </w:p>
        </w:tc>
        <w:tc>
          <w:tcPr>
            <w:tcW w:w="485" w:type="pct"/>
            <w:vMerge/>
            <w:vAlign w:val="center"/>
          </w:tcPr>
          <w:p w:rsidR="00BF0F46" w:rsidRPr="00507BD2" w:rsidRDefault="00BF0F46" w:rsidP="00BF0F46">
            <w:pPr>
              <w:spacing w:line="280" w:lineRule="exact"/>
              <w:ind w:leftChars="0" w:left="0" w:firstLineChars="0" w:firstLine="0"/>
              <w:rPr>
                <w:rFonts w:hAnsi="標楷體"/>
                <w:spacing w:val="-20"/>
                <w:sz w:val="22"/>
                <w:szCs w:val="22"/>
              </w:rPr>
            </w:pPr>
          </w:p>
        </w:tc>
      </w:tr>
      <w:tr w:rsidR="00BF0F46" w:rsidRPr="00507BD2" w:rsidTr="00EB398E">
        <w:trPr>
          <w:trHeight w:val="20"/>
        </w:trPr>
        <w:tc>
          <w:tcPr>
            <w:tcW w:w="171" w:type="pct"/>
            <w:vMerge/>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p>
        </w:tc>
        <w:tc>
          <w:tcPr>
            <w:tcW w:w="845"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hint="eastAsia"/>
                <w:spacing w:val="-20"/>
                <w:sz w:val="22"/>
                <w:szCs w:val="22"/>
              </w:rPr>
              <w:t>名下有房屋者第1戶購屋貸款</w:t>
            </w:r>
          </w:p>
        </w:tc>
        <w:tc>
          <w:tcPr>
            <w:tcW w:w="657"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未規範</w:t>
            </w:r>
          </w:p>
        </w:tc>
        <w:tc>
          <w:tcPr>
            <w:tcW w:w="641"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未規範</w:t>
            </w:r>
          </w:p>
        </w:tc>
        <w:tc>
          <w:tcPr>
            <w:tcW w:w="590"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未規範</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未規範</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未規範</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未規範</w:t>
            </w:r>
          </w:p>
        </w:tc>
        <w:tc>
          <w:tcPr>
            <w:tcW w:w="485" w:type="pct"/>
            <w:vAlign w:val="center"/>
          </w:tcPr>
          <w:p w:rsidR="00BF0F46" w:rsidRPr="00507BD2" w:rsidRDefault="00BF0F46" w:rsidP="00BF0F46">
            <w:pPr>
              <w:spacing w:line="280" w:lineRule="exact"/>
              <w:ind w:leftChars="0" w:left="0" w:firstLineChars="0" w:firstLine="0"/>
              <w:rPr>
                <w:rFonts w:hAnsi="標楷體" w:hint="eastAsia"/>
                <w:spacing w:val="-20"/>
                <w:sz w:val="22"/>
                <w:szCs w:val="22"/>
              </w:rPr>
            </w:pPr>
            <w:r w:rsidRPr="00507BD2">
              <w:rPr>
                <w:rFonts w:hAnsi="標楷體"/>
                <w:spacing w:val="-20"/>
                <w:sz w:val="22"/>
                <w:szCs w:val="22"/>
              </w:rPr>
              <w:t>無寬限期</w:t>
            </w:r>
          </w:p>
        </w:tc>
      </w:tr>
      <w:tr w:rsidR="00BF0F46" w:rsidRPr="00507BD2" w:rsidTr="00EB398E">
        <w:trPr>
          <w:trHeight w:val="20"/>
        </w:trPr>
        <w:tc>
          <w:tcPr>
            <w:tcW w:w="171" w:type="pct"/>
            <w:vMerge/>
            <w:shd w:val="clear" w:color="auto" w:fill="auto"/>
          </w:tcPr>
          <w:p w:rsidR="00BF0F46" w:rsidRPr="00507BD2" w:rsidRDefault="00BF0F46" w:rsidP="00BF0F46">
            <w:pPr>
              <w:spacing w:line="280" w:lineRule="exact"/>
              <w:ind w:leftChars="0" w:left="0" w:firstLineChars="0" w:firstLine="0"/>
              <w:rPr>
                <w:rFonts w:hAnsi="標楷體"/>
                <w:spacing w:val="-20"/>
                <w:sz w:val="22"/>
                <w:szCs w:val="22"/>
              </w:rPr>
            </w:pPr>
          </w:p>
        </w:tc>
        <w:tc>
          <w:tcPr>
            <w:tcW w:w="845"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第2戶購屋貸款</w:t>
            </w:r>
          </w:p>
        </w:tc>
        <w:tc>
          <w:tcPr>
            <w:tcW w:w="657"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未規範</w:t>
            </w:r>
          </w:p>
        </w:tc>
        <w:tc>
          <w:tcPr>
            <w:tcW w:w="641"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未規範</w:t>
            </w:r>
          </w:p>
        </w:tc>
        <w:tc>
          <w:tcPr>
            <w:tcW w:w="590" w:type="pct"/>
            <w:vAlign w:val="center"/>
          </w:tcPr>
          <w:p w:rsidR="00BF0F46" w:rsidRPr="00507BD2" w:rsidRDefault="00BF0F46" w:rsidP="00F413FE">
            <w:pPr>
              <w:overflowPunct w:val="0"/>
              <w:autoSpaceDE w:val="0"/>
              <w:autoSpaceDN w:val="0"/>
              <w:spacing w:line="280" w:lineRule="exact"/>
              <w:ind w:leftChars="0" w:left="0" w:firstLineChars="0" w:firstLine="0"/>
              <w:rPr>
                <w:rFonts w:hAnsi="標楷體"/>
                <w:spacing w:val="-20"/>
                <w:sz w:val="22"/>
                <w:szCs w:val="22"/>
              </w:rPr>
            </w:pPr>
            <w:r w:rsidRPr="00507BD2">
              <w:rPr>
                <w:rFonts w:hAnsi="標楷體" w:hint="eastAsia"/>
                <w:spacing w:val="-20"/>
                <w:sz w:val="22"/>
                <w:szCs w:val="22"/>
              </w:rPr>
              <w:t>特定地區</w:t>
            </w:r>
            <w:r w:rsidRPr="00F413FE">
              <w:rPr>
                <w:rFonts w:hAnsi="標楷體" w:hint="eastAsia"/>
                <w:sz w:val="22"/>
                <w:szCs w:val="22"/>
                <w:vertAlign w:val="superscript"/>
              </w:rPr>
              <w:t>說明1</w:t>
            </w:r>
            <w:r w:rsidRPr="00507BD2">
              <w:rPr>
                <w:rFonts w:hAnsi="標楷體"/>
                <w:spacing w:val="-20"/>
                <w:sz w:val="22"/>
                <w:szCs w:val="22"/>
              </w:rPr>
              <w:t>無寬限期</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Align w:val="center"/>
          </w:tcPr>
          <w:p w:rsidR="00BF0F46" w:rsidRPr="00507BD2" w:rsidRDefault="00BF0F46" w:rsidP="00F413FE">
            <w:pPr>
              <w:overflowPunct w:val="0"/>
              <w:autoSpaceDE w:val="0"/>
              <w:autoSpaceDN w:val="0"/>
              <w:spacing w:line="280" w:lineRule="exact"/>
              <w:ind w:leftChars="0" w:left="0" w:firstLineChars="0" w:firstLine="0"/>
              <w:rPr>
                <w:rFonts w:hAnsi="標楷體"/>
                <w:spacing w:val="-20"/>
                <w:sz w:val="22"/>
                <w:szCs w:val="22"/>
              </w:rPr>
            </w:pPr>
            <w:r w:rsidRPr="00507BD2">
              <w:rPr>
                <w:rFonts w:hAnsi="標楷體" w:hint="eastAsia"/>
                <w:spacing w:val="-20"/>
                <w:sz w:val="22"/>
                <w:szCs w:val="22"/>
              </w:rPr>
              <w:t>特定地區</w:t>
            </w:r>
            <w:r w:rsidRPr="00F413FE">
              <w:rPr>
                <w:rFonts w:hAnsi="標楷體" w:hint="eastAsia"/>
                <w:sz w:val="22"/>
                <w:szCs w:val="22"/>
                <w:vertAlign w:val="superscript"/>
              </w:rPr>
              <w:t>說明1</w:t>
            </w:r>
            <w:r w:rsidRPr="00507BD2">
              <w:rPr>
                <w:rFonts w:hAnsi="標楷體"/>
                <w:spacing w:val="-20"/>
                <w:sz w:val="22"/>
                <w:szCs w:val="22"/>
              </w:rPr>
              <w:t>7成，無寬限期</w:t>
            </w:r>
          </w:p>
        </w:tc>
        <w:tc>
          <w:tcPr>
            <w:tcW w:w="537" w:type="pct"/>
            <w:vAlign w:val="center"/>
          </w:tcPr>
          <w:p w:rsidR="00BF0F46" w:rsidRPr="00507BD2" w:rsidRDefault="00BF0F46" w:rsidP="00F413FE">
            <w:pPr>
              <w:overflowPunct w:val="0"/>
              <w:autoSpaceDE w:val="0"/>
              <w:autoSpaceDN w:val="0"/>
              <w:spacing w:line="280" w:lineRule="exact"/>
              <w:ind w:leftChars="0" w:left="0" w:firstLineChars="0" w:firstLine="0"/>
              <w:rPr>
                <w:rFonts w:hAnsi="標楷體"/>
                <w:spacing w:val="-20"/>
                <w:sz w:val="22"/>
                <w:szCs w:val="22"/>
              </w:rPr>
            </w:pPr>
            <w:r w:rsidRPr="00507BD2">
              <w:rPr>
                <w:rFonts w:hAnsi="標楷體" w:hint="eastAsia"/>
                <w:spacing w:val="-20"/>
                <w:sz w:val="22"/>
                <w:szCs w:val="22"/>
              </w:rPr>
              <w:t>特定地區</w:t>
            </w:r>
            <w:r w:rsidRPr="00F413FE">
              <w:rPr>
                <w:rFonts w:hAnsi="標楷體" w:hint="eastAsia"/>
                <w:sz w:val="22"/>
                <w:szCs w:val="22"/>
                <w:vertAlign w:val="superscript"/>
              </w:rPr>
              <w:t>說明1</w:t>
            </w:r>
            <w:r w:rsidRPr="00507BD2">
              <w:rPr>
                <w:rFonts w:hAnsi="標楷體"/>
                <w:spacing w:val="-20"/>
                <w:sz w:val="22"/>
                <w:szCs w:val="22"/>
              </w:rPr>
              <w:t>6成，無寬限期</w:t>
            </w:r>
          </w:p>
        </w:tc>
        <w:tc>
          <w:tcPr>
            <w:tcW w:w="485"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hint="eastAsia"/>
                <w:b/>
                <w:spacing w:val="-20"/>
                <w:sz w:val="22"/>
                <w:szCs w:val="22"/>
              </w:rPr>
              <w:t>全國</w:t>
            </w:r>
            <w:r w:rsidRPr="00507BD2">
              <w:rPr>
                <w:rFonts w:hAnsi="標楷體" w:hint="eastAsia"/>
                <w:spacing w:val="-20"/>
                <w:sz w:val="22"/>
                <w:szCs w:val="22"/>
              </w:rPr>
              <w:t>5</w:t>
            </w:r>
            <w:r w:rsidRPr="00507BD2">
              <w:rPr>
                <w:rFonts w:hAnsi="標楷體"/>
                <w:spacing w:val="-20"/>
                <w:sz w:val="22"/>
                <w:szCs w:val="22"/>
              </w:rPr>
              <w:t>成，無寬限期</w:t>
            </w:r>
          </w:p>
        </w:tc>
      </w:tr>
      <w:tr w:rsidR="00BF0F46" w:rsidRPr="00507BD2" w:rsidTr="00EB398E">
        <w:trPr>
          <w:trHeight w:val="20"/>
        </w:trPr>
        <w:tc>
          <w:tcPr>
            <w:tcW w:w="171" w:type="pct"/>
            <w:vMerge/>
            <w:shd w:val="clear" w:color="auto" w:fill="auto"/>
          </w:tcPr>
          <w:p w:rsidR="00BF0F46" w:rsidRPr="00507BD2" w:rsidRDefault="00BF0F46" w:rsidP="00BF0F46">
            <w:pPr>
              <w:spacing w:line="280" w:lineRule="exact"/>
              <w:ind w:leftChars="0" w:left="0" w:firstLineChars="0" w:firstLine="0"/>
              <w:rPr>
                <w:rFonts w:hAnsi="標楷體"/>
                <w:spacing w:val="-20"/>
                <w:sz w:val="22"/>
                <w:szCs w:val="22"/>
              </w:rPr>
            </w:pPr>
          </w:p>
        </w:tc>
        <w:tc>
          <w:tcPr>
            <w:tcW w:w="845"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第3戶購屋貸款</w:t>
            </w:r>
          </w:p>
        </w:tc>
        <w:tc>
          <w:tcPr>
            <w:tcW w:w="657" w:type="pct"/>
            <w:shd w:val="clear" w:color="auto" w:fill="auto"/>
            <w:vAlign w:val="center"/>
          </w:tcPr>
          <w:p w:rsidR="00BF0F46" w:rsidRPr="00507BD2" w:rsidRDefault="00BF0F46" w:rsidP="00BF0F46">
            <w:pPr>
              <w:spacing w:line="280" w:lineRule="exact"/>
              <w:ind w:leftChars="0" w:left="0" w:firstLineChars="0" w:firstLine="0"/>
              <w:rPr>
                <w:rFonts w:hAnsi="標楷體"/>
                <w:sz w:val="22"/>
                <w:szCs w:val="22"/>
              </w:rPr>
            </w:pPr>
            <w:r w:rsidRPr="00507BD2">
              <w:rPr>
                <w:rFonts w:hAnsi="標楷體"/>
                <w:sz w:val="22"/>
                <w:szCs w:val="22"/>
              </w:rPr>
              <w:t>6成，無寬限期</w:t>
            </w:r>
          </w:p>
        </w:tc>
        <w:tc>
          <w:tcPr>
            <w:tcW w:w="641" w:type="pct"/>
            <w:shd w:val="clear" w:color="auto" w:fill="auto"/>
            <w:tcMar>
              <w:left w:w="57" w:type="dxa"/>
              <w:right w:w="28" w:type="dxa"/>
            </w:tcMar>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5.5成，無寬限期</w:t>
            </w:r>
          </w:p>
        </w:tc>
        <w:tc>
          <w:tcPr>
            <w:tcW w:w="590"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4成，無寬限期</w:t>
            </w:r>
          </w:p>
        </w:tc>
        <w:tc>
          <w:tcPr>
            <w:tcW w:w="537"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485" w:type="pct"/>
            <w:vMerge w:val="restar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hint="eastAsia"/>
                <w:spacing w:val="-20"/>
                <w:sz w:val="22"/>
                <w:szCs w:val="22"/>
              </w:rPr>
              <w:t>3</w:t>
            </w:r>
            <w:r w:rsidRPr="00507BD2">
              <w:rPr>
                <w:rFonts w:hAnsi="標楷體"/>
                <w:spacing w:val="-20"/>
                <w:sz w:val="22"/>
                <w:szCs w:val="22"/>
              </w:rPr>
              <w:t>成，無寬限期</w:t>
            </w:r>
          </w:p>
        </w:tc>
      </w:tr>
      <w:tr w:rsidR="00BF0F46" w:rsidRPr="00507BD2" w:rsidTr="00EB398E">
        <w:trPr>
          <w:trHeight w:val="20"/>
        </w:trPr>
        <w:tc>
          <w:tcPr>
            <w:tcW w:w="171" w:type="pct"/>
            <w:vMerge/>
            <w:shd w:val="clear" w:color="auto" w:fill="auto"/>
          </w:tcPr>
          <w:p w:rsidR="00BF0F46" w:rsidRPr="00507BD2" w:rsidRDefault="00BF0F46" w:rsidP="00BF0F46">
            <w:pPr>
              <w:spacing w:line="280" w:lineRule="exact"/>
              <w:ind w:leftChars="0" w:left="0" w:firstLineChars="0" w:firstLine="0"/>
              <w:rPr>
                <w:rFonts w:hAnsi="標楷體"/>
                <w:spacing w:val="-20"/>
                <w:sz w:val="22"/>
                <w:szCs w:val="22"/>
              </w:rPr>
            </w:pPr>
          </w:p>
        </w:tc>
        <w:tc>
          <w:tcPr>
            <w:tcW w:w="845" w:type="pct"/>
            <w:shd w:val="clear" w:color="auto" w:fill="auto"/>
            <w:vAlign w:val="center"/>
          </w:tcPr>
          <w:p w:rsidR="00BF0F46" w:rsidRPr="00507BD2" w:rsidRDefault="00BF0F46" w:rsidP="00BF0F46">
            <w:pPr>
              <w:spacing w:line="280" w:lineRule="exact"/>
              <w:ind w:leftChars="0" w:left="0" w:firstLineChars="0" w:firstLine="0"/>
              <w:rPr>
                <w:rFonts w:hAnsi="標楷體"/>
                <w:sz w:val="22"/>
                <w:szCs w:val="22"/>
              </w:rPr>
            </w:pPr>
            <w:r w:rsidRPr="00507BD2">
              <w:rPr>
                <w:rFonts w:hAnsi="標楷體"/>
                <w:sz w:val="22"/>
                <w:szCs w:val="22"/>
              </w:rPr>
              <w:t>第4戶以上購屋貸款</w:t>
            </w:r>
          </w:p>
        </w:tc>
        <w:tc>
          <w:tcPr>
            <w:tcW w:w="657"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(同第3戶，未另規定)</w:t>
            </w:r>
          </w:p>
        </w:tc>
        <w:tc>
          <w:tcPr>
            <w:tcW w:w="641" w:type="pct"/>
            <w:shd w:val="clear" w:color="auto" w:fill="auto"/>
            <w:tcMar>
              <w:left w:w="85" w:type="dxa"/>
              <w:right w:w="28" w:type="dxa"/>
            </w:tcMar>
            <w:vAlign w:val="center"/>
          </w:tcPr>
          <w:p w:rsidR="00BF0F46" w:rsidRPr="00507BD2" w:rsidRDefault="00BF0F46" w:rsidP="00BF0F46">
            <w:pPr>
              <w:spacing w:line="280" w:lineRule="exact"/>
              <w:ind w:leftChars="0" w:left="0" w:firstLineChars="0" w:firstLine="0"/>
              <w:rPr>
                <w:rFonts w:hAnsi="標楷體"/>
                <w:sz w:val="22"/>
                <w:szCs w:val="22"/>
              </w:rPr>
            </w:pPr>
            <w:r w:rsidRPr="00507BD2">
              <w:rPr>
                <w:rFonts w:hAnsi="標楷體"/>
                <w:sz w:val="22"/>
                <w:szCs w:val="22"/>
              </w:rPr>
              <w:t>5成，無寬限期</w:t>
            </w:r>
          </w:p>
        </w:tc>
        <w:tc>
          <w:tcPr>
            <w:tcW w:w="590"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Merge/>
            <w:vAlign w:val="center"/>
          </w:tcPr>
          <w:p w:rsidR="00BF0F46" w:rsidRPr="00507BD2" w:rsidRDefault="00BF0F46" w:rsidP="00BF0F46">
            <w:pPr>
              <w:spacing w:line="280" w:lineRule="exact"/>
              <w:ind w:leftChars="0" w:left="0" w:firstLineChars="0" w:firstLine="0"/>
              <w:rPr>
                <w:rFonts w:hAnsi="標楷體"/>
                <w:spacing w:val="-20"/>
                <w:sz w:val="22"/>
                <w:szCs w:val="22"/>
              </w:rPr>
            </w:pPr>
          </w:p>
        </w:tc>
        <w:tc>
          <w:tcPr>
            <w:tcW w:w="537" w:type="pct"/>
            <w:vMerge/>
          </w:tcPr>
          <w:p w:rsidR="00BF0F46" w:rsidRPr="00507BD2" w:rsidRDefault="00BF0F46" w:rsidP="00BF0F46">
            <w:pPr>
              <w:spacing w:line="280" w:lineRule="exact"/>
              <w:ind w:leftChars="0" w:left="0" w:firstLineChars="0" w:firstLine="0"/>
              <w:rPr>
                <w:rFonts w:hAnsi="標楷體"/>
                <w:spacing w:val="-20"/>
                <w:sz w:val="22"/>
                <w:szCs w:val="22"/>
              </w:rPr>
            </w:pPr>
          </w:p>
        </w:tc>
        <w:tc>
          <w:tcPr>
            <w:tcW w:w="537" w:type="pct"/>
            <w:vMerge/>
          </w:tcPr>
          <w:p w:rsidR="00BF0F46" w:rsidRPr="00507BD2" w:rsidRDefault="00BF0F46" w:rsidP="00BF0F46">
            <w:pPr>
              <w:spacing w:line="280" w:lineRule="exact"/>
              <w:ind w:leftChars="0" w:left="0" w:firstLineChars="0" w:firstLine="0"/>
              <w:rPr>
                <w:rFonts w:hAnsi="標楷體"/>
                <w:spacing w:val="-20"/>
                <w:sz w:val="22"/>
                <w:szCs w:val="22"/>
              </w:rPr>
            </w:pPr>
          </w:p>
        </w:tc>
        <w:tc>
          <w:tcPr>
            <w:tcW w:w="485" w:type="pct"/>
            <w:vMerge/>
            <w:vAlign w:val="center"/>
          </w:tcPr>
          <w:p w:rsidR="00BF0F46" w:rsidRPr="00507BD2" w:rsidRDefault="00BF0F46" w:rsidP="00BF0F46">
            <w:pPr>
              <w:spacing w:line="280" w:lineRule="exact"/>
              <w:ind w:leftChars="0" w:left="0" w:firstLineChars="0" w:firstLine="0"/>
              <w:rPr>
                <w:rFonts w:hAnsi="標楷體"/>
                <w:spacing w:val="-20"/>
                <w:sz w:val="22"/>
                <w:szCs w:val="22"/>
              </w:rPr>
            </w:pPr>
          </w:p>
        </w:tc>
      </w:tr>
      <w:tr w:rsidR="00BF0F46" w:rsidRPr="00507BD2" w:rsidTr="00EB398E">
        <w:trPr>
          <w:trHeight w:val="20"/>
        </w:trPr>
        <w:tc>
          <w:tcPr>
            <w:tcW w:w="1015" w:type="pct"/>
            <w:gridSpan w:val="2"/>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購地貸款</w:t>
            </w:r>
          </w:p>
        </w:tc>
        <w:tc>
          <w:tcPr>
            <w:tcW w:w="657" w:type="pct"/>
            <w:shd w:val="clear" w:color="auto" w:fill="auto"/>
            <w:tcMar>
              <w:left w:w="85" w:type="dxa"/>
              <w:right w:w="28" w:type="dxa"/>
            </w:tcMar>
          </w:tcPr>
          <w:p w:rsidR="00BF0F46" w:rsidRPr="00507BD2" w:rsidRDefault="00BF0F46" w:rsidP="00CC4DC2">
            <w:pPr>
              <w:numPr>
                <w:ilvl w:val="0"/>
                <w:numId w:val="41"/>
              </w:numPr>
              <w:spacing w:line="280" w:lineRule="exact"/>
              <w:ind w:leftChars="0" w:left="96" w:firstLineChars="0" w:hanging="140"/>
              <w:rPr>
                <w:rFonts w:hAnsi="標楷體"/>
                <w:spacing w:val="-25"/>
                <w:sz w:val="22"/>
                <w:szCs w:val="22"/>
              </w:rPr>
            </w:pPr>
            <w:r w:rsidRPr="00507BD2">
              <w:rPr>
                <w:rFonts w:hAnsi="標楷體"/>
                <w:spacing w:val="-25"/>
                <w:sz w:val="22"/>
                <w:szCs w:val="22"/>
              </w:rPr>
              <w:t>6.5成，保留1成動工款</w:t>
            </w:r>
          </w:p>
          <w:p w:rsidR="00BF0F46" w:rsidRPr="00507BD2" w:rsidRDefault="00BF0F46" w:rsidP="00CC4DC2">
            <w:pPr>
              <w:numPr>
                <w:ilvl w:val="0"/>
                <w:numId w:val="41"/>
              </w:numPr>
              <w:spacing w:line="280" w:lineRule="exact"/>
              <w:ind w:leftChars="0" w:left="166" w:firstLineChars="0" w:hanging="166"/>
              <w:rPr>
                <w:rFonts w:hAnsi="標楷體"/>
                <w:spacing w:val="-20"/>
                <w:sz w:val="22"/>
                <w:szCs w:val="22"/>
              </w:rPr>
            </w:pPr>
            <w:r w:rsidRPr="00507BD2">
              <w:rPr>
                <w:rFonts w:hAnsi="標楷體"/>
                <w:spacing w:val="-20"/>
                <w:sz w:val="22"/>
                <w:szCs w:val="22"/>
              </w:rPr>
              <w:t>檢附具體興建計畫</w:t>
            </w:r>
          </w:p>
        </w:tc>
        <w:tc>
          <w:tcPr>
            <w:tcW w:w="641" w:type="pct"/>
            <w:shd w:val="clear" w:color="auto" w:fill="auto"/>
            <w:tcMar>
              <w:left w:w="57" w:type="dxa"/>
              <w:right w:w="57" w:type="dxa"/>
            </w:tcMar>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90" w:type="pct"/>
            <w:tcMar>
              <w:left w:w="85" w:type="dxa"/>
              <w:right w:w="28" w:type="dxa"/>
            </w:tcMar>
          </w:tcPr>
          <w:p w:rsidR="00BF0F46" w:rsidRPr="00F413FE" w:rsidRDefault="00BF0F46" w:rsidP="00F413FE">
            <w:pPr>
              <w:numPr>
                <w:ilvl w:val="0"/>
                <w:numId w:val="42"/>
              </w:numPr>
              <w:overflowPunct w:val="0"/>
              <w:autoSpaceDE w:val="0"/>
              <w:autoSpaceDN w:val="0"/>
              <w:spacing w:line="280" w:lineRule="exact"/>
              <w:ind w:leftChars="-30" w:left="80" w:hangingChars="90" w:hanging="165"/>
              <w:rPr>
                <w:rFonts w:hAnsi="標楷體"/>
                <w:spacing w:val="-20"/>
                <w:sz w:val="22"/>
                <w:szCs w:val="22"/>
              </w:rPr>
            </w:pPr>
            <w:r w:rsidRPr="00F413FE">
              <w:rPr>
                <w:rFonts w:hAnsi="標楷體"/>
                <w:spacing w:val="-20"/>
                <w:sz w:val="22"/>
                <w:szCs w:val="22"/>
              </w:rPr>
              <w:t>6成，保留1成動工款</w:t>
            </w:r>
          </w:p>
          <w:p w:rsidR="00BF0F46" w:rsidRPr="00507BD2" w:rsidRDefault="00BF0F46" w:rsidP="00CC4DC2">
            <w:pPr>
              <w:numPr>
                <w:ilvl w:val="0"/>
                <w:numId w:val="42"/>
              </w:numPr>
              <w:spacing w:line="280" w:lineRule="exact"/>
              <w:ind w:leftChars="-30" w:left="80" w:hangingChars="90" w:hanging="165"/>
              <w:rPr>
                <w:rFonts w:hAnsi="標楷體"/>
                <w:spacing w:val="-20"/>
                <w:sz w:val="22"/>
                <w:szCs w:val="22"/>
              </w:rPr>
            </w:pPr>
            <w:r w:rsidRPr="00507BD2">
              <w:rPr>
                <w:rFonts w:hAnsi="標楷體"/>
                <w:spacing w:val="-20"/>
                <w:sz w:val="22"/>
                <w:szCs w:val="22"/>
              </w:rPr>
              <w:t>檢附具體興建計畫</w:t>
            </w:r>
          </w:p>
        </w:tc>
        <w:tc>
          <w:tcPr>
            <w:tcW w:w="537" w:type="pct"/>
            <w:tcMar>
              <w:left w:w="85" w:type="dxa"/>
              <w:right w:w="28" w:type="dxa"/>
            </w:tcMar>
            <w:vAlign w:val="center"/>
          </w:tcPr>
          <w:p w:rsidR="00BF0F46" w:rsidRPr="00507BD2" w:rsidRDefault="00BF0F46" w:rsidP="00CC4DC2">
            <w:pPr>
              <w:numPr>
                <w:ilvl w:val="0"/>
                <w:numId w:val="44"/>
              </w:numPr>
              <w:spacing w:line="280" w:lineRule="exact"/>
              <w:ind w:leftChars="0" w:left="215" w:firstLineChars="0" w:hanging="191"/>
              <w:rPr>
                <w:rFonts w:hAnsi="標楷體"/>
                <w:spacing w:val="-20"/>
                <w:sz w:val="22"/>
                <w:szCs w:val="22"/>
              </w:rPr>
            </w:pPr>
            <w:r w:rsidRPr="00507BD2">
              <w:rPr>
                <w:rFonts w:hAnsi="標楷體"/>
                <w:spacing w:val="-20"/>
                <w:sz w:val="22"/>
                <w:szCs w:val="22"/>
              </w:rPr>
              <w:t>5成，保留1成動工款</w:t>
            </w:r>
          </w:p>
          <w:p w:rsidR="00BF0F46" w:rsidRPr="00507BD2" w:rsidRDefault="00BF0F46" w:rsidP="00CC4DC2">
            <w:pPr>
              <w:numPr>
                <w:ilvl w:val="0"/>
                <w:numId w:val="44"/>
              </w:numPr>
              <w:spacing w:line="280" w:lineRule="exact"/>
              <w:ind w:leftChars="0" w:left="215" w:firstLineChars="0" w:hanging="191"/>
              <w:rPr>
                <w:rFonts w:hAnsi="標楷體"/>
                <w:spacing w:val="-20"/>
                <w:sz w:val="22"/>
                <w:szCs w:val="22"/>
              </w:rPr>
            </w:pPr>
            <w:r w:rsidRPr="00507BD2">
              <w:rPr>
                <w:rFonts w:hAnsi="標楷體"/>
                <w:spacing w:val="-30"/>
                <w:sz w:val="22"/>
                <w:szCs w:val="22"/>
              </w:rPr>
              <w:t>檢附具體興建計畫，並切結一定期間內動工興建</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485"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r>
      <w:tr w:rsidR="00BF0F46" w:rsidRPr="00507BD2" w:rsidTr="00EB398E">
        <w:trPr>
          <w:trHeight w:val="20"/>
        </w:trPr>
        <w:tc>
          <w:tcPr>
            <w:tcW w:w="1015" w:type="pct"/>
            <w:gridSpan w:val="2"/>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餘屋貸款</w:t>
            </w:r>
          </w:p>
        </w:tc>
        <w:tc>
          <w:tcPr>
            <w:tcW w:w="657"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5成</w:t>
            </w:r>
          </w:p>
        </w:tc>
        <w:tc>
          <w:tcPr>
            <w:tcW w:w="641" w:type="pct"/>
            <w:shd w:val="clear" w:color="auto" w:fill="auto"/>
            <w:tcMar>
              <w:left w:w="57" w:type="dxa"/>
              <w:right w:w="57" w:type="dxa"/>
            </w:tcMar>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90"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4成</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485"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hint="eastAsia"/>
                <w:spacing w:val="-20"/>
                <w:sz w:val="22"/>
                <w:szCs w:val="22"/>
              </w:rPr>
              <w:t>3成</w:t>
            </w:r>
          </w:p>
        </w:tc>
      </w:tr>
      <w:tr w:rsidR="00BF0F46" w:rsidRPr="00507BD2" w:rsidTr="00EB398E">
        <w:trPr>
          <w:trHeight w:val="20"/>
        </w:trPr>
        <w:tc>
          <w:tcPr>
            <w:tcW w:w="1015" w:type="pct"/>
            <w:gridSpan w:val="2"/>
            <w:shd w:val="clear" w:color="auto" w:fill="auto"/>
            <w:vAlign w:val="center"/>
          </w:tcPr>
          <w:p w:rsidR="00BF0F46" w:rsidRPr="00507BD2" w:rsidRDefault="00BF0F46" w:rsidP="00BF0F46">
            <w:pPr>
              <w:spacing w:line="280" w:lineRule="exact"/>
              <w:ind w:leftChars="0" w:left="0" w:firstLineChars="0" w:firstLine="0"/>
              <w:rPr>
                <w:rFonts w:hAnsi="標楷體"/>
                <w:sz w:val="22"/>
                <w:szCs w:val="22"/>
              </w:rPr>
            </w:pPr>
            <w:r w:rsidRPr="00507BD2">
              <w:rPr>
                <w:rFonts w:hAnsi="標楷體"/>
                <w:sz w:val="22"/>
                <w:szCs w:val="22"/>
              </w:rPr>
              <w:t>工業區閒置土地抵押貸款</w:t>
            </w:r>
          </w:p>
        </w:tc>
        <w:tc>
          <w:tcPr>
            <w:tcW w:w="657" w:type="pct"/>
            <w:shd w:val="clear" w:color="auto" w:fill="auto"/>
            <w:vAlign w:val="center"/>
          </w:tcPr>
          <w:p w:rsidR="00BF0F46" w:rsidRPr="00507BD2" w:rsidRDefault="00BF0F46" w:rsidP="00BF0F46">
            <w:pPr>
              <w:spacing w:line="280" w:lineRule="exact"/>
              <w:ind w:leftChars="0" w:left="0" w:firstLineChars="0" w:firstLine="0"/>
              <w:rPr>
                <w:rFonts w:hAnsi="標楷體"/>
                <w:sz w:val="22"/>
                <w:szCs w:val="22"/>
              </w:rPr>
            </w:pPr>
            <w:r w:rsidRPr="00507BD2">
              <w:rPr>
                <w:rFonts w:hAnsi="標楷體"/>
                <w:sz w:val="22"/>
                <w:szCs w:val="22"/>
              </w:rPr>
              <w:t>銀行自律規範</w:t>
            </w:r>
          </w:p>
        </w:tc>
        <w:tc>
          <w:tcPr>
            <w:tcW w:w="641" w:type="pct"/>
            <w:shd w:val="clear" w:color="auto" w:fill="auto"/>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5.5成</w:t>
            </w:r>
            <w:r w:rsidRPr="00F413FE">
              <w:rPr>
                <w:rFonts w:hAnsi="標楷體"/>
                <w:sz w:val="22"/>
                <w:szCs w:val="22"/>
                <w:vertAlign w:val="superscript"/>
              </w:rPr>
              <w:t>說明</w:t>
            </w:r>
            <w:r w:rsidRPr="00F413FE">
              <w:rPr>
                <w:rFonts w:hAnsi="標楷體" w:hint="eastAsia"/>
                <w:sz w:val="22"/>
                <w:szCs w:val="22"/>
                <w:vertAlign w:val="superscript"/>
              </w:rPr>
              <w:t>2</w:t>
            </w:r>
          </w:p>
        </w:tc>
        <w:tc>
          <w:tcPr>
            <w:tcW w:w="590"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5成</w:t>
            </w:r>
            <w:r w:rsidRPr="00F413FE">
              <w:rPr>
                <w:rFonts w:hAnsi="標楷體"/>
                <w:sz w:val="22"/>
                <w:szCs w:val="22"/>
                <w:vertAlign w:val="superscript"/>
              </w:rPr>
              <w:t>說明2</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4成</w:t>
            </w:r>
            <w:r w:rsidRPr="00F413FE">
              <w:rPr>
                <w:rFonts w:hAnsi="標楷體"/>
                <w:sz w:val="22"/>
                <w:szCs w:val="22"/>
                <w:vertAlign w:val="superscript"/>
              </w:rPr>
              <w:t>說明2</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537"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c>
          <w:tcPr>
            <w:tcW w:w="485" w:type="pct"/>
            <w:vAlign w:val="center"/>
          </w:tcPr>
          <w:p w:rsidR="00BF0F46" w:rsidRPr="00507BD2" w:rsidRDefault="00BF0F46" w:rsidP="00BF0F46">
            <w:pPr>
              <w:spacing w:line="280" w:lineRule="exact"/>
              <w:ind w:leftChars="0" w:left="0" w:firstLineChars="0" w:firstLine="0"/>
              <w:rPr>
                <w:rFonts w:hAnsi="標楷體"/>
                <w:spacing w:val="-20"/>
                <w:sz w:val="22"/>
                <w:szCs w:val="22"/>
              </w:rPr>
            </w:pPr>
            <w:r w:rsidRPr="00507BD2">
              <w:rPr>
                <w:rFonts w:hAnsi="標楷體"/>
                <w:spacing w:val="-20"/>
                <w:sz w:val="22"/>
                <w:szCs w:val="22"/>
              </w:rPr>
              <w:t>維持不變</w:t>
            </w:r>
          </w:p>
        </w:tc>
      </w:tr>
    </w:tbl>
    <w:p w:rsidR="003C7857" w:rsidRPr="00507BD2" w:rsidRDefault="00C75457" w:rsidP="00DF4CD0">
      <w:pPr>
        <w:pStyle w:val="142"/>
        <w:ind w:left="1413" w:hangingChars="581" w:hanging="1413"/>
        <w:jc w:val="both"/>
        <w:rPr>
          <w:rFonts w:hAnsi="標楷體" w:hint="eastAsia"/>
        </w:rPr>
      </w:pPr>
      <w:r w:rsidRPr="00507BD2">
        <w:rPr>
          <w:rFonts w:hAnsi="標楷體" w:hint="eastAsia"/>
        </w:rPr>
        <w:t>說    明：</w:t>
      </w:r>
      <w:r w:rsidR="003C7857" w:rsidRPr="00507BD2">
        <w:rPr>
          <w:rFonts w:hAnsi="標楷體" w:hint="eastAsia"/>
        </w:rPr>
        <w:t>1.特定地區包括臺北市、新北市、桃園市、臺中市、臺南市、高雄市、新竹縣及新竹市。</w:t>
      </w:r>
    </w:p>
    <w:p w:rsidR="00C75457" w:rsidRPr="00507BD2" w:rsidRDefault="003C7857" w:rsidP="00DF4CD0">
      <w:pPr>
        <w:pStyle w:val="142"/>
        <w:ind w:leftChars="426" w:left="1454" w:hangingChars="102" w:hanging="248"/>
        <w:jc w:val="both"/>
        <w:rPr>
          <w:rFonts w:hAnsi="標楷體" w:hint="eastAsia"/>
        </w:rPr>
      </w:pPr>
      <w:r w:rsidRPr="00507BD2">
        <w:rPr>
          <w:rFonts w:hAnsi="標楷體" w:hint="eastAsia"/>
        </w:rPr>
        <w:t>2.若抵押土地已動工興建開發，或借款人檢附抵押土地具體興建開發計畫，並切結於一定期間內(110年9月23日修正為1年)興建開發者，可排除適用。</w:t>
      </w:r>
    </w:p>
    <w:p w:rsidR="00C75457" w:rsidRPr="00507BD2" w:rsidRDefault="00C75457" w:rsidP="003C7857">
      <w:pPr>
        <w:pStyle w:val="142"/>
        <w:rPr>
          <w:rFonts w:hAnsi="標楷體" w:hint="eastAsia"/>
        </w:rPr>
      </w:pPr>
      <w:r w:rsidRPr="00507BD2">
        <w:rPr>
          <w:rFonts w:hAnsi="標楷體" w:hint="eastAsia"/>
        </w:rPr>
        <w:t>資料來源：央行。</w:t>
      </w:r>
    </w:p>
    <w:p w:rsidR="00C75457" w:rsidRPr="00507BD2" w:rsidRDefault="00C75457" w:rsidP="00C75457">
      <w:pPr>
        <w:pStyle w:val="a4"/>
        <w:rPr>
          <w:rFonts w:hint="eastAsia"/>
          <w:b/>
        </w:rPr>
      </w:pPr>
      <w:r w:rsidRPr="00507BD2">
        <w:rPr>
          <w:rFonts w:hint="eastAsia"/>
          <w:b/>
        </w:rPr>
        <w:t>(二)</w:t>
      </w:r>
      <w:r w:rsidR="005702F5" w:rsidRPr="00A90610">
        <w:rPr>
          <w:rFonts w:hint="eastAsia"/>
          <w:b/>
        </w:rPr>
        <w:t>不動產貸款</w:t>
      </w:r>
      <w:r w:rsidR="00DF4CD0" w:rsidRPr="00A90610">
        <w:rPr>
          <w:rFonts w:hint="eastAsia"/>
          <w:b/>
        </w:rPr>
        <w:t>集中度</w:t>
      </w:r>
      <w:r w:rsidR="002334C6" w:rsidRPr="00A90610">
        <w:rPr>
          <w:rFonts w:hint="eastAsia"/>
          <w:b/>
        </w:rPr>
        <w:t>問題</w:t>
      </w:r>
      <w:r w:rsidR="00937398" w:rsidRPr="00A90610">
        <w:rPr>
          <w:rFonts w:hint="eastAsia"/>
          <w:b/>
        </w:rPr>
        <w:t>猶存</w:t>
      </w:r>
      <w:r w:rsidR="00DF4CD0" w:rsidRPr="00A90610">
        <w:rPr>
          <w:rFonts w:hint="eastAsia"/>
          <w:b/>
        </w:rPr>
        <w:t>，</w:t>
      </w:r>
      <w:r w:rsidR="00F764C0" w:rsidRPr="00A90610">
        <w:rPr>
          <w:rFonts w:hint="eastAsia"/>
          <w:b/>
        </w:rPr>
        <w:t>113年度</w:t>
      </w:r>
      <w:r w:rsidR="00A90610" w:rsidRPr="00A90610">
        <w:rPr>
          <w:rFonts w:hint="eastAsia"/>
          <w:b/>
        </w:rPr>
        <w:t>至8月底</w:t>
      </w:r>
      <w:r w:rsidR="000F3CFE" w:rsidRPr="00A90610">
        <w:rPr>
          <w:rFonts w:hint="eastAsia"/>
          <w:b/>
        </w:rPr>
        <w:t>購置住宅貸款</w:t>
      </w:r>
      <w:r w:rsidR="00F764C0" w:rsidRPr="00A90610">
        <w:rPr>
          <w:rFonts w:hint="eastAsia"/>
          <w:b/>
        </w:rPr>
        <w:t>餘額急速增加</w:t>
      </w:r>
    </w:p>
    <w:p w:rsidR="00726CE3" w:rsidRPr="00507BD2" w:rsidRDefault="002F2C41" w:rsidP="00C75457">
      <w:pPr>
        <w:pStyle w:val="21"/>
        <w:ind w:left="850" w:firstLine="566"/>
        <w:rPr>
          <w:rFonts w:hAnsi="標楷體"/>
        </w:rPr>
      </w:pPr>
      <w:r w:rsidRPr="00507BD2">
        <w:rPr>
          <w:rFonts w:hAnsi="標楷體" w:hint="eastAsia"/>
        </w:rPr>
        <w:t>檢視</w:t>
      </w:r>
      <w:r w:rsidR="00726CE3" w:rsidRPr="00507BD2">
        <w:rPr>
          <w:rFonts w:hAnsi="標楷體" w:hint="eastAsia"/>
        </w:rPr>
        <w:t>自109年12月</w:t>
      </w:r>
      <w:r w:rsidR="00C80A58" w:rsidRPr="00507BD2">
        <w:rPr>
          <w:rFonts w:hAnsi="標楷體" w:hint="eastAsia"/>
        </w:rPr>
        <w:t>實施</w:t>
      </w:r>
      <w:r w:rsidR="00726CE3" w:rsidRPr="00507BD2">
        <w:rPr>
          <w:rFonts w:hAnsi="標楷體" w:hint="eastAsia"/>
        </w:rPr>
        <w:t>選擇性信用管制措施</w:t>
      </w:r>
      <w:r w:rsidR="004D501E" w:rsidRPr="00507BD2">
        <w:rPr>
          <w:rFonts w:hAnsi="標楷體" w:hint="eastAsia"/>
        </w:rPr>
        <w:t>以</w:t>
      </w:r>
      <w:r w:rsidR="00C80A58" w:rsidRPr="00507BD2">
        <w:rPr>
          <w:rFonts w:hAnsi="標楷體" w:hint="eastAsia"/>
        </w:rPr>
        <w:t>來</w:t>
      </w:r>
      <w:r w:rsidR="00726CE3" w:rsidRPr="00507BD2">
        <w:rPr>
          <w:rFonts w:hAnsi="標楷體" w:hint="eastAsia"/>
        </w:rPr>
        <w:t>政策成效，</w:t>
      </w:r>
      <w:r w:rsidR="0071071B" w:rsidRPr="00507BD2">
        <w:rPr>
          <w:rFonts w:hAnsi="標楷體" w:hint="eastAsia"/>
        </w:rPr>
        <w:t>銀行信用資源仍持續流向不動產市場</w:t>
      </w:r>
      <w:r w:rsidR="00235062" w:rsidRPr="00507BD2">
        <w:rPr>
          <w:rFonts w:hAnsi="標楷體" w:hint="eastAsia"/>
        </w:rPr>
        <w:t>。</w:t>
      </w:r>
      <w:r w:rsidR="0071071B" w:rsidRPr="00507BD2">
        <w:rPr>
          <w:rFonts w:hAnsi="標楷體" w:hint="eastAsia"/>
        </w:rPr>
        <w:t>茲</w:t>
      </w:r>
      <w:r w:rsidR="00904E57" w:rsidRPr="00507BD2">
        <w:rPr>
          <w:rFonts w:hAnsi="標楷體" w:hint="eastAsia"/>
        </w:rPr>
        <w:t>說明如次</w:t>
      </w:r>
      <w:r w:rsidR="0071071B" w:rsidRPr="00507BD2">
        <w:rPr>
          <w:rFonts w:hAnsi="標楷體" w:hint="eastAsia"/>
        </w:rPr>
        <w:t>：</w:t>
      </w:r>
    </w:p>
    <w:p w:rsidR="00904E57" w:rsidRPr="00507BD2" w:rsidRDefault="00904E57" w:rsidP="00904E57">
      <w:pPr>
        <w:ind w:leftChars="300" w:left="1133" w:hangingChars="100" w:hanging="283"/>
        <w:rPr>
          <w:rFonts w:hAnsi="標楷體" w:cs="標楷體" w:hint="eastAsia"/>
          <w:color w:val="000000"/>
        </w:rPr>
      </w:pPr>
      <w:r w:rsidRPr="00507BD2">
        <w:rPr>
          <w:rFonts w:hAnsi="標楷體" w:cs="標楷體"/>
          <w:b/>
          <w:color w:val="000000"/>
        </w:rPr>
        <w:t>1.</w:t>
      </w:r>
      <w:r w:rsidRPr="00507BD2">
        <w:rPr>
          <w:rFonts w:hAnsi="標楷體" w:cs="標楷體" w:hint="eastAsia"/>
          <w:b/>
          <w:color w:val="000000"/>
        </w:rPr>
        <w:t>不動產貸款集中度居高：</w:t>
      </w:r>
      <w:r w:rsidRPr="00507BD2">
        <w:rPr>
          <w:rFonts w:hAnsi="標楷體" w:cs="標楷體" w:hint="eastAsia"/>
          <w:color w:val="000000"/>
        </w:rPr>
        <w:t>109至113年8月間不動產貸款集中</w:t>
      </w:r>
      <w:r w:rsidRPr="00507BD2">
        <w:rPr>
          <w:rFonts w:hAnsi="標楷體" w:cs="標楷體" w:hint="eastAsia"/>
          <w:color w:val="000000"/>
        </w:rPr>
        <w:lastRenderedPageBreak/>
        <w:t>度於35.34%至37.64%間波動，</w:t>
      </w:r>
      <w:r w:rsidR="00854BFD">
        <w:rPr>
          <w:rFonts w:hAnsi="標楷體" w:cs="標楷體" w:hint="eastAsia"/>
          <w:color w:val="000000"/>
        </w:rPr>
        <w:t>112年度起皆高於37%</w:t>
      </w:r>
      <w:r w:rsidR="003D312E" w:rsidRPr="00507BD2">
        <w:rPr>
          <w:rFonts w:hAnsi="標楷體" w:cs="標楷體" w:hint="eastAsia"/>
          <w:color w:val="000000"/>
        </w:rPr>
        <w:t>，年平均數仍呈現趨增現象</w:t>
      </w:r>
      <w:r w:rsidR="00854BFD">
        <w:rPr>
          <w:rFonts w:hAnsi="標楷體" w:cs="標楷體" w:hint="eastAsia"/>
          <w:color w:val="000000"/>
        </w:rPr>
        <w:t>，</w:t>
      </w:r>
      <w:r w:rsidRPr="00507BD2">
        <w:rPr>
          <w:rFonts w:hAnsi="標楷體" w:cs="標楷體" w:hint="eastAsia"/>
          <w:color w:val="000000"/>
        </w:rPr>
        <w:t>11</w:t>
      </w:r>
      <w:r w:rsidRPr="00507BD2">
        <w:rPr>
          <w:rFonts w:hAnsi="標楷體" w:cs="標楷體"/>
          <w:color w:val="000000"/>
        </w:rPr>
        <w:t>3</w:t>
      </w:r>
      <w:r w:rsidRPr="00507BD2">
        <w:rPr>
          <w:rFonts w:hAnsi="標楷體" w:cs="標楷體" w:hint="eastAsia"/>
          <w:color w:val="000000"/>
        </w:rPr>
        <w:t>年8月底為37.49%(詳表2)，集中度</w:t>
      </w:r>
      <w:r w:rsidR="00A90610">
        <w:rPr>
          <w:rFonts w:hAnsi="標楷體" w:cs="標楷體" w:hint="eastAsia"/>
          <w:color w:val="000000"/>
        </w:rPr>
        <w:t>趨</w:t>
      </w:r>
      <w:r w:rsidRPr="00507BD2">
        <w:rPr>
          <w:rFonts w:hAnsi="標楷體" w:cs="標楷體" w:hint="eastAsia"/>
          <w:color w:val="000000"/>
        </w:rPr>
        <w:t>高，未因實施選擇性信用管制措施而有效下降。</w:t>
      </w:r>
    </w:p>
    <w:p w:rsidR="00904E57" w:rsidRPr="00507BD2" w:rsidRDefault="00904E57" w:rsidP="00904E57">
      <w:pPr>
        <w:ind w:left="566" w:firstLineChars="101" w:firstLine="286"/>
        <w:rPr>
          <w:rFonts w:hAnsi="標楷體"/>
        </w:rPr>
      </w:pPr>
      <w:r w:rsidRPr="00507BD2">
        <w:rPr>
          <w:rFonts w:hAnsi="標楷體" w:hint="eastAsia"/>
          <w:b/>
        </w:rPr>
        <w:t>表</w:t>
      </w:r>
      <w:r w:rsidRPr="00507BD2">
        <w:rPr>
          <w:rFonts w:hAnsi="標楷體"/>
          <w:b/>
        </w:rPr>
        <w:t xml:space="preserve">2 </w:t>
      </w:r>
      <w:r w:rsidR="00075BEE" w:rsidRPr="00507BD2">
        <w:rPr>
          <w:rFonts w:hAnsi="標楷體" w:hint="eastAsia"/>
          <w:b/>
        </w:rPr>
        <w:t xml:space="preserve"> </w:t>
      </w:r>
      <w:r w:rsidRPr="00507BD2">
        <w:rPr>
          <w:rFonts w:hAnsi="標楷體"/>
          <w:b/>
        </w:rPr>
        <w:t>109</w:t>
      </w:r>
      <w:r w:rsidRPr="00507BD2">
        <w:rPr>
          <w:rFonts w:hAnsi="標楷體" w:hint="eastAsia"/>
          <w:b/>
        </w:rPr>
        <w:t>至1</w:t>
      </w:r>
      <w:r w:rsidRPr="00507BD2">
        <w:rPr>
          <w:rFonts w:hAnsi="標楷體"/>
          <w:b/>
        </w:rPr>
        <w:t>13</w:t>
      </w:r>
      <w:r w:rsidRPr="00507BD2">
        <w:rPr>
          <w:rFonts w:hAnsi="標楷體" w:hint="eastAsia"/>
          <w:b/>
        </w:rPr>
        <w:t>年8月不動產貸款集中度</w:t>
      </w:r>
      <w:r w:rsidR="00A90610">
        <w:rPr>
          <w:rFonts w:hAnsi="標楷體" w:hint="eastAsia"/>
          <w:b/>
        </w:rPr>
        <w:t xml:space="preserve">情形表 </w:t>
      </w:r>
      <w:r w:rsidRPr="00507BD2">
        <w:rPr>
          <w:rFonts w:hAnsi="標楷體"/>
        </w:rPr>
        <w:t xml:space="preserve">     </w:t>
      </w:r>
      <w:r w:rsidRPr="00507BD2">
        <w:rPr>
          <w:rFonts w:hAnsi="標楷體" w:hint="eastAsia"/>
          <w:sz w:val="24"/>
          <w:szCs w:val="24"/>
        </w:rPr>
        <w:t>單位：%</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33"/>
        <w:gridCol w:w="1231"/>
        <w:gridCol w:w="1273"/>
        <w:gridCol w:w="1273"/>
        <w:gridCol w:w="1272"/>
        <w:gridCol w:w="1672"/>
      </w:tblGrid>
      <w:tr w:rsidR="00904E57" w:rsidRPr="00507BD2" w:rsidTr="003829D2">
        <w:trPr>
          <w:trHeight w:val="340"/>
          <w:tblHeader/>
        </w:trPr>
        <w:tc>
          <w:tcPr>
            <w:tcW w:w="933" w:type="dxa"/>
            <w:shd w:val="clear" w:color="auto" w:fill="auto"/>
            <w:vAlign w:val="center"/>
            <w:hideMark/>
          </w:tcPr>
          <w:p w:rsidR="00904E57" w:rsidRPr="00507BD2" w:rsidRDefault="00904E57" w:rsidP="00DF4CD0">
            <w:pPr>
              <w:pStyle w:val="142"/>
              <w:jc w:val="center"/>
              <w:rPr>
                <w:rFonts w:hAnsi="標楷體"/>
                <w:b/>
              </w:rPr>
            </w:pPr>
            <w:r w:rsidRPr="00507BD2">
              <w:rPr>
                <w:rFonts w:hAnsi="標楷體" w:hint="eastAsia"/>
                <w:b/>
              </w:rPr>
              <w:t>月份</w:t>
            </w:r>
          </w:p>
        </w:tc>
        <w:tc>
          <w:tcPr>
            <w:tcW w:w="1231" w:type="dxa"/>
            <w:shd w:val="clear" w:color="auto" w:fill="auto"/>
            <w:vAlign w:val="center"/>
            <w:hideMark/>
          </w:tcPr>
          <w:p w:rsidR="00904E57" w:rsidRPr="00507BD2" w:rsidRDefault="00904E57" w:rsidP="00DF4CD0">
            <w:pPr>
              <w:pStyle w:val="142"/>
              <w:jc w:val="center"/>
              <w:rPr>
                <w:rFonts w:hAnsi="標楷體" w:hint="eastAsia"/>
                <w:b/>
              </w:rPr>
            </w:pPr>
            <w:r w:rsidRPr="00507BD2">
              <w:rPr>
                <w:rFonts w:hAnsi="標楷體" w:hint="eastAsia"/>
                <w:b/>
              </w:rPr>
              <w:t>109年度</w:t>
            </w:r>
          </w:p>
        </w:tc>
        <w:tc>
          <w:tcPr>
            <w:tcW w:w="1273" w:type="dxa"/>
            <w:shd w:val="clear" w:color="auto" w:fill="auto"/>
            <w:vAlign w:val="center"/>
            <w:hideMark/>
          </w:tcPr>
          <w:p w:rsidR="00904E57" w:rsidRPr="00507BD2" w:rsidRDefault="00904E57" w:rsidP="00DF4CD0">
            <w:pPr>
              <w:pStyle w:val="142"/>
              <w:jc w:val="center"/>
              <w:rPr>
                <w:rFonts w:hAnsi="標楷體" w:hint="eastAsia"/>
                <w:b/>
              </w:rPr>
            </w:pPr>
            <w:r w:rsidRPr="00507BD2">
              <w:rPr>
                <w:rFonts w:hAnsi="標楷體" w:hint="eastAsia"/>
                <w:b/>
              </w:rPr>
              <w:t>110年度</w:t>
            </w:r>
          </w:p>
        </w:tc>
        <w:tc>
          <w:tcPr>
            <w:tcW w:w="1273" w:type="dxa"/>
            <w:shd w:val="clear" w:color="auto" w:fill="auto"/>
            <w:vAlign w:val="center"/>
            <w:hideMark/>
          </w:tcPr>
          <w:p w:rsidR="00904E57" w:rsidRPr="00507BD2" w:rsidRDefault="00904E57" w:rsidP="00DF4CD0">
            <w:pPr>
              <w:pStyle w:val="142"/>
              <w:jc w:val="center"/>
              <w:rPr>
                <w:rFonts w:hAnsi="標楷體" w:hint="eastAsia"/>
                <w:b/>
              </w:rPr>
            </w:pPr>
            <w:r w:rsidRPr="00507BD2">
              <w:rPr>
                <w:rFonts w:hAnsi="標楷體" w:hint="eastAsia"/>
                <w:b/>
              </w:rPr>
              <w:t>111年度</w:t>
            </w:r>
          </w:p>
        </w:tc>
        <w:tc>
          <w:tcPr>
            <w:tcW w:w="1272" w:type="dxa"/>
            <w:shd w:val="clear" w:color="auto" w:fill="auto"/>
            <w:vAlign w:val="center"/>
            <w:hideMark/>
          </w:tcPr>
          <w:p w:rsidR="00904E57" w:rsidRPr="00507BD2" w:rsidRDefault="00904E57" w:rsidP="00DF4CD0">
            <w:pPr>
              <w:pStyle w:val="142"/>
              <w:jc w:val="center"/>
              <w:rPr>
                <w:rFonts w:hAnsi="標楷體" w:hint="eastAsia"/>
                <w:b/>
              </w:rPr>
            </w:pPr>
            <w:r w:rsidRPr="00507BD2">
              <w:rPr>
                <w:rFonts w:hAnsi="標楷體" w:hint="eastAsia"/>
                <w:b/>
              </w:rPr>
              <w:t>112年度</w:t>
            </w:r>
          </w:p>
        </w:tc>
        <w:tc>
          <w:tcPr>
            <w:tcW w:w="1672" w:type="dxa"/>
            <w:shd w:val="clear" w:color="auto" w:fill="auto"/>
            <w:vAlign w:val="center"/>
            <w:hideMark/>
          </w:tcPr>
          <w:p w:rsidR="00904E57" w:rsidRPr="00507BD2" w:rsidRDefault="00904E57" w:rsidP="00DF4CD0">
            <w:pPr>
              <w:pStyle w:val="142"/>
              <w:jc w:val="center"/>
              <w:rPr>
                <w:rFonts w:hAnsi="標楷體" w:hint="eastAsia"/>
                <w:b/>
              </w:rPr>
            </w:pPr>
            <w:r w:rsidRPr="00507BD2">
              <w:rPr>
                <w:rFonts w:hAnsi="標楷體" w:hint="eastAsia"/>
                <w:b/>
              </w:rPr>
              <w:t>113年度</w:t>
            </w: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1</w:t>
            </w:r>
          </w:p>
        </w:tc>
        <w:tc>
          <w:tcPr>
            <w:tcW w:w="1231" w:type="dxa"/>
            <w:shd w:val="clear" w:color="auto" w:fill="F2F2F2"/>
            <w:vAlign w:val="center"/>
            <w:hideMark/>
          </w:tcPr>
          <w:p w:rsidR="00904E57" w:rsidRPr="00507BD2" w:rsidRDefault="00904E57" w:rsidP="00904E57">
            <w:pPr>
              <w:pStyle w:val="142"/>
              <w:jc w:val="right"/>
              <w:rPr>
                <w:rFonts w:hAnsi="標楷體" w:hint="eastAsia"/>
                <w:b/>
              </w:rPr>
            </w:pPr>
            <w:r w:rsidRPr="00507BD2">
              <w:rPr>
                <w:rFonts w:hAnsi="標楷體" w:hint="eastAsia"/>
                <w:b/>
              </w:rPr>
              <w:t>35.34</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36.74</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37.21</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37.07</w:t>
            </w:r>
          </w:p>
        </w:tc>
        <w:tc>
          <w:tcPr>
            <w:tcW w:w="1672" w:type="dxa"/>
            <w:shd w:val="clear" w:color="auto" w:fill="F2F2F2"/>
            <w:vAlign w:val="center"/>
            <w:hideMark/>
          </w:tcPr>
          <w:p w:rsidR="00904E57" w:rsidRPr="00507BD2" w:rsidRDefault="00904E57" w:rsidP="00904E57">
            <w:pPr>
              <w:pStyle w:val="142"/>
              <w:jc w:val="right"/>
              <w:rPr>
                <w:rFonts w:hAnsi="標楷體" w:hint="eastAsia"/>
                <w:b/>
              </w:rPr>
            </w:pPr>
            <w:r w:rsidRPr="00507BD2">
              <w:rPr>
                <w:rFonts w:hAnsi="標楷體" w:hint="eastAsia"/>
                <w:b/>
              </w:rPr>
              <w:t>3</w:t>
            </w:r>
            <w:r w:rsidRPr="00507BD2">
              <w:rPr>
                <w:rFonts w:hAnsi="標楷體" w:hint="eastAsia"/>
                <w:b/>
                <w:shd w:val="clear" w:color="auto" w:fill="F2F2F2"/>
              </w:rPr>
              <w:t>7.64</w:t>
            </w: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2</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35.37</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36.74</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37.31</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37.25</w:t>
            </w:r>
          </w:p>
        </w:tc>
        <w:tc>
          <w:tcPr>
            <w:tcW w:w="16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37.45</w:t>
            </w: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3</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35.43</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 xml:space="preserve">36.7 </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37.29</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37.04</w:t>
            </w:r>
          </w:p>
        </w:tc>
        <w:tc>
          <w:tcPr>
            <w:tcW w:w="16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37.27</w:t>
            </w: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4</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35.5</w:t>
            </w:r>
            <w:r w:rsidR="00C334EB" w:rsidRPr="00507BD2">
              <w:rPr>
                <w:rFonts w:hAnsi="標楷體" w:hint="eastAsia"/>
              </w:rPr>
              <w:t xml:space="preserve"> </w:t>
            </w:r>
            <w:r w:rsidR="0055327C" w:rsidRPr="00507BD2">
              <w:rPr>
                <w:rFonts w:hAnsi="標楷體" w:hint="eastAsia"/>
              </w:rPr>
              <w:t xml:space="preserve">  </w:t>
            </w:r>
            <w:r w:rsidRPr="00507BD2">
              <w:rPr>
                <w:rFonts w:hAnsi="標楷體" w:hint="eastAsia"/>
              </w:rPr>
              <w:t xml:space="preserve"> </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36.95</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37.12</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37.23</w:t>
            </w:r>
          </w:p>
        </w:tc>
        <w:tc>
          <w:tcPr>
            <w:tcW w:w="16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 xml:space="preserve">37.4 </w:t>
            </w: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5</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35.44</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36.79</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 xml:space="preserve">37.2 </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37.17</w:t>
            </w:r>
          </w:p>
        </w:tc>
        <w:tc>
          <w:tcPr>
            <w:tcW w:w="16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37.31</w:t>
            </w: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6</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35.35</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36.59</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37.12</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37.52</w:t>
            </w:r>
          </w:p>
        </w:tc>
        <w:tc>
          <w:tcPr>
            <w:tcW w:w="16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37.61</w:t>
            </w: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7</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35.55</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36.93</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37.28</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37.41</w:t>
            </w:r>
          </w:p>
        </w:tc>
        <w:tc>
          <w:tcPr>
            <w:tcW w:w="16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 xml:space="preserve">37.4 </w:t>
            </w: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8</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35.63</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36.84</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37.08</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37.38</w:t>
            </w:r>
          </w:p>
        </w:tc>
        <w:tc>
          <w:tcPr>
            <w:tcW w:w="1672" w:type="dxa"/>
            <w:tcBorders>
              <w:bottom w:val="single" w:sz="6" w:space="0" w:color="auto"/>
            </w:tcBorders>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37.49</w:t>
            </w: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9</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35.77</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36.76</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36.84</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37.34</w:t>
            </w:r>
          </w:p>
        </w:tc>
        <w:tc>
          <w:tcPr>
            <w:tcW w:w="1672" w:type="dxa"/>
            <w:vMerge w:val="restart"/>
            <w:tcBorders>
              <w:top w:val="single" w:sz="6" w:space="0" w:color="auto"/>
              <w:bottom w:val="single" w:sz="12" w:space="0" w:color="auto"/>
              <w:tr2bl w:val="single" w:sz="6" w:space="0" w:color="auto"/>
            </w:tcBorders>
            <w:shd w:val="clear" w:color="auto" w:fill="auto"/>
            <w:vAlign w:val="center"/>
            <w:hideMark/>
          </w:tcPr>
          <w:p w:rsidR="00904E57" w:rsidRPr="00507BD2" w:rsidRDefault="00904E57" w:rsidP="00904E57">
            <w:pPr>
              <w:pStyle w:val="142"/>
              <w:rPr>
                <w:rFonts w:hAnsi="標楷體" w:hint="eastAsia"/>
              </w:rPr>
            </w:pP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10</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35.93</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37.02</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 xml:space="preserve">36.9 </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 xml:space="preserve">37.6 </w:t>
            </w:r>
          </w:p>
        </w:tc>
        <w:tc>
          <w:tcPr>
            <w:tcW w:w="1672" w:type="dxa"/>
            <w:vMerge/>
            <w:tcBorders>
              <w:top w:val="nil"/>
              <w:bottom w:val="single" w:sz="12" w:space="0" w:color="auto"/>
              <w:tr2bl w:val="single" w:sz="6" w:space="0" w:color="auto"/>
            </w:tcBorders>
            <w:vAlign w:val="center"/>
            <w:hideMark/>
          </w:tcPr>
          <w:p w:rsidR="00904E57" w:rsidRPr="00507BD2" w:rsidRDefault="00904E57" w:rsidP="00904E57">
            <w:pPr>
              <w:pStyle w:val="142"/>
              <w:rPr>
                <w:rFonts w:hAnsi="標楷體"/>
              </w:rPr>
            </w:pPr>
          </w:p>
        </w:tc>
      </w:tr>
      <w:tr w:rsidR="00904E57" w:rsidRPr="00507BD2" w:rsidTr="003829D2">
        <w:trPr>
          <w:trHeight w:val="20"/>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11</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36.16</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37.17</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36.98</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37.54</w:t>
            </w:r>
          </w:p>
        </w:tc>
        <w:tc>
          <w:tcPr>
            <w:tcW w:w="1672" w:type="dxa"/>
            <w:vMerge/>
            <w:tcBorders>
              <w:top w:val="nil"/>
              <w:bottom w:val="single" w:sz="12" w:space="0" w:color="auto"/>
              <w:tr2bl w:val="single" w:sz="6" w:space="0" w:color="auto"/>
            </w:tcBorders>
            <w:vAlign w:val="center"/>
            <w:hideMark/>
          </w:tcPr>
          <w:p w:rsidR="00904E57" w:rsidRPr="00507BD2" w:rsidRDefault="00904E57" w:rsidP="00904E57">
            <w:pPr>
              <w:pStyle w:val="142"/>
              <w:rPr>
                <w:rFonts w:hAnsi="標楷體"/>
              </w:rPr>
            </w:pPr>
          </w:p>
        </w:tc>
      </w:tr>
      <w:tr w:rsidR="00904E57" w:rsidRPr="00507BD2" w:rsidTr="003829D2">
        <w:trPr>
          <w:trHeight w:val="283"/>
        </w:trPr>
        <w:tc>
          <w:tcPr>
            <w:tcW w:w="933" w:type="dxa"/>
            <w:shd w:val="clear" w:color="auto" w:fill="auto"/>
            <w:vAlign w:val="center"/>
            <w:hideMark/>
          </w:tcPr>
          <w:p w:rsidR="00904E57" w:rsidRPr="00507BD2" w:rsidRDefault="00904E57" w:rsidP="00DF4CD0">
            <w:pPr>
              <w:pStyle w:val="142"/>
              <w:jc w:val="center"/>
              <w:rPr>
                <w:rFonts w:hAnsi="標楷體" w:hint="eastAsia"/>
              </w:rPr>
            </w:pPr>
            <w:r w:rsidRPr="00507BD2">
              <w:rPr>
                <w:rFonts w:hAnsi="標楷體" w:hint="eastAsia"/>
              </w:rPr>
              <w:t>12</w:t>
            </w:r>
          </w:p>
        </w:tc>
        <w:tc>
          <w:tcPr>
            <w:tcW w:w="1231"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36.64</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37.37</w:t>
            </w:r>
          </w:p>
        </w:tc>
        <w:tc>
          <w:tcPr>
            <w:tcW w:w="1273"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37.03</w:t>
            </w:r>
          </w:p>
        </w:tc>
        <w:tc>
          <w:tcPr>
            <w:tcW w:w="1272" w:type="dxa"/>
            <w:shd w:val="clear" w:color="auto" w:fill="auto"/>
            <w:vAlign w:val="center"/>
            <w:hideMark/>
          </w:tcPr>
          <w:p w:rsidR="00904E57" w:rsidRPr="00507BD2" w:rsidRDefault="00904E57" w:rsidP="00904E57">
            <w:pPr>
              <w:pStyle w:val="142"/>
              <w:jc w:val="right"/>
              <w:rPr>
                <w:rFonts w:hAnsi="標楷體" w:hint="eastAsia"/>
              </w:rPr>
            </w:pPr>
            <w:r w:rsidRPr="00507BD2">
              <w:rPr>
                <w:rFonts w:hAnsi="標楷體" w:hint="eastAsia"/>
              </w:rPr>
              <w:t>37.49</w:t>
            </w:r>
          </w:p>
        </w:tc>
        <w:tc>
          <w:tcPr>
            <w:tcW w:w="1672" w:type="dxa"/>
            <w:vMerge/>
            <w:tcBorders>
              <w:top w:val="nil"/>
              <w:bottom w:val="single" w:sz="12" w:space="0" w:color="auto"/>
              <w:tr2bl w:val="single" w:sz="6" w:space="0" w:color="auto"/>
            </w:tcBorders>
            <w:vAlign w:val="center"/>
            <w:hideMark/>
          </w:tcPr>
          <w:p w:rsidR="00904E57" w:rsidRPr="00507BD2" w:rsidRDefault="00904E57" w:rsidP="00904E57">
            <w:pPr>
              <w:pStyle w:val="142"/>
              <w:rPr>
                <w:rFonts w:hAnsi="標楷體"/>
              </w:rPr>
            </w:pPr>
          </w:p>
        </w:tc>
      </w:tr>
      <w:tr w:rsidR="00904E57" w:rsidRPr="00507BD2" w:rsidTr="00233FC9">
        <w:trPr>
          <w:trHeight w:val="227"/>
        </w:trPr>
        <w:tc>
          <w:tcPr>
            <w:tcW w:w="933" w:type="dxa"/>
            <w:shd w:val="clear" w:color="auto" w:fill="F2F2F2"/>
            <w:vAlign w:val="center"/>
            <w:hideMark/>
          </w:tcPr>
          <w:p w:rsidR="00904E57" w:rsidRPr="00507BD2" w:rsidRDefault="00904E57" w:rsidP="00DF4CD0">
            <w:pPr>
              <w:pStyle w:val="142"/>
              <w:jc w:val="center"/>
              <w:rPr>
                <w:rFonts w:hAnsi="標楷體" w:hint="eastAsia"/>
              </w:rPr>
            </w:pPr>
            <w:r w:rsidRPr="00507BD2">
              <w:rPr>
                <w:rFonts w:hAnsi="標楷體" w:hint="eastAsia"/>
              </w:rPr>
              <w:t>平均</w:t>
            </w:r>
          </w:p>
        </w:tc>
        <w:tc>
          <w:tcPr>
            <w:tcW w:w="1231" w:type="dxa"/>
            <w:shd w:val="clear" w:color="auto" w:fill="F2F2F2"/>
            <w:vAlign w:val="center"/>
            <w:hideMark/>
          </w:tcPr>
          <w:p w:rsidR="00904E57" w:rsidRPr="00507BD2" w:rsidRDefault="00904E57" w:rsidP="00904E57">
            <w:pPr>
              <w:pStyle w:val="142"/>
              <w:jc w:val="right"/>
              <w:rPr>
                <w:rFonts w:hAnsi="標楷體" w:hint="eastAsia"/>
              </w:rPr>
            </w:pPr>
            <w:r w:rsidRPr="00507BD2">
              <w:rPr>
                <w:rFonts w:hAnsi="標楷體" w:hint="eastAsia"/>
              </w:rPr>
              <w:t>35.68</w:t>
            </w:r>
          </w:p>
        </w:tc>
        <w:tc>
          <w:tcPr>
            <w:tcW w:w="1273" w:type="dxa"/>
            <w:shd w:val="clear" w:color="auto" w:fill="F2F2F2"/>
            <w:vAlign w:val="center"/>
            <w:hideMark/>
          </w:tcPr>
          <w:p w:rsidR="00904E57" w:rsidRPr="00507BD2" w:rsidRDefault="00904E57" w:rsidP="00904E57">
            <w:pPr>
              <w:pStyle w:val="142"/>
              <w:jc w:val="right"/>
              <w:rPr>
                <w:rFonts w:hAnsi="標楷體" w:hint="eastAsia"/>
              </w:rPr>
            </w:pPr>
            <w:r w:rsidRPr="00507BD2">
              <w:rPr>
                <w:rFonts w:hAnsi="標楷體" w:hint="eastAsia"/>
              </w:rPr>
              <w:t>36.89</w:t>
            </w:r>
          </w:p>
        </w:tc>
        <w:tc>
          <w:tcPr>
            <w:tcW w:w="1273" w:type="dxa"/>
            <w:shd w:val="clear" w:color="auto" w:fill="F2F2F2"/>
            <w:vAlign w:val="center"/>
            <w:hideMark/>
          </w:tcPr>
          <w:p w:rsidR="00904E57" w:rsidRPr="00507BD2" w:rsidRDefault="00904E57" w:rsidP="00904E57">
            <w:pPr>
              <w:pStyle w:val="142"/>
              <w:jc w:val="right"/>
              <w:rPr>
                <w:rFonts w:hAnsi="標楷體" w:hint="eastAsia"/>
              </w:rPr>
            </w:pPr>
            <w:r w:rsidRPr="00507BD2">
              <w:rPr>
                <w:rFonts w:hAnsi="標楷體" w:hint="eastAsia"/>
              </w:rPr>
              <w:t>37.11</w:t>
            </w:r>
          </w:p>
        </w:tc>
        <w:tc>
          <w:tcPr>
            <w:tcW w:w="1272" w:type="dxa"/>
            <w:shd w:val="clear" w:color="auto" w:fill="F2F2F2"/>
            <w:vAlign w:val="center"/>
            <w:hideMark/>
          </w:tcPr>
          <w:p w:rsidR="00904E57" w:rsidRPr="00507BD2" w:rsidRDefault="00904E57" w:rsidP="00904E57">
            <w:pPr>
              <w:pStyle w:val="142"/>
              <w:jc w:val="right"/>
              <w:rPr>
                <w:rFonts w:hAnsi="標楷體" w:hint="eastAsia"/>
              </w:rPr>
            </w:pPr>
            <w:r w:rsidRPr="00507BD2">
              <w:rPr>
                <w:rFonts w:hAnsi="標楷體" w:hint="eastAsia"/>
              </w:rPr>
              <w:t>37.34</w:t>
            </w:r>
          </w:p>
        </w:tc>
        <w:tc>
          <w:tcPr>
            <w:tcW w:w="1672" w:type="dxa"/>
            <w:vMerge/>
            <w:tcBorders>
              <w:top w:val="nil"/>
              <w:bottom w:val="single" w:sz="12" w:space="0" w:color="auto"/>
              <w:tr2bl w:val="single" w:sz="6" w:space="0" w:color="auto"/>
            </w:tcBorders>
            <w:vAlign w:val="center"/>
            <w:hideMark/>
          </w:tcPr>
          <w:p w:rsidR="00904E57" w:rsidRPr="00507BD2" w:rsidRDefault="00904E57" w:rsidP="00904E57">
            <w:pPr>
              <w:pStyle w:val="142"/>
              <w:rPr>
                <w:rFonts w:hAnsi="標楷體"/>
              </w:rPr>
            </w:pPr>
          </w:p>
        </w:tc>
      </w:tr>
    </w:tbl>
    <w:p w:rsidR="00904E57" w:rsidRPr="00507BD2" w:rsidRDefault="00904E57" w:rsidP="00904E57">
      <w:pPr>
        <w:pStyle w:val="142"/>
        <w:ind w:leftChars="300" w:left="850"/>
        <w:rPr>
          <w:rFonts w:hAnsi="標楷體" w:hint="eastAsia"/>
        </w:rPr>
      </w:pPr>
      <w:r w:rsidRPr="00507BD2">
        <w:rPr>
          <w:rFonts w:hAnsi="標楷體" w:hint="eastAsia"/>
        </w:rPr>
        <w:t>資料來源：央行。</w:t>
      </w:r>
    </w:p>
    <w:p w:rsidR="0071071B" w:rsidRPr="00507BD2" w:rsidRDefault="00DF4CD0" w:rsidP="00FB1C38">
      <w:pPr>
        <w:pStyle w:val="123"/>
        <w:rPr>
          <w:rFonts w:ascii="標楷體"/>
        </w:rPr>
      </w:pPr>
      <w:r w:rsidRPr="00507BD2">
        <w:rPr>
          <w:rFonts w:ascii="標楷體"/>
          <w:b/>
        </w:rPr>
        <w:t>2</w:t>
      </w:r>
      <w:r w:rsidR="0071071B" w:rsidRPr="00507BD2">
        <w:rPr>
          <w:rFonts w:ascii="標楷體" w:hint="eastAsia"/>
          <w:b/>
        </w:rPr>
        <w:t>.</w:t>
      </w:r>
      <w:r w:rsidR="00F42C51" w:rsidRPr="00507BD2">
        <w:rPr>
          <w:rFonts w:ascii="標楷體" w:hint="eastAsia"/>
          <w:b/>
        </w:rPr>
        <w:t>不動產貸款餘</w:t>
      </w:r>
      <w:r w:rsidR="00D70DBC" w:rsidRPr="00507BD2">
        <w:rPr>
          <w:rFonts w:ascii="標楷體" w:hint="eastAsia"/>
          <w:b/>
        </w:rPr>
        <w:t>額</w:t>
      </w:r>
      <w:r w:rsidR="00F42C51" w:rsidRPr="00507BD2">
        <w:rPr>
          <w:rFonts w:ascii="標楷體" w:hint="eastAsia"/>
          <w:b/>
        </w:rPr>
        <w:t>大抵</w:t>
      </w:r>
      <w:r w:rsidR="00AD5171" w:rsidRPr="00507BD2">
        <w:rPr>
          <w:rFonts w:ascii="標楷體" w:hint="eastAsia"/>
          <w:b/>
        </w:rPr>
        <w:t>仍</w:t>
      </w:r>
      <w:r w:rsidR="00F42C51" w:rsidRPr="00507BD2">
        <w:rPr>
          <w:rFonts w:ascii="標楷體" w:hint="eastAsia"/>
          <w:b/>
        </w:rPr>
        <w:t>持續上升，113年度</w:t>
      </w:r>
      <w:r w:rsidR="00A90610">
        <w:rPr>
          <w:rFonts w:ascii="標楷體" w:hint="eastAsia"/>
          <w:b/>
        </w:rPr>
        <w:t>至8月底</w:t>
      </w:r>
      <w:r w:rsidR="00A62E16" w:rsidRPr="00507BD2">
        <w:rPr>
          <w:rFonts w:ascii="標楷體" w:hint="eastAsia"/>
          <w:b/>
        </w:rPr>
        <w:t>購置住宅貸款</w:t>
      </w:r>
      <w:r w:rsidR="000F3CFE" w:rsidRPr="00507BD2">
        <w:rPr>
          <w:rFonts w:ascii="標楷體" w:hint="eastAsia"/>
          <w:b/>
        </w:rPr>
        <w:t>餘額</w:t>
      </w:r>
      <w:r w:rsidR="00F764C0" w:rsidRPr="00507BD2">
        <w:rPr>
          <w:rFonts w:ascii="標楷體" w:hint="eastAsia"/>
          <w:b/>
        </w:rPr>
        <w:t>急速增加</w:t>
      </w:r>
      <w:r w:rsidR="00A62E16" w:rsidRPr="00507BD2">
        <w:rPr>
          <w:rFonts w:ascii="標楷體" w:hint="eastAsia"/>
          <w:b/>
        </w:rPr>
        <w:t>：</w:t>
      </w:r>
      <w:r w:rsidR="00A4631C" w:rsidRPr="00507BD2">
        <w:rPr>
          <w:rFonts w:ascii="標楷體" w:hint="eastAsia"/>
        </w:rPr>
        <w:t>觀諸</w:t>
      </w:r>
      <w:r w:rsidR="00FB31B2" w:rsidRPr="00507BD2">
        <w:rPr>
          <w:rFonts w:ascii="標楷體" w:hint="eastAsia"/>
        </w:rPr>
        <w:t>各季底</w:t>
      </w:r>
      <w:r w:rsidR="004D501E" w:rsidRPr="00507BD2">
        <w:rPr>
          <w:rFonts w:ascii="標楷體" w:hint="eastAsia"/>
        </w:rPr>
        <w:t>購置住宅貸款及建築貸款餘額</w:t>
      </w:r>
      <w:r w:rsidR="00FB31B2" w:rsidRPr="00507BD2">
        <w:rPr>
          <w:rFonts w:ascii="標楷體" w:hint="eastAsia"/>
        </w:rPr>
        <w:t>，</w:t>
      </w:r>
      <w:r w:rsidR="00C80A58" w:rsidRPr="00507BD2">
        <w:rPr>
          <w:rFonts w:ascii="標楷體" w:hint="eastAsia"/>
        </w:rPr>
        <w:t>大抵</w:t>
      </w:r>
      <w:r w:rsidR="00AD5171" w:rsidRPr="00507BD2">
        <w:rPr>
          <w:rFonts w:ascii="標楷體" w:hint="eastAsia"/>
        </w:rPr>
        <w:t>仍</w:t>
      </w:r>
      <w:r w:rsidR="004D501E" w:rsidRPr="00507BD2">
        <w:rPr>
          <w:rFonts w:ascii="標楷體" w:hint="eastAsia"/>
        </w:rPr>
        <w:t>持續</w:t>
      </w:r>
      <w:r w:rsidR="00A02349" w:rsidRPr="00507BD2">
        <w:rPr>
          <w:rFonts w:ascii="標楷體" w:hint="eastAsia"/>
        </w:rPr>
        <w:t>上升</w:t>
      </w:r>
      <w:r w:rsidR="004D501E" w:rsidRPr="00507BD2">
        <w:rPr>
          <w:rFonts w:ascii="標楷體" w:hint="eastAsia"/>
        </w:rPr>
        <w:t>，</w:t>
      </w:r>
      <w:r w:rsidR="00075BEE" w:rsidRPr="00507BD2">
        <w:rPr>
          <w:rFonts w:ascii="標楷體" w:hint="eastAsia"/>
        </w:rPr>
        <w:t>113年度</w:t>
      </w:r>
      <w:r w:rsidR="00A90610">
        <w:rPr>
          <w:rFonts w:ascii="標楷體" w:hint="eastAsia"/>
        </w:rPr>
        <w:t>至8月底</w:t>
      </w:r>
      <w:r w:rsidR="00BD0749" w:rsidRPr="00507BD2">
        <w:rPr>
          <w:rFonts w:ascii="標楷體" w:hint="eastAsia"/>
        </w:rPr>
        <w:t>建築貸款餘額增加趨勢</w:t>
      </w:r>
      <w:r w:rsidR="000A596F" w:rsidRPr="00507BD2">
        <w:rPr>
          <w:rFonts w:ascii="標楷體" w:hint="eastAsia"/>
        </w:rPr>
        <w:t>略</w:t>
      </w:r>
      <w:r w:rsidR="00BD0749" w:rsidRPr="00507BD2">
        <w:rPr>
          <w:rFonts w:ascii="標楷體" w:hint="eastAsia"/>
        </w:rPr>
        <w:t>緩，惟</w:t>
      </w:r>
      <w:r w:rsidR="002F2C41" w:rsidRPr="00507BD2">
        <w:rPr>
          <w:rFonts w:ascii="標楷體" w:hint="eastAsia"/>
        </w:rPr>
        <w:t>購置住宅貸款餘額自</w:t>
      </w:r>
      <w:r w:rsidR="00FB31B2" w:rsidRPr="00507BD2">
        <w:rPr>
          <w:rFonts w:ascii="標楷體" w:hint="eastAsia"/>
        </w:rPr>
        <w:t>1</w:t>
      </w:r>
      <w:r w:rsidR="00FB31B2" w:rsidRPr="00507BD2">
        <w:rPr>
          <w:rFonts w:ascii="標楷體"/>
        </w:rPr>
        <w:t>13</w:t>
      </w:r>
      <w:r w:rsidR="00FB31B2" w:rsidRPr="00507BD2">
        <w:rPr>
          <w:rFonts w:ascii="標楷體" w:hint="eastAsia"/>
        </w:rPr>
        <w:t>年第1季起</w:t>
      </w:r>
      <w:r w:rsidR="00BD0749" w:rsidRPr="00507BD2">
        <w:rPr>
          <w:rFonts w:ascii="標楷體" w:hint="eastAsia"/>
        </w:rPr>
        <w:t>急速增加，</w:t>
      </w:r>
      <w:r w:rsidR="00FB31B2" w:rsidRPr="00507BD2">
        <w:rPr>
          <w:rFonts w:ascii="標楷體" w:hint="eastAsia"/>
        </w:rPr>
        <w:t>年增率</w:t>
      </w:r>
      <w:r w:rsidR="00BD0749" w:rsidRPr="00507BD2">
        <w:rPr>
          <w:rFonts w:ascii="標楷體" w:hint="eastAsia"/>
        </w:rPr>
        <w:t>分別為第1季8.55%、第2季10.21%及8月底11.03%</w:t>
      </w:r>
      <w:r w:rsidR="00BA5770" w:rsidRPr="00507BD2">
        <w:rPr>
          <w:rFonts w:ascii="標楷體"/>
        </w:rPr>
        <w:t>(</w:t>
      </w:r>
      <w:r w:rsidR="00BA5770" w:rsidRPr="00507BD2">
        <w:rPr>
          <w:rFonts w:ascii="標楷體" w:hint="eastAsia"/>
        </w:rPr>
        <w:t>詳表3</w:t>
      </w:r>
      <w:r w:rsidR="00BA5770" w:rsidRPr="00507BD2">
        <w:rPr>
          <w:rFonts w:ascii="標楷體"/>
        </w:rPr>
        <w:t>)</w:t>
      </w:r>
      <w:r w:rsidR="00601184" w:rsidRPr="00507BD2">
        <w:rPr>
          <w:rFonts w:ascii="標楷體" w:hint="eastAsia"/>
        </w:rPr>
        <w:t>，銀行信用資源快速</w:t>
      </w:r>
      <w:r w:rsidR="007937BF" w:rsidRPr="00507BD2">
        <w:rPr>
          <w:rFonts w:ascii="標楷體" w:hint="eastAsia"/>
        </w:rPr>
        <w:t>流向</w:t>
      </w:r>
      <w:r w:rsidR="00235062" w:rsidRPr="00507BD2">
        <w:rPr>
          <w:rFonts w:ascii="標楷體" w:hint="eastAsia"/>
        </w:rPr>
        <w:t>購置住宅貸款，如未能有效抑制，恐使住宅價格隨需求增加</w:t>
      </w:r>
      <w:r w:rsidR="00075BEE" w:rsidRPr="00507BD2">
        <w:rPr>
          <w:rFonts w:ascii="標楷體" w:hint="eastAsia"/>
        </w:rPr>
        <w:t>，</w:t>
      </w:r>
      <w:r w:rsidR="008E11C1" w:rsidRPr="00507BD2">
        <w:rPr>
          <w:rFonts w:ascii="標楷體" w:hint="eastAsia"/>
        </w:rPr>
        <w:t>助長投機交易，</w:t>
      </w:r>
      <w:r w:rsidR="00075BEE" w:rsidRPr="00507BD2">
        <w:rPr>
          <w:rFonts w:ascii="標楷體" w:hint="eastAsia"/>
        </w:rPr>
        <w:t>加重民眾購屋負擔</w:t>
      </w:r>
      <w:r w:rsidR="00FB1C38" w:rsidRPr="00507BD2">
        <w:rPr>
          <w:rFonts w:ascii="標楷體" w:hint="eastAsia"/>
        </w:rPr>
        <w:t>。</w:t>
      </w:r>
    </w:p>
    <w:p w:rsidR="00FB31B2" w:rsidRPr="00507BD2" w:rsidRDefault="00A02349" w:rsidP="00A02349">
      <w:pPr>
        <w:pStyle w:val="a4"/>
        <w:ind w:left="1133" w:hangingChars="200" w:hanging="567"/>
        <w:rPr>
          <w:rFonts w:hint="eastAsia"/>
          <w:snapToGrid/>
          <w:sz w:val="24"/>
          <w:szCs w:val="24"/>
        </w:rPr>
      </w:pPr>
      <w:r w:rsidRPr="00507BD2">
        <w:rPr>
          <w:rFonts w:hint="eastAsia"/>
          <w:b/>
        </w:rPr>
        <w:t>表</w:t>
      </w:r>
      <w:r w:rsidR="00BA5770" w:rsidRPr="00507BD2">
        <w:rPr>
          <w:b/>
        </w:rPr>
        <w:t>3</w:t>
      </w:r>
      <w:r w:rsidRPr="00507BD2">
        <w:rPr>
          <w:rFonts w:hint="eastAsia"/>
          <w:b/>
        </w:rPr>
        <w:t xml:space="preserve"> 109至11</w:t>
      </w:r>
      <w:r w:rsidRPr="00507BD2">
        <w:rPr>
          <w:b/>
        </w:rPr>
        <w:t>3</w:t>
      </w:r>
      <w:r w:rsidRPr="00507BD2">
        <w:rPr>
          <w:rFonts w:hint="eastAsia"/>
          <w:b/>
        </w:rPr>
        <w:t xml:space="preserve">年8月底消費者購置住宅貸款及建築貸款餘額明細表   </w:t>
      </w:r>
      <w:r w:rsidRPr="00507BD2">
        <w:rPr>
          <w:rFonts w:hint="eastAsia"/>
        </w:rPr>
        <w:t xml:space="preserve">         </w:t>
      </w:r>
      <w:r w:rsidR="00C640A8" w:rsidRPr="00507BD2">
        <w:rPr>
          <w:rFonts w:hint="eastAsia"/>
        </w:rPr>
        <w:t xml:space="preserve">    </w:t>
      </w:r>
      <w:r w:rsidRPr="00507BD2">
        <w:rPr>
          <w:rFonts w:hint="eastAsia"/>
        </w:rPr>
        <w:t xml:space="preserve">        </w:t>
      </w:r>
      <w:r w:rsidR="00C80A58" w:rsidRPr="00507BD2">
        <w:rPr>
          <w:rFonts w:hint="eastAsia"/>
        </w:rPr>
        <w:t xml:space="preserve">  </w:t>
      </w:r>
      <w:r w:rsidRPr="00507BD2">
        <w:rPr>
          <w:rFonts w:hint="eastAsia"/>
        </w:rPr>
        <w:t xml:space="preserve">    </w:t>
      </w:r>
      <w:r w:rsidR="00FB31B2" w:rsidRPr="00507BD2">
        <w:rPr>
          <w:rFonts w:hint="eastAsia"/>
          <w:sz w:val="24"/>
          <w:szCs w:val="24"/>
        </w:rPr>
        <w:t>單位：新臺幣百萬元</w:t>
      </w:r>
      <w:r w:rsidR="002F2C41" w:rsidRPr="00507BD2">
        <w:rPr>
          <w:rFonts w:hint="eastAsia"/>
          <w:sz w:val="24"/>
          <w:szCs w:val="24"/>
        </w:rPr>
        <w:t>；%</w:t>
      </w:r>
    </w:p>
    <w:tbl>
      <w:tblPr>
        <w:tblW w:w="7938" w:type="dxa"/>
        <w:tblInd w:w="595" w:type="dxa"/>
        <w:tblCellMar>
          <w:left w:w="28" w:type="dxa"/>
          <w:right w:w="28" w:type="dxa"/>
        </w:tblCellMar>
        <w:tblLook w:val="04A0" w:firstRow="1" w:lastRow="0" w:firstColumn="1" w:lastColumn="0" w:noHBand="0" w:noVBand="1"/>
      </w:tblPr>
      <w:tblGrid>
        <w:gridCol w:w="2268"/>
        <w:gridCol w:w="1560"/>
        <w:gridCol w:w="1275"/>
        <w:gridCol w:w="1560"/>
        <w:gridCol w:w="1275"/>
      </w:tblGrid>
      <w:tr w:rsidR="002F2C41" w:rsidRPr="00507BD2" w:rsidTr="003829D2">
        <w:trPr>
          <w:trHeight w:val="20"/>
          <w:tblHeader/>
        </w:trPr>
        <w:tc>
          <w:tcPr>
            <w:tcW w:w="2268" w:type="dxa"/>
            <w:vMerge w:val="restart"/>
            <w:tcBorders>
              <w:top w:val="single" w:sz="12" w:space="0" w:color="auto"/>
              <w:left w:val="single" w:sz="12" w:space="0" w:color="auto"/>
              <w:bottom w:val="single" w:sz="8" w:space="0" w:color="000000"/>
              <w:right w:val="single" w:sz="8" w:space="0" w:color="auto"/>
            </w:tcBorders>
            <w:shd w:val="clear" w:color="auto" w:fill="auto"/>
            <w:vAlign w:val="center"/>
            <w:hideMark/>
          </w:tcPr>
          <w:p w:rsidR="002F2C41" w:rsidRPr="00507BD2" w:rsidRDefault="002F2C41" w:rsidP="002F2C41">
            <w:pPr>
              <w:pStyle w:val="142"/>
              <w:jc w:val="center"/>
              <w:rPr>
                <w:rFonts w:hAnsi="標楷體"/>
                <w:b/>
                <w:snapToGrid/>
              </w:rPr>
            </w:pPr>
            <w:r w:rsidRPr="00507BD2">
              <w:rPr>
                <w:rFonts w:hAnsi="標楷體" w:hint="eastAsia"/>
                <w:b/>
                <w:snapToGrid/>
              </w:rPr>
              <w:t>時點</w:t>
            </w:r>
          </w:p>
        </w:tc>
        <w:tc>
          <w:tcPr>
            <w:tcW w:w="2835" w:type="dxa"/>
            <w:gridSpan w:val="2"/>
            <w:tcBorders>
              <w:top w:val="single" w:sz="12" w:space="0" w:color="auto"/>
              <w:left w:val="nil"/>
              <w:bottom w:val="single" w:sz="8" w:space="0" w:color="auto"/>
              <w:right w:val="single" w:sz="8" w:space="0" w:color="000000"/>
            </w:tcBorders>
            <w:shd w:val="clear" w:color="auto" w:fill="auto"/>
            <w:vAlign w:val="center"/>
            <w:hideMark/>
          </w:tcPr>
          <w:p w:rsidR="002F2C41" w:rsidRPr="00507BD2" w:rsidRDefault="002F2C41" w:rsidP="002F2C41">
            <w:pPr>
              <w:pStyle w:val="142"/>
              <w:jc w:val="center"/>
              <w:rPr>
                <w:rFonts w:hAnsi="標楷體" w:hint="eastAsia"/>
                <w:b/>
                <w:snapToGrid/>
              </w:rPr>
            </w:pPr>
            <w:r w:rsidRPr="00507BD2">
              <w:rPr>
                <w:rFonts w:hAnsi="標楷體" w:hint="eastAsia"/>
                <w:b/>
                <w:snapToGrid/>
              </w:rPr>
              <w:t>購置住宅貸款</w:t>
            </w:r>
          </w:p>
        </w:tc>
        <w:tc>
          <w:tcPr>
            <w:tcW w:w="2835" w:type="dxa"/>
            <w:gridSpan w:val="2"/>
            <w:tcBorders>
              <w:top w:val="single" w:sz="12" w:space="0" w:color="auto"/>
              <w:left w:val="nil"/>
              <w:bottom w:val="single" w:sz="8" w:space="0" w:color="auto"/>
              <w:right w:val="single" w:sz="12" w:space="0" w:color="000000"/>
            </w:tcBorders>
            <w:shd w:val="clear" w:color="auto" w:fill="auto"/>
            <w:vAlign w:val="center"/>
            <w:hideMark/>
          </w:tcPr>
          <w:p w:rsidR="002F2C41" w:rsidRPr="00507BD2" w:rsidRDefault="002F2C41" w:rsidP="002F2C41">
            <w:pPr>
              <w:pStyle w:val="142"/>
              <w:jc w:val="center"/>
              <w:rPr>
                <w:rFonts w:hAnsi="標楷體" w:hint="eastAsia"/>
                <w:b/>
                <w:snapToGrid/>
              </w:rPr>
            </w:pPr>
            <w:r w:rsidRPr="00507BD2">
              <w:rPr>
                <w:rFonts w:hAnsi="標楷體" w:hint="eastAsia"/>
                <w:b/>
                <w:snapToGrid/>
              </w:rPr>
              <w:t>建築貸款</w:t>
            </w:r>
          </w:p>
        </w:tc>
      </w:tr>
      <w:tr w:rsidR="002F2C41" w:rsidRPr="00507BD2" w:rsidTr="003829D2">
        <w:trPr>
          <w:trHeight w:val="20"/>
          <w:tblHeader/>
        </w:trPr>
        <w:tc>
          <w:tcPr>
            <w:tcW w:w="2268" w:type="dxa"/>
            <w:vMerge/>
            <w:tcBorders>
              <w:top w:val="single" w:sz="12" w:space="0" w:color="auto"/>
              <w:left w:val="single" w:sz="12" w:space="0" w:color="auto"/>
              <w:bottom w:val="single" w:sz="8" w:space="0" w:color="000000"/>
              <w:right w:val="single" w:sz="8" w:space="0" w:color="auto"/>
            </w:tcBorders>
            <w:vAlign w:val="center"/>
            <w:hideMark/>
          </w:tcPr>
          <w:p w:rsidR="002F2C41" w:rsidRPr="00507BD2" w:rsidRDefault="002F2C41" w:rsidP="002F2C41">
            <w:pPr>
              <w:pStyle w:val="142"/>
              <w:jc w:val="center"/>
              <w:rPr>
                <w:rFonts w:hAnsi="標楷體"/>
                <w:b/>
                <w:snapToGrid/>
              </w:rPr>
            </w:pP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center"/>
              <w:rPr>
                <w:rFonts w:hAnsi="標楷體" w:hint="eastAsia"/>
                <w:b/>
                <w:snapToGrid/>
              </w:rPr>
            </w:pPr>
            <w:r w:rsidRPr="00507BD2">
              <w:rPr>
                <w:rFonts w:hAnsi="標楷體" w:hint="eastAsia"/>
                <w:b/>
                <w:snapToGrid/>
              </w:rPr>
              <w:t>餘額</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center"/>
              <w:rPr>
                <w:rFonts w:hAnsi="標楷體" w:hint="eastAsia"/>
                <w:b/>
                <w:snapToGrid/>
              </w:rPr>
            </w:pPr>
            <w:r w:rsidRPr="00507BD2">
              <w:rPr>
                <w:rFonts w:hAnsi="標楷體" w:hint="eastAsia"/>
                <w:b/>
                <w:snapToGrid/>
              </w:rPr>
              <w:t>年增率</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center"/>
              <w:rPr>
                <w:rFonts w:hAnsi="標楷體" w:hint="eastAsia"/>
                <w:b/>
                <w:snapToGrid/>
              </w:rPr>
            </w:pPr>
            <w:r w:rsidRPr="00507BD2">
              <w:rPr>
                <w:rFonts w:hAnsi="標楷體" w:hint="eastAsia"/>
                <w:b/>
                <w:snapToGrid/>
              </w:rPr>
              <w:t>餘額</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center"/>
              <w:rPr>
                <w:rFonts w:hAnsi="標楷體" w:hint="eastAsia"/>
                <w:b/>
                <w:snapToGrid/>
              </w:rPr>
            </w:pPr>
            <w:r w:rsidRPr="00507BD2">
              <w:rPr>
                <w:rFonts w:hAnsi="標楷體" w:hint="eastAsia"/>
                <w:b/>
                <w:snapToGrid/>
              </w:rPr>
              <w:t>年增率</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109年底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8,042,296</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8.5</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2,523,876</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20.51</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110年</w:t>
            </w:r>
            <w:r w:rsidR="00F413FE">
              <w:rPr>
                <w:rFonts w:hAnsi="標楷體" w:hint="eastAsia"/>
                <w:snapToGrid/>
              </w:rPr>
              <w:t>第1季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8,187,509</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9.25</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2,603,258</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20.75</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lastRenderedPageBreak/>
              <w:t>110年</w:t>
            </w:r>
            <w:r w:rsidR="00F413FE">
              <w:rPr>
                <w:rFonts w:hAnsi="標楷體" w:hint="eastAsia"/>
                <w:snapToGrid/>
              </w:rPr>
              <w:t>第2季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8,406,898</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10.42</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2,683,086</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19.45</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110年</w:t>
            </w:r>
            <w:r w:rsidR="00F413FE">
              <w:rPr>
                <w:rFonts w:hAnsi="標楷體" w:hint="eastAsia"/>
                <w:snapToGrid/>
              </w:rPr>
              <w:t>第3季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8,544,347</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9.38</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2,768,946</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19.18</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lastRenderedPageBreak/>
              <w:t>110年底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8,803,024</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9.46</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2,876,421</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13.97</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111年</w:t>
            </w:r>
            <w:r w:rsidR="00F413FE">
              <w:rPr>
                <w:rFonts w:hAnsi="標楷體" w:hint="eastAsia"/>
                <w:snapToGrid/>
              </w:rPr>
              <w:t>第1季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8,961,316</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9.45</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2,954,006</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13.47</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111年</w:t>
            </w:r>
            <w:r w:rsidR="00F413FE">
              <w:rPr>
                <w:rFonts w:hAnsi="標楷體" w:hint="eastAsia"/>
                <w:snapToGrid/>
              </w:rPr>
              <w:t>第2季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9,140,607</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8.73</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3,025,243</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12.75</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111年</w:t>
            </w:r>
            <w:r w:rsidR="00F413FE">
              <w:rPr>
                <w:rFonts w:hAnsi="標楷體" w:hint="eastAsia"/>
                <w:snapToGrid/>
              </w:rPr>
              <w:t>第3季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9,242,675</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8.17</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3,095,262</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11.78</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111年底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9,377,342</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6.52</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3,165,817</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10.06</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112年</w:t>
            </w:r>
            <w:r w:rsidR="00F413FE">
              <w:rPr>
                <w:rFonts w:hAnsi="標楷體" w:hint="eastAsia"/>
                <w:snapToGrid/>
              </w:rPr>
              <w:t>第1季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9,414,921</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5.06</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3,219,427</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8.99</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112年</w:t>
            </w:r>
            <w:r w:rsidR="00F413FE">
              <w:rPr>
                <w:rFonts w:hAnsi="標楷體" w:hint="eastAsia"/>
                <w:snapToGrid/>
              </w:rPr>
              <w:t>第2季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9,563,803</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4.63</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3,275,573</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8.27</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112年</w:t>
            </w:r>
            <w:r w:rsidR="00F413FE">
              <w:rPr>
                <w:rFonts w:hAnsi="標楷體" w:hint="eastAsia"/>
                <w:snapToGrid/>
              </w:rPr>
              <w:t>第3季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9,760,782</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5.61</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3,304,148</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6.75</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112年底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10,037,686</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7.04</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3,295,366</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4.09</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113年</w:t>
            </w:r>
            <w:r w:rsidR="00F413FE">
              <w:rPr>
                <w:rFonts w:hAnsi="標楷體" w:hint="eastAsia"/>
                <w:snapToGrid/>
              </w:rPr>
              <w:t>第1季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10,220,252</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b/>
                <w:snapToGrid/>
              </w:rPr>
            </w:pPr>
            <w:r w:rsidRPr="00507BD2">
              <w:rPr>
                <w:rFonts w:hAnsi="標楷體" w:hint="eastAsia"/>
                <w:b/>
                <w:snapToGrid/>
              </w:rPr>
              <w:t>8.55</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3,331,754</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3.49</w:t>
            </w:r>
          </w:p>
        </w:tc>
      </w:tr>
      <w:tr w:rsidR="002F2C41" w:rsidRPr="00507BD2" w:rsidTr="003829D2">
        <w:trPr>
          <w:trHeight w:val="20"/>
        </w:trPr>
        <w:tc>
          <w:tcPr>
            <w:tcW w:w="2268" w:type="dxa"/>
            <w:tcBorders>
              <w:top w:val="nil"/>
              <w:left w:val="single" w:sz="12" w:space="0" w:color="auto"/>
              <w:bottom w:val="single" w:sz="8"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113年</w:t>
            </w:r>
            <w:r w:rsidR="00F413FE">
              <w:rPr>
                <w:rFonts w:hAnsi="標楷體" w:hint="eastAsia"/>
                <w:snapToGrid/>
              </w:rPr>
              <w:t>第2季</w:t>
            </w:r>
            <w:r w:rsidRPr="00507BD2">
              <w:rPr>
                <w:rFonts w:hAnsi="標楷體" w:hint="eastAsia"/>
                <w:snapToGrid/>
              </w:rPr>
              <w:t>底</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10,540,479</w:t>
            </w:r>
          </w:p>
        </w:tc>
        <w:tc>
          <w:tcPr>
            <w:tcW w:w="1275"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b/>
                <w:snapToGrid/>
              </w:rPr>
            </w:pPr>
            <w:r w:rsidRPr="00507BD2">
              <w:rPr>
                <w:rFonts w:hAnsi="標楷體" w:hint="eastAsia"/>
                <w:b/>
                <w:snapToGrid/>
              </w:rPr>
              <w:t>10.21</w:t>
            </w:r>
          </w:p>
        </w:tc>
        <w:tc>
          <w:tcPr>
            <w:tcW w:w="1560" w:type="dxa"/>
            <w:tcBorders>
              <w:top w:val="nil"/>
              <w:left w:val="nil"/>
              <w:bottom w:val="single" w:sz="8"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3,372,636</w:t>
            </w:r>
          </w:p>
        </w:tc>
        <w:tc>
          <w:tcPr>
            <w:tcW w:w="1275" w:type="dxa"/>
            <w:tcBorders>
              <w:top w:val="nil"/>
              <w:left w:val="nil"/>
              <w:bottom w:val="single" w:sz="8"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2.96</w:t>
            </w:r>
          </w:p>
        </w:tc>
      </w:tr>
      <w:tr w:rsidR="002F2C41" w:rsidRPr="00507BD2" w:rsidTr="003829D2">
        <w:trPr>
          <w:trHeight w:val="20"/>
        </w:trPr>
        <w:tc>
          <w:tcPr>
            <w:tcW w:w="2268" w:type="dxa"/>
            <w:tcBorders>
              <w:top w:val="nil"/>
              <w:left w:val="single" w:sz="12" w:space="0" w:color="auto"/>
              <w:bottom w:val="single" w:sz="12" w:space="0" w:color="auto"/>
              <w:right w:val="single" w:sz="8" w:space="0" w:color="auto"/>
            </w:tcBorders>
            <w:shd w:val="clear" w:color="auto" w:fill="auto"/>
            <w:vAlign w:val="center"/>
            <w:hideMark/>
          </w:tcPr>
          <w:p w:rsidR="002F2C41" w:rsidRPr="00507BD2" w:rsidRDefault="002F2C41" w:rsidP="002F2C41">
            <w:pPr>
              <w:pStyle w:val="142"/>
              <w:rPr>
                <w:rFonts w:hAnsi="標楷體" w:hint="eastAsia"/>
                <w:snapToGrid/>
              </w:rPr>
            </w:pPr>
            <w:r w:rsidRPr="00507BD2">
              <w:rPr>
                <w:rFonts w:hAnsi="標楷體" w:hint="eastAsia"/>
                <w:snapToGrid/>
              </w:rPr>
              <w:t>113年</w:t>
            </w:r>
            <w:r w:rsidR="00F413FE">
              <w:rPr>
                <w:rFonts w:hAnsi="標楷體" w:hint="eastAsia"/>
                <w:snapToGrid/>
              </w:rPr>
              <w:t>8月</w:t>
            </w:r>
            <w:r w:rsidRPr="00507BD2">
              <w:rPr>
                <w:rFonts w:hAnsi="標楷體" w:hint="eastAsia"/>
                <w:snapToGrid/>
              </w:rPr>
              <w:t>底</w:t>
            </w:r>
          </w:p>
        </w:tc>
        <w:tc>
          <w:tcPr>
            <w:tcW w:w="1560" w:type="dxa"/>
            <w:tcBorders>
              <w:top w:val="nil"/>
              <w:left w:val="nil"/>
              <w:bottom w:val="single" w:sz="12"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10,748,824</w:t>
            </w:r>
          </w:p>
        </w:tc>
        <w:tc>
          <w:tcPr>
            <w:tcW w:w="1275" w:type="dxa"/>
            <w:tcBorders>
              <w:top w:val="nil"/>
              <w:left w:val="nil"/>
              <w:bottom w:val="single" w:sz="12"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b/>
                <w:snapToGrid/>
              </w:rPr>
            </w:pPr>
            <w:r w:rsidRPr="00507BD2">
              <w:rPr>
                <w:rFonts w:hAnsi="標楷體" w:hint="eastAsia"/>
                <w:b/>
                <w:snapToGrid/>
              </w:rPr>
              <w:t>11.03</w:t>
            </w:r>
          </w:p>
        </w:tc>
        <w:tc>
          <w:tcPr>
            <w:tcW w:w="1560" w:type="dxa"/>
            <w:tcBorders>
              <w:top w:val="nil"/>
              <w:left w:val="nil"/>
              <w:bottom w:val="single" w:sz="12" w:space="0" w:color="auto"/>
              <w:right w:val="single" w:sz="8"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3,459,613</w:t>
            </w:r>
          </w:p>
        </w:tc>
        <w:tc>
          <w:tcPr>
            <w:tcW w:w="1275" w:type="dxa"/>
            <w:tcBorders>
              <w:top w:val="nil"/>
              <w:left w:val="nil"/>
              <w:bottom w:val="single" w:sz="12" w:space="0" w:color="auto"/>
              <w:right w:val="single" w:sz="12" w:space="0" w:color="auto"/>
            </w:tcBorders>
            <w:shd w:val="clear" w:color="auto" w:fill="auto"/>
            <w:vAlign w:val="center"/>
            <w:hideMark/>
          </w:tcPr>
          <w:p w:rsidR="002F2C41" w:rsidRPr="00507BD2" w:rsidRDefault="002F2C41" w:rsidP="002F2C41">
            <w:pPr>
              <w:pStyle w:val="142"/>
              <w:jc w:val="right"/>
              <w:rPr>
                <w:rFonts w:hAnsi="標楷體" w:hint="eastAsia"/>
                <w:snapToGrid/>
              </w:rPr>
            </w:pPr>
            <w:r w:rsidRPr="00507BD2">
              <w:rPr>
                <w:rFonts w:hAnsi="標楷體" w:hint="eastAsia"/>
                <w:snapToGrid/>
              </w:rPr>
              <w:t>4.98</w:t>
            </w:r>
          </w:p>
        </w:tc>
      </w:tr>
    </w:tbl>
    <w:p w:rsidR="004D501E" w:rsidRDefault="00FB31B2" w:rsidP="00A02349">
      <w:pPr>
        <w:pStyle w:val="142"/>
        <w:ind w:firstLineChars="233" w:firstLine="567"/>
        <w:rPr>
          <w:rFonts w:hAnsi="標楷體"/>
        </w:rPr>
      </w:pPr>
      <w:r w:rsidRPr="00507BD2">
        <w:rPr>
          <w:rFonts w:hAnsi="標楷體" w:hint="eastAsia"/>
        </w:rPr>
        <w:t>資料來源：央行。</w:t>
      </w:r>
    </w:p>
    <w:p w:rsidR="003024BA" w:rsidRPr="00507BD2" w:rsidRDefault="00C25B9A" w:rsidP="0095653E">
      <w:pPr>
        <w:pStyle w:val="a4"/>
        <w:rPr>
          <w:b/>
        </w:rPr>
      </w:pPr>
      <w:r w:rsidRPr="00507BD2">
        <w:rPr>
          <w:rFonts w:hint="eastAsia"/>
          <w:b/>
        </w:rPr>
        <w:t>(三)多數銀行</w:t>
      </w:r>
      <w:r w:rsidR="00EA5898" w:rsidRPr="00507BD2">
        <w:rPr>
          <w:rFonts w:hint="eastAsia"/>
          <w:b/>
        </w:rPr>
        <w:t>建築放款</w:t>
      </w:r>
      <w:r w:rsidR="00766D81" w:rsidRPr="00507BD2">
        <w:rPr>
          <w:rFonts w:hint="eastAsia"/>
          <w:b/>
        </w:rPr>
        <w:t>趨近</w:t>
      </w:r>
      <w:r w:rsidR="00EA5898" w:rsidRPr="00507BD2">
        <w:rPr>
          <w:rFonts w:hint="eastAsia"/>
          <w:b/>
        </w:rPr>
        <w:t>法定上限</w:t>
      </w:r>
      <w:r w:rsidR="00AD5171" w:rsidRPr="00507BD2">
        <w:rPr>
          <w:rFonts w:hint="eastAsia"/>
          <w:b/>
        </w:rPr>
        <w:t>而</w:t>
      </w:r>
      <w:r w:rsidR="00C17B1F" w:rsidRPr="00507BD2">
        <w:rPr>
          <w:rFonts w:hint="eastAsia"/>
          <w:b/>
        </w:rPr>
        <w:t>籲請銀行自主管理</w:t>
      </w:r>
      <w:r w:rsidR="00AD5171" w:rsidRPr="00507BD2">
        <w:rPr>
          <w:rFonts w:hint="eastAsia"/>
          <w:b/>
        </w:rPr>
        <w:t>，惟過程引發恐慌，已採行</w:t>
      </w:r>
      <w:r w:rsidR="00C17B1F" w:rsidRPr="00507BD2">
        <w:rPr>
          <w:rFonts w:hint="eastAsia"/>
          <w:b/>
        </w:rPr>
        <w:t>協處措施</w:t>
      </w:r>
    </w:p>
    <w:p w:rsidR="003E608F" w:rsidRPr="00507BD2" w:rsidRDefault="003E608F" w:rsidP="0095653E">
      <w:pPr>
        <w:pStyle w:val="21"/>
        <w:ind w:left="850" w:firstLine="566"/>
        <w:rPr>
          <w:rFonts w:hAnsi="標楷體"/>
        </w:rPr>
      </w:pPr>
      <w:r w:rsidRPr="00507BD2">
        <w:rPr>
          <w:rFonts w:hAnsi="標楷體" w:hint="eastAsia"/>
        </w:rPr>
        <w:t>113年度央行</w:t>
      </w:r>
      <w:r w:rsidR="0095653E" w:rsidRPr="00507BD2">
        <w:rPr>
          <w:rFonts w:hAnsi="標楷體" w:hint="eastAsia"/>
        </w:rPr>
        <w:t>為避免信用資源過度流向不動產</w:t>
      </w:r>
      <w:r w:rsidRPr="00507BD2">
        <w:rPr>
          <w:rFonts w:hAnsi="標楷體" w:hint="eastAsia"/>
        </w:rPr>
        <w:t>，爰</w:t>
      </w:r>
      <w:r w:rsidR="0095653E" w:rsidRPr="00507BD2">
        <w:rPr>
          <w:rFonts w:hAnsi="標楷體" w:hint="eastAsia"/>
        </w:rPr>
        <w:t>賡續實施選擇性信用管制並</w:t>
      </w:r>
      <w:r w:rsidRPr="00507BD2">
        <w:rPr>
          <w:rFonts w:hAnsi="標楷體" w:hint="eastAsia"/>
        </w:rPr>
        <w:t>請銀行自主管理，惟過程引</w:t>
      </w:r>
      <w:r w:rsidR="0095653E" w:rsidRPr="00507BD2">
        <w:rPr>
          <w:rFonts w:hAnsi="標楷體" w:hint="eastAsia"/>
        </w:rPr>
        <w:t>發恐慌，容須審慎處理。茲說明如下：</w:t>
      </w:r>
    </w:p>
    <w:p w:rsidR="000F3CFE" w:rsidRPr="00507BD2" w:rsidRDefault="00314A3F" w:rsidP="0095653E">
      <w:pPr>
        <w:pStyle w:val="123"/>
        <w:rPr>
          <w:rFonts w:ascii="標楷體"/>
        </w:rPr>
      </w:pPr>
      <w:r w:rsidRPr="00507BD2">
        <w:rPr>
          <w:rFonts w:ascii="標楷體" w:hint="eastAsia"/>
          <w:b/>
        </w:rPr>
        <w:t>1.多數銀行建築放款趨近法定</w:t>
      </w:r>
      <w:r w:rsidR="00854BFD">
        <w:rPr>
          <w:rFonts w:ascii="標楷體" w:hint="eastAsia"/>
          <w:b/>
        </w:rPr>
        <w:t>及內部警戒</w:t>
      </w:r>
      <w:r w:rsidRPr="00507BD2">
        <w:rPr>
          <w:rFonts w:ascii="標楷體" w:hint="eastAsia"/>
          <w:b/>
        </w:rPr>
        <w:t>上限</w:t>
      </w:r>
      <w:r w:rsidR="0095653E" w:rsidRPr="00507BD2">
        <w:rPr>
          <w:rFonts w:ascii="標楷體" w:hint="eastAsia"/>
          <w:b/>
        </w:rPr>
        <w:t>：</w:t>
      </w:r>
      <w:r w:rsidR="00AA35A5" w:rsidRPr="00507BD2">
        <w:rPr>
          <w:rFonts w:ascii="標楷體" w:hint="eastAsia"/>
        </w:rPr>
        <w:t>為避免商業銀行對建築放款過度擴張並維持銀行資產之適當流動性，</w:t>
      </w:r>
      <w:r w:rsidR="00235062" w:rsidRPr="00507BD2">
        <w:rPr>
          <w:rFonts w:ascii="標楷體" w:hint="eastAsia"/>
        </w:rPr>
        <w:t>銀行法第72條之2</w:t>
      </w:r>
      <w:r w:rsidR="002244F3">
        <w:rPr>
          <w:rFonts w:ascii="標楷體" w:hint="eastAsia"/>
        </w:rPr>
        <w:t>訂有不得逾</w:t>
      </w:r>
      <w:r w:rsidR="002244F3" w:rsidRPr="002244F3">
        <w:rPr>
          <w:rFonts w:ascii="標楷體" w:hint="eastAsia"/>
        </w:rPr>
        <w:t>存款</w:t>
      </w:r>
      <w:r w:rsidR="002244F3">
        <w:rPr>
          <w:rFonts w:ascii="標楷體" w:hint="eastAsia"/>
        </w:rPr>
        <w:t>及金融債券</w:t>
      </w:r>
      <w:r w:rsidR="002244F3" w:rsidRPr="002244F3">
        <w:rPr>
          <w:rFonts w:ascii="標楷體" w:hint="eastAsia"/>
        </w:rPr>
        <w:t>總額30</w:t>
      </w:r>
      <w:r w:rsidR="002244F3">
        <w:rPr>
          <w:rFonts w:ascii="標楷體" w:hint="eastAsia"/>
        </w:rPr>
        <w:t>%</w:t>
      </w:r>
      <w:r w:rsidR="00A45DA7">
        <w:rPr>
          <w:rFonts w:ascii="標楷體" w:hint="eastAsia"/>
        </w:rPr>
        <w:t>之限額</w:t>
      </w:r>
      <w:r w:rsidR="00A45DA7">
        <w:rPr>
          <w:rStyle w:val="af1"/>
          <w:rFonts w:ascii="標楷體"/>
        </w:rPr>
        <w:footnoteReference w:id="1"/>
      </w:r>
      <w:r w:rsidR="00F3519F" w:rsidRPr="00507BD2">
        <w:rPr>
          <w:rFonts w:ascii="標楷體" w:hint="eastAsia"/>
        </w:rPr>
        <w:t>；</w:t>
      </w:r>
      <w:r w:rsidR="000A596F" w:rsidRPr="00507BD2">
        <w:rPr>
          <w:rFonts w:ascii="標楷體" w:hint="eastAsia"/>
        </w:rPr>
        <w:t>另據央行理監會後記者會參考資料，銀行多以28%至28.5%作為內部警戒值</w:t>
      </w:r>
      <w:r w:rsidR="00880350">
        <w:rPr>
          <w:rFonts w:ascii="標楷體" w:hint="eastAsia"/>
        </w:rPr>
        <w:t>，</w:t>
      </w:r>
      <w:r w:rsidR="00235062" w:rsidRPr="00507BD2">
        <w:rPr>
          <w:rFonts w:ascii="標楷體" w:hint="eastAsia"/>
        </w:rPr>
        <w:t>113年8月底</w:t>
      </w:r>
      <w:r w:rsidR="00880350">
        <w:rPr>
          <w:rFonts w:ascii="標楷體" w:hint="eastAsia"/>
        </w:rPr>
        <w:t>33家本國銀行中</w:t>
      </w:r>
      <w:r w:rsidR="003834ED">
        <w:rPr>
          <w:rFonts w:ascii="標楷體" w:hint="eastAsia"/>
        </w:rPr>
        <w:t>，</w:t>
      </w:r>
      <w:r w:rsidR="00880350">
        <w:rPr>
          <w:rFonts w:ascii="標楷體" w:hint="eastAsia"/>
        </w:rPr>
        <w:t>已有</w:t>
      </w:r>
      <w:r w:rsidR="00235062" w:rsidRPr="00507BD2">
        <w:rPr>
          <w:rFonts w:ascii="標楷體" w:hint="eastAsia"/>
        </w:rPr>
        <w:t>21家</w:t>
      </w:r>
      <w:r w:rsidR="00800C24" w:rsidRPr="00507BD2">
        <w:rPr>
          <w:rFonts w:ascii="標楷體" w:hint="eastAsia"/>
        </w:rPr>
        <w:t>本國銀行</w:t>
      </w:r>
      <w:r w:rsidR="004F6B79" w:rsidRPr="00507BD2">
        <w:rPr>
          <w:rFonts w:ascii="標楷體" w:hint="eastAsia"/>
        </w:rPr>
        <w:t>放款總額逾26%，1家高於29%</w:t>
      </w:r>
      <w:r w:rsidR="004F6B79" w:rsidRPr="00507BD2">
        <w:rPr>
          <w:rFonts w:ascii="標楷體"/>
        </w:rPr>
        <w:t>(</w:t>
      </w:r>
      <w:r w:rsidR="004F6B79" w:rsidRPr="00507BD2">
        <w:rPr>
          <w:rFonts w:ascii="標楷體" w:hint="eastAsia"/>
        </w:rPr>
        <w:t>詳表</w:t>
      </w:r>
      <w:r w:rsidR="00BA5770" w:rsidRPr="00507BD2">
        <w:rPr>
          <w:rFonts w:ascii="標楷體"/>
        </w:rPr>
        <w:t>4</w:t>
      </w:r>
      <w:r w:rsidR="004F6B79" w:rsidRPr="00507BD2">
        <w:rPr>
          <w:rFonts w:ascii="標楷體"/>
        </w:rPr>
        <w:t>)</w:t>
      </w:r>
      <w:r w:rsidR="004F6B79" w:rsidRPr="00507BD2">
        <w:rPr>
          <w:rFonts w:ascii="標楷體" w:hint="eastAsia"/>
        </w:rPr>
        <w:t>，趨近法</w:t>
      </w:r>
      <w:r w:rsidR="000A596F" w:rsidRPr="00507BD2">
        <w:rPr>
          <w:rFonts w:ascii="標楷體" w:hint="eastAsia"/>
        </w:rPr>
        <w:t>定</w:t>
      </w:r>
      <w:r w:rsidR="00854BFD">
        <w:rPr>
          <w:rFonts w:ascii="標楷體" w:hint="eastAsia"/>
        </w:rPr>
        <w:t>及內部警戒</w:t>
      </w:r>
      <w:r w:rsidR="004F6B79" w:rsidRPr="00507BD2">
        <w:rPr>
          <w:rFonts w:ascii="標楷體" w:hint="eastAsia"/>
        </w:rPr>
        <w:t>上限。</w:t>
      </w:r>
    </w:p>
    <w:p w:rsidR="003829D2" w:rsidRPr="00507BD2" w:rsidRDefault="003829D2" w:rsidP="005B25F9">
      <w:pPr>
        <w:pStyle w:val="ad"/>
        <w:ind w:left="283" w:hanging="283"/>
        <w:rPr>
          <w:rFonts w:hAnsi="標楷體" w:hint="eastAsia"/>
          <w:snapToGrid/>
          <w:sz w:val="24"/>
          <w:szCs w:val="24"/>
        </w:rPr>
      </w:pPr>
      <w:r w:rsidRPr="00507BD2">
        <w:rPr>
          <w:rFonts w:hAnsi="標楷體" w:hint="eastAsia"/>
          <w:b/>
        </w:rPr>
        <w:t>表</w:t>
      </w:r>
      <w:r w:rsidR="00BA5770" w:rsidRPr="00507BD2">
        <w:rPr>
          <w:rFonts w:hAnsi="標楷體"/>
          <w:b/>
        </w:rPr>
        <w:t>4</w:t>
      </w:r>
      <w:r w:rsidRPr="00507BD2">
        <w:rPr>
          <w:rFonts w:hAnsi="標楷體" w:hint="eastAsia"/>
          <w:b/>
        </w:rPr>
        <w:t xml:space="preserve"> </w:t>
      </w:r>
      <w:r w:rsidR="000A596F" w:rsidRPr="00507BD2">
        <w:rPr>
          <w:rFonts w:hAnsi="標楷體"/>
          <w:b/>
        </w:rPr>
        <w:t>113</w:t>
      </w:r>
      <w:r w:rsidRPr="00507BD2">
        <w:rPr>
          <w:rFonts w:hAnsi="標楷體" w:hint="eastAsia"/>
          <w:b/>
        </w:rPr>
        <w:t>年8月底</w:t>
      </w:r>
      <w:r w:rsidR="000A596F" w:rsidRPr="00507BD2">
        <w:rPr>
          <w:rFonts w:hAnsi="標楷體" w:hint="eastAsia"/>
          <w:b/>
        </w:rPr>
        <w:t>本國銀行建築放款水位</w:t>
      </w:r>
      <w:r w:rsidRPr="00507BD2">
        <w:rPr>
          <w:rFonts w:hAnsi="標楷體" w:hint="eastAsia"/>
          <w:b/>
        </w:rPr>
        <w:t>明細表</w:t>
      </w:r>
      <w:r w:rsidR="000A596F" w:rsidRPr="00507BD2">
        <w:rPr>
          <w:rFonts w:hAnsi="標楷體" w:hint="eastAsia"/>
        </w:rPr>
        <w:t xml:space="preserve">   </w:t>
      </w:r>
      <w:r w:rsidR="005B25F9" w:rsidRPr="00507BD2">
        <w:rPr>
          <w:rFonts w:hAnsi="標楷體"/>
        </w:rPr>
        <w:t xml:space="preserve">   </w:t>
      </w:r>
      <w:r w:rsidR="000A596F" w:rsidRPr="00507BD2">
        <w:rPr>
          <w:rFonts w:hAnsi="標楷體" w:hint="eastAsia"/>
        </w:rPr>
        <w:t xml:space="preserve">     </w:t>
      </w:r>
      <w:r w:rsidRPr="00507BD2">
        <w:rPr>
          <w:rFonts w:hAnsi="標楷體" w:hint="eastAsia"/>
          <w:sz w:val="24"/>
          <w:szCs w:val="24"/>
        </w:rPr>
        <w:t>單位：</w:t>
      </w:r>
      <w:r w:rsidR="000A596F" w:rsidRPr="00507BD2">
        <w:rPr>
          <w:rFonts w:hAnsi="標楷體" w:hint="eastAsia"/>
          <w:sz w:val="24"/>
          <w:szCs w:val="24"/>
        </w:rPr>
        <w:t>家</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28"/>
        <w:gridCol w:w="1223"/>
        <w:gridCol w:w="1223"/>
        <w:gridCol w:w="1223"/>
        <w:gridCol w:w="1223"/>
        <w:gridCol w:w="1223"/>
        <w:gridCol w:w="1223"/>
      </w:tblGrid>
      <w:tr w:rsidR="005B25F9" w:rsidRPr="00507BD2" w:rsidTr="009F49AA">
        <w:tc>
          <w:tcPr>
            <w:tcW w:w="1128" w:type="dxa"/>
            <w:shd w:val="clear" w:color="auto" w:fill="auto"/>
          </w:tcPr>
          <w:p w:rsidR="005B25F9" w:rsidRPr="00507BD2" w:rsidRDefault="005B25F9" w:rsidP="005B25F9">
            <w:pPr>
              <w:pStyle w:val="142"/>
              <w:rPr>
                <w:rFonts w:hAnsi="標楷體" w:hint="eastAsia"/>
                <w:b/>
                <w:sz w:val="22"/>
                <w:szCs w:val="22"/>
              </w:rPr>
            </w:pPr>
            <w:r w:rsidRPr="00507BD2">
              <w:rPr>
                <w:rFonts w:hAnsi="標楷體" w:hint="eastAsia"/>
                <w:b/>
                <w:sz w:val="22"/>
                <w:szCs w:val="22"/>
              </w:rPr>
              <w:t>比率區間</w:t>
            </w:r>
          </w:p>
        </w:tc>
        <w:tc>
          <w:tcPr>
            <w:tcW w:w="1223" w:type="dxa"/>
            <w:shd w:val="clear" w:color="auto" w:fill="auto"/>
          </w:tcPr>
          <w:p w:rsidR="005B25F9" w:rsidRPr="00507BD2" w:rsidRDefault="005B25F9" w:rsidP="0020064C">
            <w:pPr>
              <w:pStyle w:val="142"/>
              <w:jc w:val="center"/>
              <w:rPr>
                <w:rFonts w:hAnsi="標楷體" w:hint="eastAsia"/>
                <w:b/>
                <w:sz w:val="22"/>
                <w:szCs w:val="22"/>
              </w:rPr>
            </w:pPr>
            <w:r w:rsidRPr="00507BD2">
              <w:rPr>
                <w:rFonts w:hAnsi="標楷體" w:hint="eastAsia"/>
                <w:b/>
                <w:sz w:val="22"/>
                <w:szCs w:val="22"/>
              </w:rPr>
              <w:t>低於25%</w:t>
            </w:r>
          </w:p>
        </w:tc>
        <w:tc>
          <w:tcPr>
            <w:tcW w:w="1223" w:type="dxa"/>
            <w:shd w:val="clear" w:color="auto" w:fill="auto"/>
          </w:tcPr>
          <w:p w:rsidR="005B25F9" w:rsidRPr="00507BD2" w:rsidRDefault="005B25F9" w:rsidP="0020064C">
            <w:pPr>
              <w:pStyle w:val="142"/>
              <w:jc w:val="center"/>
              <w:rPr>
                <w:rFonts w:hAnsi="標楷體" w:hint="eastAsia"/>
                <w:b/>
                <w:sz w:val="22"/>
                <w:szCs w:val="22"/>
              </w:rPr>
            </w:pPr>
            <w:r w:rsidRPr="00507BD2">
              <w:rPr>
                <w:rFonts w:hAnsi="標楷體" w:hint="eastAsia"/>
                <w:b/>
                <w:sz w:val="22"/>
                <w:szCs w:val="22"/>
              </w:rPr>
              <w:t>25</w:t>
            </w:r>
            <w:r w:rsidRPr="00507BD2">
              <w:rPr>
                <w:rFonts w:hAnsi="標楷體"/>
                <w:b/>
                <w:sz w:val="22"/>
                <w:szCs w:val="22"/>
              </w:rPr>
              <w:t>%</w:t>
            </w:r>
            <w:r w:rsidRPr="00507BD2">
              <w:rPr>
                <w:rFonts w:hAnsi="標楷體" w:hint="eastAsia"/>
                <w:b/>
                <w:sz w:val="22"/>
                <w:szCs w:val="22"/>
              </w:rPr>
              <w:t>~26%</w:t>
            </w:r>
          </w:p>
        </w:tc>
        <w:tc>
          <w:tcPr>
            <w:tcW w:w="1223" w:type="dxa"/>
            <w:shd w:val="clear" w:color="auto" w:fill="auto"/>
          </w:tcPr>
          <w:p w:rsidR="005B25F9" w:rsidRPr="00507BD2" w:rsidRDefault="005B25F9" w:rsidP="0020064C">
            <w:pPr>
              <w:pStyle w:val="142"/>
              <w:jc w:val="center"/>
              <w:rPr>
                <w:rFonts w:hAnsi="標楷體" w:hint="eastAsia"/>
                <w:b/>
                <w:sz w:val="22"/>
                <w:szCs w:val="22"/>
              </w:rPr>
            </w:pPr>
            <w:r w:rsidRPr="00507BD2">
              <w:rPr>
                <w:rFonts w:hAnsi="標楷體" w:hint="eastAsia"/>
                <w:b/>
                <w:sz w:val="22"/>
                <w:szCs w:val="22"/>
              </w:rPr>
              <w:t>26</w:t>
            </w:r>
            <w:r w:rsidRPr="00507BD2">
              <w:rPr>
                <w:rFonts w:hAnsi="標楷體"/>
                <w:b/>
                <w:sz w:val="22"/>
                <w:szCs w:val="22"/>
              </w:rPr>
              <w:t>%~27%</w:t>
            </w:r>
          </w:p>
        </w:tc>
        <w:tc>
          <w:tcPr>
            <w:tcW w:w="1223" w:type="dxa"/>
            <w:shd w:val="clear" w:color="auto" w:fill="auto"/>
          </w:tcPr>
          <w:p w:rsidR="005B25F9" w:rsidRPr="00507BD2" w:rsidRDefault="005B25F9" w:rsidP="0020064C">
            <w:pPr>
              <w:pStyle w:val="142"/>
              <w:jc w:val="center"/>
              <w:rPr>
                <w:rFonts w:hAnsi="標楷體" w:hint="eastAsia"/>
                <w:b/>
                <w:sz w:val="22"/>
                <w:szCs w:val="22"/>
              </w:rPr>
            </w:pPr>
            <w:r w:rsidRPr="00507BD2">
              <w:rPr>
                <w:rFonts w:hAnsi="標楷體"/>
                <w:b/>
                <w:sz w:val="22"/>
                <w:szCs w:val="22"/>
              </w:rPr>
              <w:t>27%~28%</w:t>
            </w:r>
          </w:p>
        </w:tc>
        <w:tc>
          <w:tcPr>
            <w:tcW w:w="1223" w:type="dxa"/>
            <w:shd w:val="clear" w:color="auto" w:fill="auto"/>
          </w:tcPr>
          <w:p w:rsidR="005B25F9" w:rsidRPr="00507BD2" w:rsidRDefault="005B25F9" w:rsidP="0020064C">
            <w:pPr>
              <w:pStyle w:val="142"/>
              <w:jc w:val="center"/>
              <w:rPr>
                <w:rFonts w:hAnsi="標楷體" w:hint="eastAsia"/>
                <w:b/>
                <w:sz w:val="22"/>
                <w:szCs w:val="22"/>
              </w:rPr>
            </w:pPr>
            <w:r w:rsidRPr="00507BD2">
              <w:rPr>
                <w:rFonts w:hAnsi="標楷體" w:hint="eastAsia"/>
                <w:b/>
                <w:sz w:val="22"/>
                <w:szCs w:val="22"/>
              </w:rPr>
              <w:t>28%~29%</w:t>
            </w:r>
          </w:p>
        </w:tc>
        <w:tc>
          <w:tcPr>
            <w:tcW w:w="1223" w:type="dxa"/>
            <w:shd w:val="clear" w:color="auto" w:fill="auto"/>
          </w:tcPr>
          <w:p w:rsidR="005B25F9" w:rsidRPr="00507BD2" w:rsidRDefault="005B25F9" w:rsidP="0020064C">
            <w:pPr>
              <w:pStyle w:val="142"/>
              <w:jc w:val="center"/>
              <w:rPr>
                <w:rFonts w:hAnsi="標楷體" w:hint="eastAsia"/>
                <w:b/>
                <w:sz w:val="22"/>
                <w:szCs w:val="22"/>
              </w:rPr>
            </w:pPr>
            <w:r w:rsidRPr="00507BD2">
              <w:rPr>
                <w:rFonts w:hAnsi="標楷體" w:hint="eastAsia"/>
                <w:b/>
                <w:sz w:val="22"/>
                <w:szCs w:val="22"/>
              </w:rPr>
              <w:t>高於29%</w:t>
            </w:r>
          </w:p>
        </w:tc>
      </w:tr>
      <w:tr w:rsidR="005B25F9" w:rsidRPr="00507BD2" w:rsidTr="009F49AA">
        <w:tc>
          <w:tcPr>
            <w:tcW w:w="1128" w:type="dxa"/>
            <w:shd w:val="clear" w:color="auto" w:fill="auto"/>
          </w:tcPr>
          <w:p w:rsidR="005B25F9" w:rsidRPr="00507BD2" w:rsidRDefault="005B25F9" w:rsidP="005B25F9">
            <w:pPr>
              <w:pStyle w:val="142"/>
              <w:rPr>
                <w:rFonts w:hAnsi="標楷體" w:hint="eastAsia"/>
                <w:sz w:val="22"/>
                <w:szCs w:val="22"/>
              </w:rPr>
            </w:pPr>
            <w:r w:rsidRPr="00507BD2">
              <w:rPr>
                <w:rFonts w:hAnsi="標楷體" w:hint="eastAsia"/>
                <w:sz w:val="22"/>
                <w:szCs w:val="22"/>
              </w:rPr>
              <w:t>家數</w:t>
            </w:r>
          </w:p>
        </w:tc>
        <w:tc>
          <w:tcPr>
            <w:tcW w:w="1223" w:type="dxa"/>
            <w:shd w:val="clear" w:color="auto" w:fill="auto"/>
          </w:tcPr>
          <w:p w:rsidR="005B25F9" w:rsidRPr="00507BD2" w:rsidRDefault="005B25F9" w:rsidP="009F49AA">
            <w:pPr>
              <w:pStyle w:val="142"/>
              <w:jc w:val="right"/>
              <w:rPr>
                <w:rFonts w:hAnsi="標楷體" w:hint="eastAsia"/>
                <w:sz w:val="22"/>
                <w:szCs w:val="22"/>
              </w:rPr>
            </w:pPr>
            <w:r w:rsidRPr="00507BD2">
              <w:rPr>
                <w:rFonts w:hAnsi="標楷體" w:hint="eastAsia"/>
                <w:sz w:val="22"/>
                <w:szCs w:val="22"/>
              </w:rPr>
              <w:t>10</w:t>
            </w:r>
          </w:p>
        </w:tc>
        <w:tc>
          <w:tcPr>
            <w:tcW w:w="1223" w:type="dxa"/>
            <w:shd w:val="clear" w:color="auto" w:fill="auto"/>
          </w:tcPr>
          <w:p w:rsidR="005B25F9" w:rsidRPr="00507BD2" w:rsidRDefault="005B25F9" w:rsidP="009F49AA">
            <w:pPr>
              <w:pStyle w:val="142"/>
              <w:jc w:val="right"/>
              <w:rPr>
                <w:rFonts w:hAnsi="標楷體" w:hint="eastAsia"/>
                <w:sz w:val="22"/>
                <w:szCs w:val="22"/>
              </w:rPr>
            </w:pPr>
            <w:r w:rsidRPr="00507BD2">
              <w:rPr>
                <w:rFonts w:hAnsi="標楷體" w:hint="eastAsia"/>
                <w:sz w:val="22"/>
                <w:szCs w:val="22"/>
              </w:rPr>
              <w:t>2</w:t>
            </w:r>
          </w:p>
        </w:tc>
        <w:tc>
          <w:tcPr>
            <w:tcW w:w="1223" w:type="dxa"/>
            <w:shd w:val="clear" w:color="auto" w:fill="auto"/>
          </w:tcPr>
          <w:p w:rsidR="005B25F9" w:rsidRPr="00507BD2" w:rsidRDefault="005B25F9" w:rsidP="009F49AA">
            <w:pPr>
              <w:pStyle w:val="142"/>
              <w:jc w:val="right"/>
              <w:rPr>
                <w:rFonts w:hAnsi="標楷體" w:hint="eastAsia"/>
                <w:sz w:val="22"/>
                <w:szCs w:val="22"/>
              </w:rPr>
            </w:pPr>
            <w:r w:rsidRPr="00507BD2">
              <w:rPr>
                <w:rFonts w:hAnsi="標楷體" w:hint="eastAsia"/>
                <w:sz w:val="22"/>
                <w:szCs w:val="22"/>
              </w:rPr>
              <w:t>6</w:t>
            </w:r>
          </w:p>
        </w:tc>
        <w:tc>
          <w:tcPr>
            <w:tcW w:w="1223" w:type="dxa"/>
            <w:shd w:val="clear" w:color="auto" w:fill="auto"/>
          </w:tcPr>
          <w:p w:rsidR="005B25F9" w:rsidRPr="00507BD2" w:rsidRDefault="005B25F9" w:rsidP="009F49AA">
            <w:pPr>
              <w:pStyle w:val="142"/>
              <w:jc w:val="right"/>
              <w:rPr>
                <w:rFonts w:hAnsi="標楷體" w:hint="eastAsia"/>
                <w:sz w:val="22"/>
                <w:szCs w:val="22"/>
              </w:rPr>
            </w:pPr>
            <w:r w:rsidRPr="00507BD2">
              <w:rPr>
                <w:rFonts w:hAnsi="標楷體" w:hint="eastAsia"/>
                <w:sz w:val="22"/>
                <w:szCs w:val="22"/>
              </w:rPr>
              <w:t>11</w:t>
            </w:r>
          </w:p>
        </w:tc>
        <w:tc>
          <w:tcPr>
            <w:tcW w:w="1223" w:type="dxa"/>
            <w:shd w:val="clear" w:color="auto" w:fill="auto"/>
          </w:tcPr>
          <w:p w:rsidR="005B25F9" w:rsidRPr="00507BD2" w:rsidRDefault="005B25F9" w:rsidP="009F49AA">
            <w:pPr>
              <w:pStyle w:val="142"/>
              <w:jc w:val="right"/>
              <w:rPr>
                <w:rFonts w:hAnsi="標楷體" w:hint="eastAsia"/>
                <w:sz w:val="22"/>
                <w:szCs w:val="22"/>
              </w:rPr>
            </w:pPr>
            <w:r w:rsidRPr="00507BD2">
              <w:rPr>
                <w:rFonts w:hAnsi="標楷體" w:hint="eastAsia"/>
                <w:sz w:val="22"/>
                <w:szCs w:val="22"/>
              </w:rPr>
              <w:t>3</w:t>
            </w:r>
          </w:p>
        </w:tc>
        <w:tc>
          <w:tcPr>
            <w:tcW w:w="1223" w:type="dxa"/>
            <w:shd w:val="clear" w:color="auto" w:fill="auto"/>
          </w:tcPr>
          <w:p w:rsidR="005B25F9" w:rsidRPr="00507BD2" w:rsidRDefault="005B25F9" w:rsidP="009F49AA">
            <w:pPr>
              <w:pStyle w:val="142"/>
              <w:jc w:val="right"/>
              <w:rPr>
                <w:rFonts w:hAnsi="標楷體" w:hint="eastAsia"/>
                <w:sz w:val="22"/>
                <w:szCs w:val="22"/>
              </w:rPr>
            </w:pPr>
            <w:r w:rsidRPr="00507BD2">
              <w:rPr>
                <w:rFonts w:hAnsi="標楷體" w:hint="eastAsia"/>
                <w:sz w:val="22"/>
                <w:szCs w:val="22"/>
              </w:rPr>
              <w:t>1</w:t>
            </w:r>
          </w:p>
        </w:tc>
      </w:tr>
    </w:tbl>
    <w:p w:rsidR="005B25F9" w:rsidRPr="00507BD2" w:rsidRDefault="005B25F9" w:rsidP="005B25F9">
      <w:pPr>
        <w:pStyle w:val="142"/>
        <w:rPr>
          <w:rFonts w:hAnsi="標楷體"/>
        </w:rPr>
      </w:pPr>
      <w:r w:rsidRPr="00507BD2">
        <w:rPr>
          <w:rFonts w:hAnsi="標楷體"/>
        </w:rPr>
        <w:lastRenderedPageBreak/>
        <w:t>說</w:t>
      </w:r>
      <w:r w:rsidR="00830CF3" w:rsidRPr="00507BD2">
        <w:rPr>
          <w:rFonts w:hAnsi="標楷體" w:hint="eastAsia"/>
        </w:rPr>
        <w:t xml:space="preserve">    </w:t>
      </w:r>
      <w:r w:rsidRPr="00507BD2">
        <w:rPr>
          <w:rFonts w:hAnsi="標楷體"/>
        </w:rPr>
        <w:t>明</w:t>
      </w:r>
      <w:r w:rsidRPr="00507BD2">
        <w:rPr>
          <w:rFonts w:hAnsi="標楷體" w:hint="eastAsia"/>
        </w:rPr>
        <w:t>：1.本表以銀行法第72條之2規定計算。</w:t>
      </w:r>
    </w:p>
    <w:p w:rsidR="005B25F9" w:rsidRPr="00507BD2" w:rsidRDefault="005B25F9" w:rsidP="00830CF3">
      <w:pPr>
        <w:pStyle w:val="142"/>
        <w:ind w:leftChars="419" w:left="1428" w:hangingChars="99" w:hanging="241"/>
        <w:jc w:val="both"/>
        <w:rPr>
          <w:rFonts w:hAnsi="標楷體"/>
        </w:rPr>
      </w:pPr>
      <w:r w:rsidRPr="00507BD2">
        <w:rPr>
          <w:rFonts w:hAnsi="標楷體"/>
        </w:rPr>
        <w:t>2.本表不含土地銀行</w:t>
      </w:r>
      <w:r w:rsidRPr="00507BD2">
        <w:rPr>
          <w:rFonts w:hAnsi="標楷體" w:hint="eastAsia"/>
        </w:rPr>
        <w:t>、農業金庫、中國輸出入銀行、樂天國際商業銀行、連線商業銀行與花旗(臺灣</w:t>
      </w:r>
      <w:r w:rsidRPr="00507BD2">
        <w:rPr>
          <w:rFonts w:hAnsi="標楷體"/>
        </w:rPr>
        <w:t>)商業銀行</w:t>
      </w:r>
      <w:r w:rsidRPr="00507BD2">
        <w:rPr>
          <w:rFonts w:hAnsi="標楷體" w:hint="eastAsia"/>
        </w:rPr>
        <w:t>。</w:t>
      </w:r>
    </w:p>
    <w:p w:rsidR="003829D2" w:rsidRPr="00507BD2" w:rsidRDefault="003829D2" w:rsidP="005B25F9">
      <w:pPr>
        <w:pStyle w:val="142"/>
        <w:rPr>
          <w:rFonts w:hAnsi="標楷體"/>
        </w:rPr>
      </w:pPr>
      <w:r w:rsidRPr="00507BD2">
        <w:rPr>
          <w:rFonts w:hAnsi="標楷體" w:hint="eastAsia"/>
        </w:rPr>
        <w:t>資料來源：113年9月19日央行理監事會後記者會參考資料。</w:t>
      </w:r>
    </w:p>
    <w:p w:rsidR="00C50F88" w:rsidRPr="00507BD2" w:rsidRDefault="0095653E" w:rsidP="009518D3">
      <w:pPr>
        <w:pStyle w:val="123"/>
        <w:rPr>
          <w:rFonts w:ascii="標楷體"/>
        </w:rPr>
      </w:pPr>
      <w:r w:rsidRPr="00507BD2">
        <w:rPr>
          <w:rFonts w:ascii="標楷體" w:hint="eastAsia"/>
          <w:b/>
        </w:rPr>
        <w:t>2.</w:t>
      </w:r>
      <w:r w:rsidR="00C17B1F" w:rsidRPr="00507BD2">
        <w:rPr>
          <w:rFonts w:ascii="標楷體" w:hint="eastAsia"/>
          <w:b/>
        </w:rPr>
        <w:t>籲請銀行自主管理</w:t>
      </w:r>
      <w:r w:rsidRPr="00507BD2">
        <w:rPr>
          <w:rFonts w:ascii="標楷體" w:hint="eastAsia"/>
          <w:b/>
        </w:rPr>
        <w:t>過程引發恐慌，已</w:t>
      </w:r>
      <w:r w:rsidR="001218FA" w:rsidRPr="00507BD2">
        <w:rPr>
          <w:rFonts w:ascii="標楷體" w:hint="eastAsia"/>
          <w:b/>
        </w:rPr>
        <w:t>公布協處措施</w:t>
      </w:r>
      <w:r w:rsidRPr="00507BD2">
        <w:rPr>
          <w:rFonts w:ascii="標楷體" w:hint="eastAsia"/>
          <w:b/>
        </w:rPr>
        <w:t>：</w:t>
      </w:r>
      <w:r w:rsidR="00CD651B" w:rsidRPr="00507BD2">
        <w:rPr>
          <w:rFonts w:ascii="標楷體" w:hint="eastAsia"/>
        </w:rPr>
        <w:t>茲就採行措施詢據央行略以，113年8月</w:t>
      </w:r>
      <w:r w:rsidR="009E089A" w:rsidRPr="00507BD2">
        <w:rPr>
          <w:rFonts w:ascii="標楷體" w:hint="eastAsia"/>
        </w:rPr>
        <w:t>籲請各銀行自主管理不動產貸款總量，同年9月20日起調整選擇性信用管制措施，並自10月1日起調升存款準備率0.25個百分點，以降低借款人財務槓桿，抑制投機與囤房行為，引導信用資源優先提供無自用住宅者購屋貸款。央行宣示政策以來，</w:t>
      </w:r>
      <w:r w:rsidR="00F749E6" w:rsidRPr="00507BD2">
        <w:rPr>
          <w:rFonts w:ascii="標楷體" w:hint="eastAsia"/>
        </w:rPr>
        <w:t>引發民眾無法貸得款項</w:t>
      </w:r>
      <w:r w:rsidR="009329B5" w:rsidRPr="00507BD2">
        <w:rPr>
          <w:rFonts w:ascii="標楷體" w:hint="eastAsia"/>
        </w:rPr>
        <w:t>恐慌</w:t>
      </w:r>
      <w:r w:rsidR="00F749E6" w:rsidRPr="00507BD2">
        <w:rPr>
          <w:rFonts w:ascii="標楷體" w:hint="eastAsia"/>
        </w:rPr>
        <w:t>，</w:t>
      </w:r>
      <w:r w:rsidR="00D90B8C">
        <w:rPr>
          <w:rFonts w:ascii="標楷體" w:hint="eastAsia"/>
        </w:rPr>
        <w:t>旋即</w:t>
      </w:r>
      <w:r w:rsidR="001218FA" w:rsidRPr="00507BD2">
        <w:rPr>
          <w:rFonts w:ascii="標楷體" w:hint="eastAsia"/>
        </w:rPr>
        <w:t>於113年8月22日及10月9日</w:t>
      </w:r>
      <w:r w:rsidR="003E608F" w:rsidRPr="00507BD2">
        <w:rPr>
          <w:rFonts w:ascii="標楷體" w:hint="eastAsia"/>
        </w:rPr>
        <w:t>2次發布新聞稿，申明係請銀行依據自身經營情況研提未來1年自主管理之不動產貸款具體量化改善方案，俾</w:t>
      </w:r>
      <w:r w:rsidR="001218FA" w:rsidRPr="00507BD2">
        <w:rPr>
          <w:rFonts w:ascii="標楷體" w:hint="eastAsia"/>
        </w:rPr>
        <w:t>以</w:t>
      </w:r>
      <w:r w:rsidR="003E608F" w:rsidRPr="00507BD2">
        <w:rPr>
          <w:rFonts w:ascii="標楷體" w:hint="eastAsia"/>
        </w:rPr>
        <w:t>漸進方式強化風險管理</w:t>
      </w:r>
      <w:r w:rsidR="001218FA" w:rsidRPr="00507BD2">
        <w:rPr>
          <w:rFonts w:ascii="標楷體" w:hint="eastAsia"/>
        </w:rPr>
        <w:t>，另針對自然人繼承、換屋、已購屋將貸款等3類民眾提供</w:t>
      </w:r>
      <w:r w:rsidR="007D41EC" w:rsidRPr="00507BD2">
        <w:rPr>
          <w:rFonts w:ascii="標楷體" w:hint="eastAsia"/>
        </w:rPr>
        <w:t>協處措施</w:t>
      </w:r>
      <w:r w:rsidR="00FC1D66" w:rsidRPr="00507BD2">
        <w:rPr>
          <w:rFonts w:ascii="標楷體" w:hint="eastAsia"/>
        </w:rPr>
        <w:t>(詳表</w:t>
      </w:r>
      <w:r w:rsidR="00FC1D66" w:rsidRPr="00507BD2">
        <w:rPr>
          <w:rFonts w:ascii="標楷體"/>
        </w:rPr>
        <w:t>5</w:t>
      </w:r>
      <w:r w:rsidR="00FC1D66" w:rsidRPr="00507BD2">
        <w:rPr>
          <w:rFonts w:ascii="標楷體" w:hint="eastAsia"/>
        </w:rPr>
        <w:t>)，並提供</w:t>
      </w:r>
      <w:r w:rsidR="00A907DF" w:rsidRPr="00507BD2">
        <w:rPr>
          <w:rFonts w:ascii="標楷體" w:hint="eastAsia"/>
        </w:rPr>
        <w:t>電話</w:t>
      </w:r>
      <w:r w:rsidR="00FC1D66" w:rsidRPr="00507BD2">
        <w:rPr>
          <w:rFonts w:ascii="標楷體" w:hint="eastAsia"/>
        </w:rPr>
        <w:t>諮詢</w:t>
      </w:r>
      <w:r w:rsidR="004B1A0B" w:rsidRPr="00507BD2">
        <w:rPr>
          <w:rFonts w:ascii="標楷體" w:hint="eastAsia"/>
        </w:rPr>
        <w:t>。</w:t>
      </w:r>
    </w:p>
    <w:p w:rsidR="001218FA" w:rsidRPr="00507BD2" w:rsidRDefault="00C17B1F" w:rsidP="00FC1D66">
      <w:pPr>
        <w:pStyle w:val="ad"/>
        <w:ind w:left="283" w:hanging="283"/>
        <w:rPr>
          <w:rFonts w:hAnsi="標楷體"/>
          <w:b/>
        </w:rPr>
      </w:pPr>
      <w:r w:rsidRPr="00507BD2">
        <w:rPr>
          <w:rFonts w:hAnsi="標楷體"/>
          <w:b/>
        </w:rPr>
        <w:t>表</w:t>
      </w:r>
      <w:r w:rsidR="00BA5770" w:rsidRPr="00507BD2">
        <w:rPr>
          <w:rFonts w:hAnsi="標楷體"/>
          <w:b/>
        </w:rPr>
        <w:t>5</w:t>
      </w:r>
      <w:r w:rsidRPr="00507BD2">
        <w:rPr>
          <w:rFonts w:hAnsi="標楷體"/>
          <w:b/>
        </w:rPr>
        <w:t xml:space="preserve"> 113年10月9日</w:t>
      </w:r>
      <w:r w:rsidRPr="00507BD2">
        <w:rPr>
          <w:rFonts w:hAnsi="標楷體" w:hint="eastAsia"/>
          <w:b/>
        </w:rPr>
        <w:t>央行選擇性信用管制措施之協處措施</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57"/>
        <w:gridCol w:w="819"/>
        <w:gridCol w:w="851"/>
        <w:gridCol w:w="1417"/>
        <w:gridCol w:w="4992"/>
      </w:tblGrid>
      <w:tr w:rsidR="00BA5770" w:rsidRPr="00507BD2" w:rsidTr="00CC2CDC">
        <w:tc>
          <w:tcPr>
            <w:tcW w:w="457" w:type="dxa"/>
            <w:shd w:val="clear" w:color="auto" w:fill="auto"/>
            <w:vAlign w:val="center"/>
          </w:tcPr>
          <w:p w:rsidR="00BA5770" w:rsidRPr="00507BD2" w:rsidRDefault="00BA5770" w:rsidP="00C93DF5">
            <w:pPr>
              <w:pStyle w:val="142"/>
              <w:jc w:val="center"/>
              <w:rPr>
                <w:rFonts w:hAnsi="標楷體"/>
                <w:b/>
              </w:rPr>
            </w:pPr>
            <w:r w:rsidRPr="00507BD2">
              <w:rPr>
                <w:rFonts w:hAnsi="標楷體" w:hint="eastAsia"/>
                <w:b/>
              </w:rPr>
              <w:t>對象</w:t>
            </w:r>
          </w:p>
        </w:tc>
        <w:tc>
          <w:tcPr>
            <w:tcW w:w="819" w:type="dxa"/>
            <w:shd w:val="clear" w:color="auto" w:fill="auto"/>
            <w:vAlign w:val="center"/>
          </w:tcPr>
          <w:p w:rsidR="00BA5770" w:rsidRPr="00507BD2" w:rsidRDefault="00BA5770" w:rsidP="00C93DF5">
            <w:pPr>
              <w:pStyle w:val="142"/>
              <w:jc w:val="center"/>
              <w:rPr>
                <w:rFonts w:hAnsi="標楷體"/>
                <w:b/>
              </w:rPr>
            </w:pPr>
            <w:r w:rsidRPr="00507BD2">
              <w:rPr>
                <w:rFonts w:hAnsi="標楷體" w:hint="eastAsia"/>
                <w:b/>
              </w:rPr>
              <w:t>購置</w:t>
            </w:r>
          </w:p>
          <w:p w:rsidR="00BA5770" w:rsidRPr="00507BD2" w:rsidRDefault="00BA5770" w:rsidP="00C93DF5">
            <w:pPr>
              <w:pStyle w:val="142"/>
              <w:jc w:val="center"/>
              <w:rPr>
                <w:rFonts w:hAnsi="標楷體" w:hint="eastAsia"/>
                <w:b/>
              </w:rPr>
            </w:pPr>
            <w:r w:rsidRPr="00507BD2">
              <w:rPr>
                <w:rFonts w:hAnsi="標楷體" w:hint="eastAsia"/>
                <w:b/>
              </w:rPr>
              <w:t>屋型</w:t>
            </w:r>
          </w:p>
        </w:tc>
        <w:tc>
          <w:tcPr>
            <w:tcW w:w="7260" w:type="dxa"/>
            <w:gridSpan w:val="3"/>
            <w:shd w:val="clear" w:color="auto" w:fill="auto"/>
            <w:vAlign w:val="center"/>
          </w:tcPr>
          <w:p w:rsidR="00BA5770" w:rsidRPr="00507BD2" w:rsidRDefault="00BA5770" w:rsidP="00C93DF5">
            <w:pPr>
              <w:pStyle w:val="142"/>
              <w:jc w:val="center"/>
              <w:rPr>
                <w:rFonts w:hAnsi="標楷體"/>
                <w:b/>
              </w:rPr>
            </w:pPr>
            <w:r w:rsidRPr="00507BD2">
              <w:rPr>
                <w:rFonts w:hAnsi="標楷體" w:hint="eastAsia"/>
                <w:b/>
              </w:rPr>
              <w:t>排除適用情形</w:t>
            </w:r>
          </w:p>
        </w:tc>
      </w:tr>
      <w:tr w:rsidR="00BA5770" w:rsidRPr="00507BD2" w:rsidTr="00CC2CDC">
        <w:tc>
          <w:tcPr>
            <w:tcW w:w="457" w:type="dxa"/>
            <w:vMerge w:val="restart"/>
            <w:shd w:val="clear" w:color="auto" w:fill="auto"/>
            <w:vAlign w:val="center"/>
          </w:tcPr>
          <w:p w:rsidR="00BA5770" w:rsidRPr="00507BD2" w:rsidRDefault="00BA5770" w:rsidP="00C93DF5">
            <w:pPr>
              <w:pStyle w:val="142"/>
              <w:jc w:val="center"/>
              <w:rPr>
                <w:rFonts w:hAnsi="標楷體"/>
              </w:rPr>
            </w:pPr>
            <w:r w:rsidRPr="00507BD2">
              <w:rPr>
                <w:rFonts w:hAnsi="標楷體" w:hint="eastAsia"/>
              </w:rPr>
              <w:t>自然人</w:t>
            </w:r>
          </w:p>
        </w:tc>
        <w:tc>
          <w:tcPr>
            <w:tcW w:w="819" w:type="dxa"/>
            <w:vMerge w:val="restart"/>
            <w:shd w:val="clear" w:color="auto" w:fill="auto"/>
            <w:vAlign w:val="center"/>
          </w:tcPr>
          <w:p w:rsidR="00BA5770" w:rsidRPr="00507BD2" w:rsidRDefault="00BA5770" w:rsidP="00C93DF5">
            <w:pPr>
              <w:pStyle w:val="142"/>
              <w:jc w:val="center"/>
              <w:rPr>
                <w:rFonts w:hAnsi="標楷體"/>
              </w:rPr>
            </w:pPr>
            <w:r w:rsidRPr="00507BD2">
              <w:rPr>
                <w:rFonts w:hAnsi="標楷體" w:hint="eastAsia"/>
              </w:rPr>
              <w:t>非高</w:t>
            </w:r>
          </w:p>
          <w:p w:rsidR="00BA5770" w:rsidRPr="00507BD2" w:rsidRDefault="00BA5770" w:rsidP="00C93DF5">
            <w:pPr>
              <w:pStyle w:val="142"/>
              <w:jc w:val="center"/>
              <w:rPr>
                <w:rFonts w:hAnsi="標楷體"/>
              </w:rPr>
            </w:pPr>
            <w:r w:rsidRPr="00507BD2">
              <w:rPr>
                <w:rFonts w:hAnsi="標楷體" w:hint="eastAsia"/>
              </w:rPr>
              <w:t>價住</w:t>
            </w:r>
          </w:p>
          <w:p w:rsidR="00BA5770" w:rsidRPr="00507BD2" w:rsidRDefault="00BA5770" w:rsidP="00C93DF5">
            <w:pPr>
              <w:pStyle w:val="142"/>
              <w:jc w:val="center"/>
              <w:rPr>
                <w:rFonts w:hAnsi="標楷體"/>
              </w:rPr>
            </w:pPr>
            <w:r w:rsidRPr="00507BD2">
              <w:rPr>
                <w:rFonts w:hAnsi="標楷體" w:hint="eastAsia"/>
              </w:rPr>
              <w:t>宅</w:t>
            </w:r>
          </w:p>
        </w:tc>
        <w:tc>
          <w:tcPr>
            <w:tcW w:w="851" w:type="dxa"/>
            <w:shd w:val="clear" w:color="auto" w:fill="auto"/>
            <w:vAlign w:val="center"/>
          </w:tcPr>
          <w:p w:rsidR="00BA5770" w:rsidRPr="00507BD2" w:rsidRDefault="00BA5770" w:rsidP="00C93DF5">
            <w:pPr>
              <w:pStyle w:val="142"/>
              <w:jc w:val="both"/>
              <w:rPr>
                <w:rFonts w:hAnsi="標楷體"/>
              </w:rPr>
            </w:pPr>
            <w:r w:rsidRPr="00507BD2">
              <w:rPr>
                <w:rFonts w:hAnsi="標楷體" w:hint="eastAsia"/>
              </w:rPr>
              <w:t>繼承</w:t>
            </w:r>
          </w:p>
        </w:tc>
        <w:tc>
          <w:tcPr>
            <w:tcW w:w="6409" w:type="dxa"/>
            <w:gridSpan w:val="2"/>
            <w:shd w:val="clear" w:color="auto" w:fill="auto"/>
          </w:tcPr>
          <w:p w:rsidR="00BA5770" w:rsidRPr="00507BD2" w:rsidRDefault="00092FE9" w:rsidP="00C93DF5">
            <w:pPr>
              <w:pStyle w:val="142"/>
              <w:jc w:val="both"/>
              <w:rPr>
                <w:rFonts w:hAnsi="標楷體"/>
              </w:rPr>
            </w:pPr>
            <w:r w:rsidRPr="00507BD2">
              <w:rPr>
                <w:rFonts w:hAnsi="標楷體" w:hint="eastAsia"/>
              </w:rPr>
              <w:t>取得之房屋及房貸，不計入規定房屋數及房貸戶數。</w:t>
            </w:r>
          </w:p>
        </w:tc>
      </w:tr>
      <w:tr w:rsidR="00092FE9" w:rsidRPr="00507BD2" w:rsidTr="00364674">
        <w:tc>
          <w:tcPr>
            <w:tcW w:w="457" w:type="dxa"/>
            <w:vMerge/>
            <w:shd w:val="clear" w:color="auto" w:fill="auto"/>
          </w:tcPr>
          <w:p w:rsidR="00092FE9" w:rsidRPr="00507BD2" w:rsidRDefault="00092FE9" w:rsidP="00C93DF5">
            <w:pPr>
              <w:pStyle w:val="142"/>
              <w:jc w:val="both"/>
              <w:rPr>
                <w:rFonts w:hAnsi="標楷體"/>
              </w:rPr>
            </w:pPr>
          </w:p>
        </w:tc>
        <w:tc>
          <w:tcPr>
            <w:tcW w:w="819" w:type="dxa"/>
            <w:vMerge/>
            <w:shd w:val="clear" w:color="auto" w:fill="auto"/>
          </w:tcPr>
          <w:p w:rsidR="00092FE9" w:rsidRPr="00507BD2" w:rsidRDefault="00092FE9" w:rsidP="00C93DF5">
            <w:pPr>
              <w:pStyle w:val="142"/>
              <w:jc w:val="both"/>
              <w:rPr>
                <w:rFonts w:hAnsi="標楷體"/>
              </w:rPr>
            </w:pPr>
          </w:p>
        </w:tc>
        <w:tc>
          <w:tcPr>
            <w:tcW w:w="851" w:type="dxa"/>
            <w:vMerge w:val="restart"/>
            <w:shd w:val="clear" w:color="auto" w:fill="auto"/>
            <w:vAlign w:val="center"/>
          </w:tcPr>
          <w:p w:rsidR="00092FE9" w:rsidRPr="00507BD2" w:rsidRDefault="00092FE9" w:rsidP="00C93DF5">
            <w:pPr>
              <w:pStyle w:val="142"/>
              <w:jc w:val="both"/>
              <w:rPr>
                <w:rFonts w:hAnsi="標楷體"/>
              </w:rPr>
            </w:pPr>
            <w:r w:rsidRPr="00507BD2">
              <w:rPr>
                <w:rFonts w:hAnsi="標楷體" w:hint="eastAsia"/>
              </w:rPr>
              <w:t>換屋</w:t>
            </w:r>
          </w:p>
        </w:tc>
        <w:tc>
          <w:tcPr>
            <w:tcW w:w="1417" w:type="dxa"/>
            <w:vMerge w:val="restart"/>
            <w:shd w:val="clear" w:color="auto" w:fill="auto"/>
          </w:tcPr>
          <w:p w:rsidR="00092FE9" w:rsidRPr="00507BD2" w:rsidRDefault="00092FE9" w:rsidP="00C93DF5">
            <w:pPr>
              <w:pStyle w:val="142"/>
              <w:jc w:val="both"/>
              <w:rPr>
                <w:rFonts w:hAnsi="標楷體"/>
              </w:rPr>
            </w:pPr>
            <w:r w:rsidRPr="00507BD2">
              <w:rPr>
                <w:rFonts w:hAnsi="標楷體" w:hint="eastAsia"/>
              </w:rPr>
              <w:t>須與承貸金融機構切結約定右列事項，新申辦之第1戶或第2戶</w:t>
            </w:r>
          </w:p>
        </w:tc>
        <w:tc>
          <w:tcPr>
            <w:tcW w:w="4992" w:type="dxa"/>
            <w:shd w:val="clear" w:color="auto" w:fill="auto"/>
          </w:tcPr>
          <w:p w:rsidR="00092FE9" w:rsidRPr="00507BD2" w:rsidRDefault="00FC1D66" w:rsidP="00C93DF5">
            <w:pPr>
              <w:pStyle w:val="142"/>
              <w:jc w:val="both"/>
              <w:rPr>
                <w:rFonts w:hAnsi="標楷體"/>
              </w:rPr>
            </w:pPr>
            <w:r w:rsidRPr="00507BD2">
              <w:rPr>
                <w:rFonts w:hAnsi="標楷體" w:hint="eastAsia"/>
              </w:rPr>
              <w:t>新申辦之購屋貸款撥款後1年內，將名下原有房屋出售並完成產權移轉登記，且不得以轉貸等方式規避。</w:t>
            </w:r>
          </w:p>
        </w:tc>
      </w:tr>
      <w:tr w:rsidR="00092FE9" w:rsidRPr="00507BD2" w:rsidTr="00364674">
        <w:tc>
          <w:tcPr>
            <w:tcW w:w="457" w:type="dxa"/>
            <w:vMerge/>
            <w:shd w:val="clear" w:color="auto" w:fill="auto"/>
          </w:tcPr>
          <w:p w:rsidR="00092FE9" w:rsidRPr="00507BD2" w:rsidRDefault="00092FE9" w:rsidP="00C93DF5">
            <w:pPr>
              <w:pStyle w:val="142"/>
              <w:jc w:val="both"/>
              <w:rPr>
                <w:rFonts w:hAnsi="標楷體"/>
              </w:rPr>
            </w:pPr>
          </w:p>
        </w:tc>
        <w:tc>
          <w:tcPr>
            <w:tcW w:w="819" w:type="dxa"/>
            <w:vMerge/>
            <w:shd w:val="clear" w:color="auto" w:fill="auto"/>
          </w:tcPr>
          <w:p w:rsidR="00092FE9" w:rsidRPr="00507BD2" w:rsidRDefault="00092FE9" w:rsidP="00C93DF5">
            <w:pPr>
              <w:pStyle w:val="142"/>
              <w:jc w:val="both"/>
              <w:rPr>
                <w:rFonts w:hAnsi="標楷體"/>
              </w:rPr>
            </w:pPr>
          </w:p>
        </w:tc>
        <w:tc>
          <w:tcPr>
            <w:tcW w:w="851" w:type="dxa"/>
            <w:vMerge/>
            <w:shd w:val="clear" w:color="auto" w:fill="auto"/>
            <w:vAlign w:val="center"/>
          </w:tcPr>
          <w:p w:rsidR="00092FE9" w:rsidRPr="00507BD2" w:rsidRDefault="00092FE9" w:rsidP="00C93DF5">
            <w:pPr>
              <w:pStyle w:val="142"/>
              <w:jc w:val="both"/>
              <w:rPr>
                <w:rFonts w:hAnsi="標楷體"/>
              </w:rPr>
            </w:pPr>
          </w:p>
        </w:tc>
        <w:tc>
          <w:tcPr>
            <w:tcW w:w="1417" w:type="dxa"/>
            <w:vMerge/>
            <w:shd w:val="clear" w:color="auto" w:fill="auto"/>
          </w:tcPr>
          <w:p w:rsidR="00092FE9" w:rsidRPr="00507BD2" w:rsidRDefault="00092FE9" w:rsidP="00C93DF5">
            <w:pPr>
              <w:pStyle w:val="142"/>
              <w:jc w:val="both"/>
              <w:rPr>
                <w:rFonts w:hAnsi="標楷體"/>
              </w:rPr>
            </w:pPr>
          </w:p>
        </w:tc>
        <w:tc>
          <w:tcPr>
            <w:tcW w:w="4992" w:type="dxa"/>
            <w:shd w:val="clear" w:color="auto" w:fill="auto"/>
          </w:tcPr>
          <w:p w:rsidR="00092FE9" w:rsidRPr="00507BD2" w:rsidRDefault="00FC1D66" w:rsidP="00C93DF5">
            <w:pPr>
              <w:pStyle w:val="142"/>
              <w:jc w:val="both"/>
              <w:rPr>
                <w:rFonts w:hAnsi="標楷體"/>
              </w:rPr>
            </w:pPr>
            <w:r w:rsidRPr="0020064C">
              <w:rPr>
                <w:rFonts w:hAnsi="標楷體"/>
              </w:rPr>
              <w:t>違反切結事項時，承貸金融機構應對借款人取消寬限期、收回原應分期償還之貸款本金或貸款成數差額、追收罰息及加收違約金等。</w:t>
            </w:r>
          </w:p>
        </w:tc>
      </w:tr>
      <w:tr w:rsidR="00BA5770" w:rsidRPr="00507BD2" w:rsidTr="00CC2CDC">
        <w:tc>
          <w:tcPr>
            <w:tcW w:w="457" w:type="dxa"/>
            <w:vMerge/>
            <w:shd w:val="clear" w:color="auto" w:fill="auto"/>
          </w:tcPr>
          <w:p w:rsidR="00BA5770" w:rsidRPr="00507BD2" w:rsidRDefault="00BA5770" w:rsidP="00C93DF5">
            <w:pPr>
              <w:pStyle w:val="142"/>
              <w:jc w:val="both"/>
              <w:rPr>
                <w:rFonts w:hAnsi="標楷體"/>
              </w:rPr>
            </w:pPr>
          </w:p>
        </w:tc>
        <w:tc>
          <w:tcPr>
            <w:tcW w:w="819" w:type="dxa"/>
            <w:vMerge/>
            <w:shd w:val="clear" w:color="auto" w:fill="auto"/>
          </w:tcPr>
          <w:p w:rsidR="00BA5770" w:rsidRPr="00507BD2" w:rsidRDefault="00BA5770" w:rsidP="00C93DF5">
            <w:pPr>
              <w:pStyle w:val="142"/>
              <w:jc w:val="both"/>
              <w:rPr>
                <w:rFonts w:hAnsi="標楷體"/>
              </w:rPr>
            </w:pPr>
          </w:p>
        </w:tc>
        <w:tc>
          <w:tcPr>
            <w:tcW w:w="851" w:type="dxa"/>
            <w:vMerge w:val="restart"/>
            <w:shd w:val="clear" w:color="auto" w:fill="auto"/>
            <w:vAlign w:val="center"/>
          </w:tcPr>
          <w:p w:rsidR="00BA5770" w:rsidRPr="00507BD2" w:rsidRDefault="00BA5770" w:rsidP="00C93DF5">
            <w:pPr>
              <w:pStyle w:val="142"/>
              <w:jc w:val="both"/>
              <w:rPr>
                <w:rFonts w:hAnsi="標楷體"/>
              </w:rPr>
            </w:pPr>
            <w:r w:rsidRPr="00507BD2">
              <w:rPr>
                <w:rFonts w:hAnsi="標楷體" w:hint="eastAsia"/>
              </w:rPr>
              <w:t>已簽約，將申辦貸款</w:t>
            </w:r>
          </w:p>
        </w:tc>
        <w:tc>
          <w:tcPr>
            <w:tcW w:w="6409" w:type="dxa"/>
            <w:gridSpan w:val="2"/>
            <w:shd w:val="clear" w:color="auto" w:fill="auto"/>
          </w:tcPr>
          <w:p w:rsidR="00BA5770" w:rsidRPr="00507BD2" w:rsidRDefault="00FC1D66" w:rsidP="00C93DF5">
            <w:pPr>
              <w:pStyle w:val="142"/>
              <w:jc w:val="both"/>
              <w:rPr>
                <w:rFonts w:hAnsi="標楷體"/>
              </w:rPr>
            </w:pPr>
            <w:r w:rsidRPr="00507BD2">
              <w:rPr>
                <w:rFonts w:hAnsi="標楷體" w:hint="eastAsia"/>
              </w:rPr>
              <w:t>符合上開情形者，仍可排除。</w:t>
            </w:r>
          </w:p>
        </w:tc>
      </w:tr>
      <w:tr w:rsidR="00BA5770" w:rsidRPr="00507BD2" w:rsidTr="00CC2CDC">
        <w:tc>
          <w:tcPr>
            <w:tcW w:w="457" w:type="dxa"/>
            <w:vMerge/>
            <w:shd w:val="clear" w:color="auto" w:fill="auto"/>
          </w:tcPr>
          <w:p w:rsidR="00BA5770" w:rsidRPr="00507BD2" w:rsidRDefault="00BA5770" w:rsidP="00C93DF5">
            <w:pPr>
              <w:pStyle w:val="142"/>
              <w:jc w:val="both"/>
              <w:rPr>
                <w:rFonts w:hAnsi="標楷體"/>
              </w:rPr>
            </w:pPr>
          </w:p>
        </w:tc>
        <w:tc>
          <w:tcPr>
            <w:tcW w:w="819" w:type="dxa"/>
            <w:vMerge/>
            <w:shd w:val="clear" w:color="auto" w:fill="auto"/>
          </w:tcPr>
          <w:p w:rsidR="00BA5770" w:rsidRPr="00507BD2" w:rsidRDefault="00BA5770" w:rsidP="00C93DF5">
            <w:pPr>
              <w:pStyle w:val="142"/>
              <w:jc w:val="both"/>
              <w:rPr>
                <w:rFonts w:hAnsi="標楷體"/>
              </w:rPr>
            </w:pPr>
          </w:p>
        </w:tc>
        <w:tc>
          <w:tcPr>
            <w:tcW w:w="851" w:type="dxa"/>
            <w:vMerge/>
            <w:shd w:val="clear" w:color="auto" w:fill="auto"/>
          </w:tcPr>
          <w:p w:rsidR="00BA5770" w:rsidRPr="00507BD2" w:rsidRDefault="00BA5770" w:rsidP="00C93DF5">
            <w:pPr>
              <w:pStyle w:val="142"/>
              <w:jc w:val="both"/>
              <w:rPr>
                <w:rFonts w:hAnsi="標楷體"/>
              </w:rPr>
            </w:pPr>
          </w:p>
        </w:tc>
        <w:tc>
          <w:tcPr>
            <w:tcW w:w="6409" w:type="dxa"/>
            <w:gridSpan w:val="2"/>
            <w:shd w:val="clear" w:color="auto" w:fill="auto"/>
          </w:tcPr>
          <w:p w:rsidR="00BA5770" w:rsidRPr="00507BD2" w:rsidRDefault="00FC1D66" w:rsidP="0020064C">
            <w:pPr>
              <w:pStyle w:val="142"/>
              <w:jc w:val="both"/>
              <w:rPr>
                <w:rFonts w:hAnsi="標楷體"/>
              </w:rPr>
            </w:pPr>
            <w:r w:rsidRPr="00507BD2">
              <w:rPr>
                <w:rFonts w:hAnsi="標楷體" w:hint="eastAsia"/>
              </w:rPr>
              <w:t>青年安心成家購屋優惠貸款，且非屬高價住宅貸款，不受規定第1戶及第2戶購屋貸款限制。</w:t>
            </w:r>
          </w:p>
        </w:tc>
      </w:tr>
    </w:tbl>
    <w:p w:rsidR="00C50F88" w:rsidRPr="00507BD2" w:rsidRDefault="002B4543" w:rsidP="00CC2CDC">
      <w:pPr>
        <w:pStyle w:val="142"/>
        <w:rPr>
          <w:rFonts w:hAnsi="標楷體"/>
        </w:rPr>
      </w:pPr>
      <w:r w:rsidRPr="00507BD2">
        <w:rPr>
          <w:rFonts w:hAnsi="標楷體" w:hint="eastAsia"/>
        </w:rPr>
        <w:t>資料來源：整理自</w:t>
      </w:r>
      <w:r w:rsidR="00A4631C" w:rsidRPr="00507BD2">
        <w:rPr>
          <w:rFonts w:hAnsi="標楷體" w:hint="eastAsia"/>
        </w:rPr>
        <w:t>央行</w:t>
      </w:r>
      <w:r w:rsidRPr="00507BD2">
        <w:rPr>
          <w:rFonts w:hAnsi="標楷體" w:hint="eastAsia"/>
        </w:rPr>
        <w:t>113年10月9日新聞稿。</w:t>
      </w:r>
    </w:p>
    <w:p w:rsidR="00C50F88" w:rsidRDefault="002B4543" w:rsidP="00FC1D66">
      <w:pPr>
        <w:ind w:left="566" w:firstLine="566"/>
        <w:rPr>
          <w:rFonts w:hAnsi="標楷體"/>
        </w:rPr>
      </w:pPr>
      <w:r w:rsidRPr="00507BD2">
        <w:rPr>
          <w:rFonts w:hAnsi="標楷體" w:hint="eastAsia"/>
        </w:rPr>
        <w:t>綜上，</w:t>
      </w:r>
      <w:r w:rsidR="00A2645A" w:rsidRPr="00507BD2">
        <w:rPr>
          <w:rFonts w:hAnsi="標楷體" w:hint="eastAsia"/>
        </w:rPr>
        <w:t>央行實施選擇性信用管制措施以來，</w:t>
      </w:r>
      <w:r w:rsidR="00075579" w:rsidRPr="00507BD2">
        <w:rPr>
          <w:rFonts w:hAnsi="標楷體" w:hint="eastAsia"/>
        </w:rPr>
        <w:t>因</w:t>
      </w:r>
      <w:r w:rsidR="002978F5" w:rsidRPr="00507BD2">
        <w:rPr>
          <w:rFonts w:hAnsi="標楷體" w:hint="eastAsia"/>
        </w:rPr>
        <w:t>不動產貸款集中度</w:t>
      </w:r>
      <w:r w:rsidR="002334C6" w:rsidRPr="00507BD2">
        <w:rPr>
          <w:rFonts w:hAnsi="標楷體" w:hint="eastAsia"/>
        </w:rPr>
        <w:t>問題猶存</w:t>
      </w:r>
      <w:r w:rsidR="002978F5" w:rsidRPr="00507BD2">
        <w:rPr>
          <w:rFonts w:hAnsi="標楷體" w:hint="eastAsia"/>
        </w:rPr>
        <w:t>，113年度</w:t>
      </w:r>
      <w:r w:rsidR="00A90610">
        <w:rPr>
          <w:rFonts w:hAnsi="標楷體" w:hint="eastAsia"/>
        </w:rPr>
        <w:t>至8月底</w:t>
      </w:r>
      <w:r w:rsidR="002978F5" w:rsidRPr="00507BD2">
        <w:rPr>
          <w:rFonts w:hAnsi="標楷體" w:hint="eastAsia"/>
        </w:rPr>
        <w:t>購置住宅貸款餘額急速增加，多數銀行</w:t>
      </w:r>
      <w:r w:rsidR="00A90610">
        <w:rPr>
          <w:rFonts w:hAnsi="標楷體" w:hint="eastAsia"/>
        </w:rPr>
        <w:t>建築放款</w:t>
      </w:r>
      <w:r w:rsidR="002978F5" w:rsidRPr="00507BD2">
        <w:rPr>
          <w:rFonts w:hAnsi="標楷體" w:hint="eastAsia"/>
        </w:rPr>
        <w:t>趨近法定及內部警戒上限，爰請銀行自主管理</w:t>
      </w:r>
      <w:r w:rsidRPr="00507BD2">
        <w:rPr>
          <w:rFonts w:hAnsi="標楷體" w:hint="eastAsia"/>
        </w:rPr>
        <w:t>，惟過程引發</w:t>
      </w:r>
      <w:r w:rsidR="00AD5171" w:rsidRPr="00507BD2">
        <w:rPr>
          <w:rFonts w:hAnsi="標楷體" w:hint="eastAsia"/>
        </w:rPr>
        <w:t>民眾</w:t>
      </w:r>
      <w:r w:rsidRPr="00507BD2">
        <w:rPr>
          <w:rFonts w:hAnsi="標楷體" w:hint="eastAsia"/>
        </w:rPr>
        <w:t>恐慌，</w:t>
      </w:r>
      <w:r w:rsidR="002978F5" w:rsidRPr="00507BD2">
        <w:rPr>
          <w:rFonts w:hAnsi="標楷體" w:hint="eastAsia"/>
        </w:rPr>
        <w:t>已採行協處措施。</w:t>
      </w:r>
      <w:r w:rsidR="00C47A5A" w:rsidRPr="00507BD2">
        <w:rPr>
          <w:rFonts w:hAnsi="標楷體" w:hint="eastAsia"/>
        </w:rPr>
        <w:t>為</w:t>
      </w:r>
      <w:r w:rsidR="00A778E6" w:rsidRPr="00507BD2">
        <w:rPr>
          <w:rFonts w:hAnsi="標楷體" w:hint="eastAsia"/>
        </w:rPr>
        <w:t>掌握關鍵</w:t>
      </w:r>
      <w:r w:rsidR="00075579" w:rsidRPr="00507BD2">
        <w:rPr>
          <w:rFonts w:hAnsi="標楷體" w:hint="eastAsia"/>
        </w:rPr>
        <w:t>資訊</w:t>
      </w:r>
      <w:r w:rsidR="00A778E6" w:rsidRPr="00507BD2">
        <w:rPr>
          <w:rFonts w:hAnsi="標楷體" w:hint="eastAsia"/>
        </w:rPr>
        <w:t>作為</w:t>
      </w:r>
      <w:r w:rsidR="00F17DC8" w:rsidRPr="00507BD2">
        <w:rPr>
          <w:rFonts w:hAnsi="標楷體" w:hint="eastAsia"/>
        </w:rPr>
        <w:t>理</w:t>
      </w:r>
      <w:r w:rsidR="00F17DC8" w:rsidRPr="00507BD2">
        <w:rPr>
          <w:rFonts w:hAnsi="標楷體" w:hint="eastAsia"/>
        </w:rPr>
        <w:lastRenderedPageBreak/>
        <w:t>監事會議</w:t>
      </w:r>
      <w:r w:rsidR="00A778E6" w:rsidRPr="00507BD2">
        <w:rPr>
          <w:rFonts w:hAnsi="標楷體" w:hint="eastAsia"/>
        </w:rPr>
        <w:t>判斷</w:t>
      </w:r>
      <w:r w:rsidR="00113AE8">
        <w:rPr>
          <w:rFonts w:hAnsi="標楷體" w:hint="eastAsia"/>
        </w:rPr>
        <w:t>依據</w:t>
      </w:r>
      <w:r w:rsidR="00075579" w:rsidRPr="00507BD2">
        <w:rPr>
          <w:rFonts w:hAnsi="標楷體" w:hint="eastAsia"/>
        </w:rPr>
        <w:t>，</w:t>
      </w:r>
      <w:r w:rsidR="00C47A5A" w:rsidRPr="00507BD2">
        <w:rPr>
          <w:rFonts w:hAnsi="標楷體" w:hint="eastAsia"/>
        </w:rPr>
        <w:t>使</w:t>
      </w:r>
      <w:r w:rsidR="00A778E6" w:rsidRPr="00507BD2">
        <w:rPr>
          <w:rFonts w:hAnsi="標楷體" w:hint="eastAsia"/>
        </w:rPr>
        <w:t>政策朝</w:t>
      </w:r>
      <w:r w:rsidR="007E4483" w:rsidRPr="00507BD2">
        <w:rPr>
          <w:rFonts w:hAnsi="標楷體" w:hint="eastAsia"/>
        </w:rPr>
        <w:t>向</w:t>
      </w:r>
      <w:r w:rsidR="00C47A5A" w:rsidRPr="00507BD2">
        <w:rPr>
          <w:rFonts w:hAnsi="標楷體" w:hint="eastAsia"/>
        </w:rPr>
        <w:t>房價合理化</w:t>
      </w:r>
      <w:r w:rsidR="00800409">
        <w:rPr>
          <w:rFonts w:hAnsi="標楷體" w:hint="eastAsia"/>
        </w:rPr>
        <w:t>及穩定社會氛圍</w:t>
      </w:r>
      <w:r w:rsidR="00A778E6" w:rsidRPr="00507BD2">
        <w:rPr>
          <w:rFonts w:hAnsi="標楷體" w:hint="eastAsia"/>
        </w:rPr>
        <w:t>進行</w:t>
      </w:r>
      <w:r w:rsidRPr="00507BD2">
        <w:rPr>
          <w:rFonts w:hAnsi="標楷體" w:hint="eastAsia"/>
        </w:rPr>
        <w:t>，</w:t>
      </w:r>
      <w:r w:rsidR="00C47A5A" w:rsidRPr="00507BD2">
        <w:rPr>
          <w:rFonts w:hAnsi="標楷體" w:hint="eastAsia"/>
        </w:rPr>
        <w:t>允宜</w:t>
      </w:r>
      <w:r w:rsidRPr="00507BD2">
        <w:rPr>
          <w:rFonts w:hAnsi="標楷體" w:hint="eastAsia"/>
        </w:rPr>
        <w:t>於</w:t>
      </w:r>
      <w:r w:rsidR="00A778E6" w:rsidRPr="00507BD2">
        <w:rPr>
          <w:rFonts w:hAnsi="標楷體" w:hint="eastAsia"/>
        </w:rPr>
        <w:t>會前</w:t>
      </w:r>
      <w:r w:rsidRPr="00507BD2">
        <w:rPr>
          <w:rFonts w:hAnsi="標楷體" w:hint="eastAsia"/>
        </w:rPr>
        <w:t>模擬</w:t>
      </w:r>
      <w:r w:rsidR="00E92086">
        <w:rPr>
          <w:rFonts w:hAnsi="標楷體" w:hint="eastAsia"/>
        </w:rPr>
        <w:t>政策效應</w:t>
      </w:r>
      <w:r w:rsidRPr="00507BD2">
        <w:rPr>
          <w:rFonts w:hAnsi="標楷體" w:hint="eastAsia"/>
        </w:rPr>
        <w:t>，俾</w:t>
      </w:r>
      <w:r w:rsidR="0080469D">
        <w:rPr>
          <w:rFonts w:hAnsi="標楷體" w:hint="eastAsia"/>
        </w:rPr>
        <w:t>滾動</w:t>
      </w:r>
      <w:r w:rsidR="00994FEA" w:rsidRPr="00507BD2">
        <w:rPr>
          <w:rFonts w:hAnsi="標楷體" w:hint="eastAsia"/>
        </w:rPr>
        <w:t>檢討相關措施，</w:t>
      </w:r>
      <w:r w:rsidR="007E4483" w:rsidRPr="00507BD2">
        <w:rPr>
          <w:rFonts w:hAnsi="標楷體" w:hint="eastAsia"/>
        </w:rPr>
        <w:t>維</w:t>
      </w:r>
      <w:r w:rsidR="00854BFD">
        <w:rPr>
          <w:rFonts w:hAnsi="標楷體" w:hint="eastAsia"/>
        </w:rPr>
        <w:t>持</w:t>
      </w:r>
      <w:r w:rsidR="008E11C1" w:rsidRPr="00507BD2">
        <w:rPr>
          <w:rFonts w:hAnsi="標楷體" w:hint="eastAsia"/>
        </w:rPr>
        <w:t>金融穩定</w:t>
      </w:r>
      <w:r w:rsidR="007E4483" w:rsidRPr="00507BD2">
        <w:rPr>
          <w:rFonts w:hAnsi="標楷體" w:hint="eastAsia"/>
        </w:rPr>
        <w:t>並兼顧</w:t>
      </w:r>
      <w:r w:rsidR="008E11C1" w:rsidRPr="00507BD2">
        <w:rPr>
          <w:rFonts w:hAnsi="標楷體" w:hint="eastAsia"/>
        </w:rPr>
        <w:t>民眾需求</w:t>
      </w:r>
      <w:r w:rsidRPr="00507BD2">
        <w:rPr>
          <w:rFonts w:hAnsi="標楷體" w:hint="eastAsia"/>
        </w:rPr>
        <w:t>。</w:t>
      </w:r>
    </w:p>
    <w:bookmarkEnd w:id="6"/>
    <w:bookmarkEnd w:id="5"/>
    <w:bookmarkEnd w:id="1"/>
    <w:bookmarkEnd w:id="2"/>
    <w:bookmarkEnd w:id="3"/>
    <w:bookmarkEnd w:id="4"/>
    <w:sectPr w:rsidR="00C50F88" w:rsidSect="006515E4">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AAC" w:rsidRDefault="00627AAC" w:rsidP="00185690">
      <w:pPr>
        <w:ind w:left="560" w:firstLine="560"/>
      </w:pPr>
      <w:r>
        <w:separator/>
      </w:r>
    </w:p>
  </w:endnote>
  <w:endnote w:type="continuationSeparator" w:id="0">
    <w:p w:rsidR="00627AAC" w:rsidRDefault="00627AAC" w:rsidP="00185690">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72196A">
    <w:pPr>
      <w:pStyle w:val="af5"/>
      <w:ind w:leftChars="0" w:left="0" w:firstLineChars="0" w:firstLine="0"/>
      <w:jc w:val="center"/>
    </w:pPr>
    <w:r>
      <w:fldChar w:fldCharType="begin"/>
    </w:r>
    <w:r>
      <w:instrText>PAGE   \* MERGEFORMAT</w:instrText>
    </w:r>
    <w:r>
      <w:fldChar w:fldCharType="separate"/>
    </w:r>
    <w:r w:rsidR="00E924A2" w:rsidRPr="00E924A2">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AAC" w:rsidRDefault="00627AAC" w:rsidP="00287DC5">
      <w:pPr>
        <w:ind w:leftChars="210" w:left="588" w:firstLine="560"/>
      </w:pPr>
      <w:r>
        <w:separator/>
      </w:r>
    </w:p>
  </w:footnote>
  <w:footnote w:type="continuationSeparator" w:id="0">
    <w:p w:rsidR="00627AAC" w:rsidRDefault="00627AAC" w:rsidP="00185690">
      <w:pPr>
        <w:ind w:left="560" w:firstLine="560"/>
      </w:pPr>
      <w:r>
        <w:continuationSeparator/>
      </w:r>
    </w:p>
  </w:footnote>
  <w:footnote w:id="1">
    <w:p w:rsidR="00A45DA7" w:rsidRPr="00A45DA7" w:rsidRDefault="00A45DA7" w:rsidP="00A45DA7">
      <w:pPr>
        <w:pStyle w:val="142"/>
        <w:ind w:leftChars="-5" w:left="69" w:hangingChars="34" w:hanging="83"/>
        <w:jc w:val="both"/>
        <w:rPr>
          <w:rFonts w:hint="eastAsia"/>
        </w:rPr>
      </w:pPr>
      <w:r>
        <w:rPr>
          <w:rStyle w:val="af1"/>
        </w:rPr>
        <w:footnoteRef/>
      </w:r>
      <w:r>
        <w:rPr>
          <w:rFonts w:hint="eastAsia"/>
        </w:rPr>
        <w:t>銀行法第72條之2規定：「</w:t>
      </w:r>
      <w:r w:rsidRPr="00A45DA7">
        <w:rPr>
          <w:rFonts w:hint="eastAsia"/>
        </w:rPr>
        <w:t>商業銀行辦理住宅建築及企業建築放款之總額，不得超過放款時所收存款總餘額及金融債券發售額之和之</w:t>
      </w:r>
      <w:r>
        <w:rPr>
          <w:rFonts w:hint="eastAsia"/>
        </w:rPr>
        <w:t>3</w:t>
      </w:r>
      <w:r>
        <w:t>0%</w:t>
      </w:r>
      <w:r w:rsidRPr="00A45DA7">
        <w:rPr>
          <w:rFonts w:hint="eastAsia"/>
        </w:rPr>
        <w:t>。</w:t>
      </w:r>
      <w: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0448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BEAA72"/>
    <w:lvl w:ilvl="0">
      <w:start w:val="1"/>
      <w:numFmt w:val="bullet"/>
      <w:lvlText w:val=""/>
      <w:lvlJc w:val="left"/>
      <w:pPr>
        <w:tabs>
          <w:tab w:val="num" w:pos="1070"/>
        </w:tabs>
        <w:ind w:leftChars="200" w:left="1070" w:hangingChars="200" w:hanging="360"/>
      </w:pPr>
      <w:rPr>
        <w:rFonts w:ascii="Wingdings" w:hAnsi="Wingdings" w:hint="default"/>
      </w:rPr>
    </w:lvl>
  </w:abstractNum>
  <w:abstractNum w:abstractNumId="1" w15:restartNumberingAfterBreak="0">
    <w:nsid w:val="02081B1D"/>
    <w:multiLevelType w:val="hybridMultilevel"/>
    <w:tmpl w:val="D958963A"/>
    <w:lvl w:ilvl="0" w:tplc="13BA08C0">
      <w:start w:val="4"/>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39178A"/>
    <w:multiLevelType w:val="multilevel"/>
    <w:tmpl w:val="B4F80E62"/>
    <w:lvl w:ilvl="0">
      <w:start w:val="1"/>
      <w:numFmt w:val="taiwaneseCountingThousand"/>
      <w:suff w:val="nothing"/>
      <w:lvlText w:val="%1、"/>
      <w:lvlJc w:val="left"/>
      <w:pPr>
        <w:ind w:left="952" w:hanging="635"/>
      </w:pPr>
      <w:rPr>
        <w:rFonts w:ascii="標楷體" w:eastAsia="標楷體" w:hAnsi="標楷體" w:hint="eastAsia"/>
      </w:rPr>
    </w:lvl>
    <w:lvl w:ilvl="1">
      <w:start w:val="1"/>
      <w:numFmt w:val="taiwaneseCountingThousand"/>
      <w:suff w:val="nothing"/>
      <w:lvlText w:val="(%2)"/>
      <w:lvlJc w:val="left"/>
      <w:pPr>
        <w:ind w:left="1344" w:hanging="635"/>
      </w:pPr>
      <w:rPr>
        <w:rFonts w:ascii="標楷體" w:eastAsia="標楷體" w:hAnsi="標楷體" w:hint="eastAsia"/>
      </w:rPr>
    </w:lvl>
    <w:lvl w:ilvl="2">
      <w:start w:val="1"/>
      <w:numFmt w:val="decimalFullWidth"/>
      <w:suff w:val="nothing"/>
      <w:lvlText w:val="%3、"/>
      <w:lvlJc w:val="left"/>
      <w:pPr>
        <w:ind w:left="1905" w:hanging="635"/>
      </w:pPr>
      <w:rPr>
        <w:rFonts w:ascii="標楷體" w:eastAsia="標楷體" w:hAnsi="標楷體" w:hint="eastAsia"/>
      </w:rPr>
    </w:lvl>
    <w:lvl w:ilvl="3">
      <w:start w:val="1"/>
      <w:numFmt w:val="decimalFullWidth"/>
      <w:suff w:val="nothing"/>
      <w:lvlText w:val="(%4)"/>
      <w:lvlJc w:val="left"/>
      <w:pPr>
        <w:ind w:left="2222" w:hanging="635"/>
      </w:pPr>
      <w:rPr>
        <w:rFonts w:ascii="標楷體" w:eastAsia="標楷體" w:hAnsi="標楷體" w:hint="eastAsia"/>
      </w:rPr>
    </w:lvl>
    <w:lvl w:ilvl="4">
      <w:start w:val="1"/>
      <w:numFmt w:val="ideographTraditional"/>
      <w:suff w:val="nothing"/>
      <w:lvlText w:val="%5、"/>
      <w:lvlJc w:val="left"/>
      <w:pPr>
        <w:ind w:left="2857" w:hanging="635"/>
      </w:pPr>
      <w:rPr>
        <w:rFonts w:ascii="標楷體" w:eastAsia="標楷體" w:hAnsi="標楷體" w:hint="eastAsia"/>
      </w:rPr>
    </w:lvl>
    <w:lvl w:ilvl="5">
      <w:start w:val="1"/>
      <w:numFmt w:val="ideographTraditional"/>
      <w:suff w:val="nothing"/>
      <w:lvlText w:val="(%6)"/>
      <w:lvlJc w:val="left"/>
      <w:pPr>
        <w:ind w:left="3175" w:hanging="635"/>
      </w:pPr>
      <w:rPr>
        <w:rFonts w:ascii="標楷體" w:eastAsia="標楷體" w:hAnsi="標楷體" w:hint="eastAsia"/>
      </w:rPr>
    </w:lvl>
    <w:lvl w:ilvl="6">
      <w:start w:val="1"/>
      <w:numFmt w:val="ideographZodiac"/>
      <w:suff w:val="nothing"/>
      <w:lvlText w:val="%7、"/>
      <w:lvlJc w:val="left"/>
      <w:pPr>
        <w:ind w:left="3810" w:hanging="635"/>
      </w:pPr>
      <w:rPr>
        <w:rFonts w:ascii="標楷體" w:eastAsia="標楷體" w:hAnsi="標楷體" w:hint="eastAsia"/>
      </w:rPr>
    </w:lvl>
    <w:lvl w:ilvl="7">
      <w:start w:val="1"/>
      <w:numFmt w:val="ideographZodiac"/>
      <w:suff w:val="nothing"/>
      <w:lvlText w:val="(%8)"/>
      <w:lvlJc w:val="left"/>
      <w:pPr>
        <w:ind w:left="4127" w:hanging="635"/>
      </w:pPr>
      <w:rPr>
        <w:rFonts w:ascii="標楷體" w:eastAsia="標楷體" w:hAnsi="標楷體" w:hint="eastAsia"/>
      </w:rPr>
    </w:lvl>
    <w:lvl w:ilvl="8">
      <w:start w:val="1"/>
      <w:numFmt w:val="decimalFullWidth"/>
      <w:suff w:val="nothing"/>
      <w:lvlText w:val="%9）"/>
      <w:lvlJc w:val="left"/>
      <w:pPr>
        <w:ind w:left="4762" w:hanging="635"/>
      </w:pPr>
      <w:rPr>
        <w:rFonts w:ascii="標楷體" w:eastAsia="標楷體" w:hAnsi="標楷體" w:hint="eastAsia"/>
      </w:rPr>
    </w:lvl>
  </w:abstractNum>
  <w:abstractNum w:abstractNumId="3" w15:restartNumberingAfterBreak="0">
    <w:nsid w:val="061F0A5F"/>
    <w:multiLevelType w:val="hybridMultilevel"/>
    <w:tmpl w:val="9D8205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7143EC1"/>
    <w:multiLevelType w:val="hybridMultilevel"/>
    <w:tmpl w:val="2DFC68F4"/>
    <w:lvl w:ilvl="0" w:tplc="C89EFC34">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AF4285"/>
    <w:multiLevelType w:val="hybridMultilevel"/>
    <w:tmpl w:val="FE4C5620"/>
    <w:lvl w:ilvl="0" w:tplc="03A8BC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6124BC"/>
    <w:multiLevelType w:val="hybridMultilevel"/>
    <w:tmpl w:val="EDD467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0F06164D"/>
    <w:multiLevelType w:val="hybridMultilevel"/>
    <w:tmpl w:val="9C8C2BCC"/>
    <w:lvl w:ilvl="0" w:tplc="5BFE83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4942D7"/>
    <w:multiLevelType w:val="hybridMultilevel"/>
    <w:tmpl w:val="E1CE5088"/>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91336B6"/>
    <w:multiLevelType w:val="hybridMultilevel"/>
    <w:tmpl w:val="5B88DCC2"/>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91C71DD"/>
    <w:multiLevelType w:val="hybridMultilevel"/>
    <w:tmpl w:val="E08884BE"/>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D4359C0"/>
    <w:multiLevelType w:val="hybridMultilevel"/>
    <w:tmpl w:val="D0C2284E"/>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EDB62A1"/>
    <w:multiLevelType w:val="hybridMultilevel"/>
    <w:tmpl w:val="9B488614"/>
    <w:lvl w:ilvl="0" w:tplc="9A622B7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5DC2B78"/>
    <w:multiLevelType w:val="hybridMultilevel"/>
    <w:tmpl w:val="7C589DCA"/>
    <w:lvl w:ilvl="0" w:tplc="97DEBEDC">
      <w:start w:val="1"/>
      <w:numFmt w:val="taiwaneseCountingThousand"/>
      <w:lvlText w:val="%1、"/>
      <w:lvlJc w:val="left"/>
      <w:pPr>
        <w:ind w:left="4406" w:hanging="720"/>
      </w:pPr>
      <w:rPr>
        <w:rFonts w:hint="default"/>
      </w:rPr>
    </w:lvl>
    <w:lvl w:ilvl="1" w:tplc="04090019" w:tentative="1">
      <w:start w:val="1"/>
      <w:numFmt w:val="ideographTraditional"/>
      <w:lvlText w:val="%2、"/>
      <w:lvlJc w:val="left"/>
      <w:pPr>
        <w:ind w:left="4646" w:hanging="480"/>
      </w:pPr>
    </w:lvl>
    <w:lvl w:ilvl="2" w:tplc="0409001B" w:tentative="1">
      <w:start w:val="1"/>
      <w:numFmt w:val="lowerRoman"/>
      <w:lvlText w:val="%3."/>
      <w:lvlJc w:val="right"/>
      <w:pPr>
        <w:ind w:left="5126" w:hanging="480"/>
      </w:pPr>
    </w:lvl>
    <w:lvl w:ilvl="3" w:tplc="0409000F" w:tentative="1">
      <w:start w:val="1"/>
      <w:numFmt w:val="decimal"/>
      <w:lvlText w:val="%4."/>
      <w:lvlJc w:val="left"/>
      <w:pPr>
        <w:ind w:left="5606" w:hanging="480"/>
      </w:pPr>
    </w:lvl>
    <w:lvl w:ilvl="4" w:tplc="04090019" w:tentative="1">
      <w:start w:val="1"/>
      <w:numFmt w:val="ideographTraditional"/>
      <w:lvlText w:val="%5、"/>
      <w:lvlJc w:val="left"/>
      <w:pPr>
        <w:ind w:left="6086" w:hanging="480"/>
      </w:pPr>
    </w:lvl>
    <w:lvl w:ilvl="5" w:tplc="0409001B" w:tentative="1">
      <w:start w:val="1"/>
      <w:numFmt w:val="lowerRoman"/>
      <w:lvlText w:val="%6."/>
      <w:lvlJc w:val="right"/>
      <w:pPr>
        <w:ind w:left="6566" w:hanging="480"/>
      </w:pPr>
    </w:lvl>
    <w:lvl w:ilvl="6" w:tplc="0409000F" w:tentative="1">
      <w:start w:val="1"/>
      <w:numFmt w:val="decimal"/>
      <w:lvlText w:val="%7."/>
      <w:lvlJc w:val="left"/>
      <w:pPr>
        <w:ind w:left="7046" w:hanging="480"/>
      </w:pPr>
    </w:lvl>
    <w:lvl w:ilvl="7" w:tplc="04090019" w:tentative="1">
      <w:start w:val="1"/>
      <w:numFmt w:val="ideographTraditional"/>
      <w:lvlText w:val="%8、"/>
      <w:lvlJc w:val="left"/>
      <w:pPr>
        <w:ind w:left="7526" w:hanging="480"/>
      </w:pPr>
    </w:lvl>
    <w:lvl w:ilvl="8" w:tplc="0409001B" w:tentative="1">
      <w:start w:val="1"/>
      <w:numFmt w:val="lowerRoman"/>
      <w:lvlText w:val="%9."/>
      <w:lvlJc w:val="right"/>
      <w:pPr>
        <w:ind w:left="8006" w:hanging="480"/>
      </w:pPr>
    </w:lvl>
  </w:abstractNum>
  <w:abstractNum w:abstractNumId="14" w15:restartNumberingAfterBreak="0">
    <w:nsid w:val="28B267AB"/>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lvl>
    <w:lvl w:ilvl="2">
      <w:start w:val="1"/>
      <w:numFmt w:val="decimalFullWidth"/>
      <w:suff w:val="nothing"/>
      <w:lvlText w:val="%3、"/>
      <w:lvlJc w:val="left"/>
      <w:pPr>
        <w:ind w:left="1905" w:hanging="635"/>
      </w:pPr>
    </w:lvl>
    <w:lvl w:ilvl="3">
      <w:start w:val="1"/>
      <w:numFmt w:val="decimalFullWidth"/>
      <w:suff w:val="nothing"/>
      <w:lvlText w:val="（%4）"/>
      <w:lvlJc w:val="left"/>
      <w:pPr>
        <w:ind w:left="2540" w:hanging="953"/>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5" w15:restartNumberingAfterBreak="0">
    <w:nsid w:val="28F44752"/>
    <w:multiLevelType w:val="hybridMultilevel"/>
    <w:tmpl w:val="637CE668"/>
    <w:lvl w:ilvl="0" w:tplc="124E7A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EA698C"/>
    <w:multiLevelType w:val="hybridMultilevel"/>
    <w:tmpl w:val="DC704D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30D175E9"/>
    <w:multiLevelType w:val="hybridMultilevel"/>
    <w:tmpl w:val="8F6EF620"/>
    <w:lvl w:ilvl="0" w:tplc="D09CA0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4A72AB9"/>
    <w:multiLevelType w:val="hybridMultilevel"/>
    <w:tmpl w:val="77D22B6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429879AC"/>
    <w:multiLevelType w:val="hybridMultilevel"/>
    <w:tmpl w:val="291EAD9A"/>
    <w:lvl w:ilvl="0" w:tplc="9FA29572">
      <w:start w:val="1"/>
      <w:numFmt w:val="taiwaneseCountingThousand"/>
      <w:lvlText w:val="%1、"/>
      <w:lvlJc w:val="left"/>
      <w:pPr>
        <w:ind w:left="2040" w:hanging="48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20" w15:restartNumberingAfterBreak="0">
    <w:nsid w:val="42CE234A"/>
    <w:multiLevelType w:val="hybridMultilevel"/>
    <w:tmpl w:val="EBB2981C"/>
    <w:lvl w:ilvl="0" w:tplc="15E449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46B7CBC"/>
    <w:multiLevelType w:val="hybridMultilevel"/>
    <w:tmpl w:val="EB8048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5D25AC5"/>
    <w:multiLevelType w:val="hybridMultilevel"/>
    <w:tmpl w:val="1F6256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8D30AE4"/>
    <w:multiLevelType w:val="hybridMultilevel"/>
    <w:tmpl w:val="75F49DAA"/>
    <w:lvl w:ilvl="0" w:tplc="74C4F7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FC3139"/>
    <w:multiLevelType w:val="multilevel"/>
    <w:tmpl w:val="45B6A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850978"/>
    <w:multiLevelType w:val="multilevel"/>
    <w:tmpl w:val="3C305556"/>
    <w:lvl w:ilvl="0">
      <w:start w:val="1"/>
      <w:numFmt w:val="taiwaneseCountingThousand"/>
      <w:suff w:val="nothing"/>
      <w:lvlText w:val="%1、"/>
      <w:lvlJc w:val="left"/>
      <w:pPr>
        <w:ind w:left="1021" w:hanging="704"/>
      </w:pPr>
      <w:rPr>
        <w:rFonts w:ascii="標楷體" w:eastAsia="標楷體" w:hAnsi="標楷體" w:hint="eastAsia"/>
        <w:b w:val="0"/>
      </w:rPr>
    </w:lvl>
    <w:lvl w:ilvl="1">
      <w:start w:val="1"/>
      <w:numFmt w:val="taiwaneseCountingThousand"/>
      <w:suff w:val="nothing"/>
      <w:lvlText w:val="（%2）"/>
      <w:lvlJc w:val="left"/>
      <w:pPr>
        <w:ind w:left="1587" w:hanging="952"/>
      </w:pPr>
      <w:rPr>
        <w:rFonts w:hint="eastAsia"/>
        <w:b w:val="0"/>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6" w15:restartNumberingAfterBreak="0">
    <w:nsid w:val="4B87332F"/>
    <w:multiLevelType w:val="hybridMultilevel"/>
    <w:tmpl w:val="AC7C8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F926035"/>
    <w:multiLevelType w:val="hybridMultilevel"/>
    <w:tmpl w:val="3A66E74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0713AD1"/>
    <w:multiLevelType w:val="hybridMultilevel"/>
    <w:tmpl w:val="E92840D6"/>
    <w:lvl w:ilvl="0" w:tplc="80387E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B910179"/>
    <w:multiLevelType w:val="hybridMultilevel"/>
    <w:tmpl w:val="D23618A4"/>
    <w:lvl w:ilvl="0" w:tplc="58B46332">
      <w:start w:val="1"/>
      <w:numFmt w:val="taiwaneseCountingThousand"/>
      <w:lvlText w:val="%1、"/>
      <w:lvlJc w:val="left"/>
      <w:pPr>
        <w:ind w:left="768" w:hanging="72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30" w15:restartNumberingAfterBreak="0">
    <w:nsid w:val="5D3629E9"/>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1" w15:restartNumberingAfterBreak="0">
    <w:nsid w:val="5E3146AE"/>
    <w:multiLevelType w:val="hybridMultilevel"/>
    <w:tmpl w:val="92CAC254"/>
    <w:lvl w:ilvl="0" w:tplc="ECCAC3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AC2486"/>
    <w:multiLevelType w:val="hybridMultilevel"/>
    <w:tmpl w:val="25661A7E"/>
    <w:lvl w:ilvl="0" w:tplc="70B071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39E7D4E"/>
    <w:multiLevelType w:val="hybridMultilevel"/>
    <w:tmpl w:val="DAE4F8FE"/>
    <w:lvl w:ilvl="0" w:tplc="AAA2AD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FA5DBE"/>
    <w:multiLevelType w:val="hybridMultilevel"/>
    <w:tmpl w:val="22D0D604"/>
    <w:lvl w:ilvl="0" w:tplc="0CFC7CF2">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C595CF8"/>
    <w:multiLevelType w:val="hybridMultilevel"/>
    <w:tmpl w:val="A866BB2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6D837CBF"/>
    <w:multiLevelType w:val="hybridMultilevel"/>
    <w:tmpl w:val="E08884BE"/>
    <w:lvl w:ilvl="0" w:tplc="9A622B7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7" w15:restartNumberingAfterBreak="0">
    <w:nsid w:val="6F736BBB"/>
    <w:multiLevelType w:val="hybridMultilevel"/>
    <w:tmpl w:val="877E7CCC"/>
    <w:lvl w:ilvl="0" w:tplc="59BC1A00">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1F10823"/>
    <w:multiLevelType w:val="hybridMultilevel"/>
    <w:tmpl w:val="1D8A8CD6"/>
    <w:lvl w:ilvl="0" w:tplc="830E30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2613A2A"/>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0" w15:restartNumberingAfterBreak="0">
    <w:nsid w:val="758D7BD3"/>
    <w:multiLevelType w:val="hybridMultilevel"/>
    <w:tmpl w:val="79B481E6"/>
    <w:lvl w:ilvl="0" w:tplc="315AABEE">
      <w:start w:val="1"/>
      <w:numFmt w:val="taiwaneseCountingThousand"/>
      <w:lvlText w:val="(%1)"/>
      <w:lvlJc w:val="left"/>
      <w:pPr>
        <w:ind w:left="1286" w:hanging="720"/>
      </w:pPr>
      <w:rPr>
        <w:rFonts w:ascii="標楷體" w:eastAsia="標楷體"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6BB3015"/>
    <w:multiLevelType w:val="hybridMultilevel"/>
    <w:tmpl w:val="AC607FA4"/>
    <w:lvl w:ilvl="0" w:tplc="04090001">
      <w:start w:val="1"/>
      <w:numFmt w:val="bullet"/>
      <w:lvlText w:val=""/>
      <w:lvlJc w:val="left"/>
      <w:pPr>
        <w:ind w:left="504" w:hanging="480"/>
      </w:pPr>
      <w:rPr>
        <w:rFonts w:ascii="Wingdings" w:hAnsi="Wingdings" w:hint="default"/>
      </w:rPr>
    </w:lvl>
    <w:lvl w:ilvl="1" w:tplc="04090003" w:tentative="1">
      <w:start w:val="1"/>
      <w:numFmt w:val="bullet"/>
      <w:lvlText w:val=""/>
      <w:lvlJc w:val="left"/>
      <w:pPr>
        <w:ind w:left="984" w:hanging="480"/>
      </w:pPr>
      <w:rPr>
        <w:rFonts w:ascii="Wingdings" w:hAnsi="Wingdings" w:hint="default"/>
      </w:rPr>
    </w:lvl>
    <w:lvl w:ilvl="2" w:tplc="04090005" w:tentative="1">
      <w:start w:val="1"/>
      <w:numFmt w:val="bullet"/>
      <w:lvlText w:val=""/>
      <w:lvlJc w:val="left"/>
      <w:pPr>
        <w:ind w:left="1464" w:hanging="480"/>
      </w:pPr>
      <w:rPr>
        <w:rFonts w:ascii="Wingdings" w:hAnsi="Wingdings" w:hint="default"/>
      </w:rPr>
    </w:lvl>
    <w:lvl w:ilvl="3" w:tplc="04090001" w:tentative="1">
      <w:start w:val="1"/>
      <w:numFmt w:val="bullet"/>
      <w:lvlText w:val=""/>
      <w:lvlJc w:val="left"/>
      <w:pPr>
        <w:ind w:left="1944" w:hanging="480"/>
      </w:pPr>
      <w:rPr>
        <w:rFonts w:ascii="Wingdings" w:hAnsi="Wingdings" w:hint="default"/>
      </w:rPr>
    </w:lvl>
    <w:lvl w:ilvl="4" w:tplc="04090003" w:tentative="1">
      <w:start w:val="1"/>
      <w:numFmt w:val="bullet"/>
      <w:lvlText w:val=""/>
      <w:lvlJc w:val="left"/>
      <w:pPr>
        <w:ind w:left="2424" w:hanging="480"/>
      </w:pPr>
      <w:rPr>
        <w:rFonts w:ascii="Wingdings" w:hAnsi="Wingdings" w:hint="default"/>
      </w:rPr>
    </w:lvl>
    <w:lvl w:ilvl="5" w:tplc="04090005" w:tentative="1">
      <w:start w:val="1"/>
      <w:numFmt w:val="bullet"/>
      <w:lvlText w:val=""/>
      <w:lvlJc w:val="left"/>
      <w:pPr>
        <w:ind w:left="2904" w:hanging="480"/>
      </w:pPr>
      <w:rPr>
        <w:rFonts w:ascii="Wingdings" w:hAnsi="Wingdings" w:hint="default"/>
      </w:rPr>
    </w:lvl>
    <w:lvl w:ilvl="6" w:tplc="04090001" w:tentative="1">
      <w:start w:val="1"/>
      <w:numFmt w:val="bullet"/>
      <w:lvlText w:val=""/>
      <w:lvlJc w:val="left"/>
      <w:pPr>
        <w:ind w:left="3384" w:hanging="480"/>
      </w:pPr>
      <w:rPr>
        <w:rFonts w:ascii="Wingdings" w:hAnsi="Wingdings" w:hint="default"/>
      </w:rPr>
    </w:lvl>
    <w:lvl w:ilvl="7" w:tplc="04090003" w:tentative="1">
      <w:start w:val="1"/>
      <w:numFmt w:val="bullet"/>
      <w:lvlText w:val=""/>
      <w:lvlJc w:val="left"/>
      <w:pPr>
        <w:ind w:left="3864" w:hanging="480"/>
      </w:pPr>
      <w:rPr>
        <w:rFonts w:ascii="Wingdings" w:hAnsi="Wingdings" w:hint="default"/>
      </w:rPr>
    </w:lvl>
    <w:lvl w:ilvl="8" w:tplc="04090005" w:tentative="1">
      <w:start w:val="1"/>
      <w:numFmt w:val="bullet"/>
      <w:lvlText w:val=""/>
      <w:lvlJc w:val="left"/>
      <w:pPr>
        <w:ind w:left="4344" w:hanging="480"/>
      </w:pPr>
      <w:rPr>
        <w:rFonts w:ascii="Wingdings" w:hAnsi="Wingdings" w:hint="default"/>
      </w:rPr>
    </w:lvl>
  </w:abstractNum>
  <w:abstractNum w:abstractNumId="42" w15:restartNumberingAfterBreak="0">
    <w:nsid w:val="76BC4AE7"/>
    <w:multiLevelType w:val="hybridMultilevel"/>
    <w:tmpl w:val="266C64BA"/>
    <w:lvl w:ilvl="0" w:tplc="1696BAC0">
      <w:start w:val="1"/>
      <w:numFmt w:val="taiwaneseCountingThousand"/>
      <w:lvlText w:val="%1、"/>
      <w:lvlJc w:val="left"/>
      <w:pPr>
        <w:tabs>
          <w:tab w:val="num" w:pos="1060"/>
        </w:tabs>
        <w:ind w:left="1060" w:hanging="720"/>
      </w:pPr>
      <w:rPr>
        <w:rFonts w:hint="default"/>
      </w:rPr>
    </w:lvl>
    <w:lvl w:ilvl="1" w:tplc="E58A93DC">
      <w:start w:val="1"/>
      <w:numFmt w:val="taiwaneseCountingThousand"/>
      <w:lvlText w:val="（%2）"/>
      <w:lvlJc w:val="left"/>
      <w:pPr>
        <w:tabs>
          <w:tab w:val="num" w:pos="1721"/>
        </w:tabs>
        <w:ind w:left="1721" w:hanging="1361"/>
      </w:pPr>
      <w:rPr>
        <w:rFonts w:hint="eastAsia"/>
      </w:rPr>
    </w:lvl>
    <w:lvl w:ilvl="2" w:tplc="B7E20246">
      <w:start w:val="1"/>
      <w:numFmt w:val="decimal"/>
      <w:lvlText w:val="%3."/>
      <w:lvlJc w:val="left"/>
      <w:pPr>
        <w:tabs>
          <w:tab w:val="num" w:pos="3130"/>
        </w:tabs>
        <w:ind w:left="3130" w:hanging="1830"/>
      </w:pPr>
      <w:rPr>
        <w:rFonts w:hint="default"/>
      </w:rPr>
    </w:lvl>
    <w:lvl w:ilvl="3" w:tplc="AEE86EC0">
      <w:start w:val="1"/>
      <w:numFmt w:val="taiwaneseCountingThousand"/>
      <w:lvlText w:val="(%4)"/>
      <w:lvlJc w:val="left"/>
      <w:pPr>
        <w:tabs>
          <w:tab w:val="num" w:pos="2500"/>
        </w:tabs>
        <w:ind w:left="2500" w:hanging="720"/>
      </w:pPr>
      <w:rPr>
        <w:rFonts w:hint="default"/>
      </w:rPr>
    </w:lvl>
    <w:lvl w:ilvl="4" w:tplc="04090019" w:tentative="1">
      <w:start w:val="1"/>
      <w:numFmt w:val="ideographTraditional"/>
      <w:lvlText w:val="%5、"/>
      <w:lvlJc w:val="left"/>
      <w:pPr>
        <w:tabs>
          <w:tab w:val="num" w:pos="2740"/>
        </w:tabs>
        <w:ind w:left="2740" w:hanging="480"/>
      </w:pPr>
    </w:lvl>
    <w:lvl w:ilvl="5" w:tplc="0409001B" w:tentative="1">
      <w:start w:val="1"/>
      <w:numFmt w:val="lowerRoman"/>
      <w:lvlText w:val="%6."/>
      <w:lvlJc w:val="right"/>
      <w:pPr>
        <w:tabs>
          <w:tab w:val="num" w:pos="3220"/>
        </w:tabs>
        <w:ind w:left="3220" w:hanging="480"/>
      </w:pPr>
    </w:lvl>
    <w:lvl w:ilvl="6" w:tplc="0409000F" w:tentative="1">
      <w:start w:val="1"/>
      <w:numFmt w:val="decimal"/>
      <w:lvlText w:val="%7."/>
      <w:lvlJc w:val="left"/>
      <w:pPr>
        <w:tabs>
          <w:tab w:val="num" w:pos="3700"/>
        </w:tabs>
        <w:ind w:left="3700" w:hanging="480"/>
      </w:pPr>
    </w:lvl>
    <w:lvl w:ilvl="7" w:tplc="04090019" w:tentative="1">
      <w:start w:val="1"/>
      <w:numFmt w:val="ideographTraditional"/>
      <w:lvlText w:val="%8、"/>
      <w:lvlJc w:val="left"/>
      <w:pPr>
        <w:tabs>
          <w:tab w:val="num" w:pos="4180"/>
        </w:tabs>
        <w:ind w:left="4180" w:hanging="480"/>
      </w:pPr>
    </w:lvl>
    <w:lvl w:ilvl="8" w:tplc="0409001B" w:tentative="1">
      <w:start w:val="1"/>
      <w:numFmt w:val="lowerRoman"/>
      <w:lvlText w:val="%9."/>
      <w:lvlJc w:val="right"/>
      <w:pPr>
        <w:tabs>
          <w:tab w:val="num" w:pos="4660"/>
        </w:tabs>
        <w:ind w:left="4660" w:hanging="480"/>
      </w:pPr>
    </w:lvl>
  </w:abstractNum>
  <w:abstractNum w:abstractNumId="43" w15:restartNumberingAfterBreak="0">
    <w:nsid w:val="792B3F09"/>
    <w:multiLevelType w:val="hybridMultilevel"/>
    <w:tmpl w:val="6AF82F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42"/>
  </w:num>
  <w:num w:numId="2">
    <w:abstractNumId w:val="25"/>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39"/>
  </w:num>
  <w:num w:numId="6">
    <w:abstractNumId w:val="2"/>
  </w:num>
  <w:num w:numId="7">
    <w:abstractNumId w:val="24"/>
  </w:num>
  <w:num w:numId="8">
    <w:abstractNumId w:val="0"/>
  </w:num>
  <w:num w:numId="9">
    <w:abstractNumId w:val="10"/>
  </w:num>
  <w:num w:numId="10">
    <w:abstractNumId w:val="9"/>
  </w:num>
  <w:num w:numId="11">
    <w:abstractNumId w:val="8"/>
  </w:num>
  <w:num w:numId="12">
    <w:abstractNumId w:val="40"/>
  </w:num>
  <w:num w:numId="13">
    <w:abstractNumId w:val="20"/>
  </w:num>
  <w:num w:numId="14">
    <w:abstractNumId w:val="15"/>
  </w:num>
  <w:num w:numId="15">
    <w:abstractNumId w:val="33"/>
  </w:num>
  <w:num w:numId="16">
    <w:abstractNumId w:val="38"/>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4"/>
  </w:num>
  <w:num w:numId="21">
    <w:abstractNumId w:val="17"/>
  </w:num>
  <w:num w:numId="22">
    <w:abstractNumId w:val="34"/>
  </w:num>
  <w:num w:numId="23">
    <w:abstractNumId w:val="1"/>
  </w:num>
  <w:num w:numId="24">
    <w:abstractNumId w:val="37"/>
  </w:num>
  <w:num w:numId="25">
    <w:abstractNumId w:val="22"/>
  </w:num>
  <w:num w:numId="26">
    <w:abstractNumId w:val="21"/>
  </w:num>
  <w:num w:numId="27">
    <w:abstractNumId w:val="19"/>
  </w:num>
  <w:num w:numId="28">
    <w:abstractNumId w:val="43"/>
  </w:num>
  <w:num w:numId="29">
    <w:abstractNumId w:val="6"/>
  </w:num>
  <w:num w:numId="30">
    <w:abstractNumId w:val="3"/>
  </w:num>
  <w:num w:numId="31">
    <w:abstractNumId w:val="18"/>
  </w:num>
  <w:num w:numId="32">
    <w:abstractNumId w:val="23"/>
  </w:num>
  <w:num w:numId="33">
    <w:abstractNumId w:val="31"/>
  </w:num>
  <w:num w:numId="34">
    <w:abstractNumId w:val="7"/>
  </w:num>
  <w:num w:numId="35">
    <w:abstractNumId w:val="28"/>
  </w:num>
  <w:num w:numId="36">
    <w:abstractNumId w:val="29"/>
  </w:num>
  <w:num w:numId="37">
    <w:abstractNumId w:val="13"/>
  </w:num>
  <w:num w:numId="38">
    <w:abstractNumId w:val="32"/>
  </w:num>
  <w:num w:numId="39">
    <w:abstractNumId w:val="5"/>
  </w:num>
  <w:num w:numId="40">
    <w:abstractNumId w:val="11"/>
  </w:num>
  <w:num w:numId="41">
    <w:abstractNumId w:val="35"/>
  </w:num>
  <w:num w:numId="42">
    <w:abstractNumId w:val="27"/>
  </w:num>
  <w:num w:numId="43">
    <w:abstractNumId w:val="16"/>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style="mso-width-relative:margin;mso-height-relative:margin" fillcolor="white">
      <v:fill color="white"/>
      <v:textbox style="layout-flow:vertical-ideographic"/>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15E4"/>
    <w:rsid w:val="00000945"/>
    <w:rsid w:val="00000994"/>
    <w:rsid w:val="00000CD6"/>
    <w:rsid w:val="000015F9"/>
    <w:rsid w:val="00001A25"/>
    <w:rsid w:val="00001DC2"/>
    <w:rsid w:val="000022DB"/>
    <w:rsid w:val="00002379"/>
    <w:rsid w:val="000024C0"/>
    <w:rsid w:val="00002930"/>
    <w:rsid w:val="00002D17"/>
    <w:rsid w:val="00003726"/>
    <w:rsid w:val="00003EE2"/>
    <w:rsid w:val="00004191"/>
    <w:rsid w:val="00004287"/>
    <w:rsid w:val="00004C94"/>
    <w:rsid w:val="0000590E"/>
    <w:rsid w:val="00005A84"/>
    <w:rsid w:val="000060AC"/>
    <w:rsid w:val="0000667A"/>
    <w:rsid w:val="000073EB"/>
    <w:rsid w:val="00007489"/>
    <w:rsid w:val="00007F4D"/>
    <w:rsid w:val="00010274"/>
    <w:rsid w:val="00010CD2"/>
    <w:rsid w:val="00012008"/>
    <w:rsid w:val="00012214"/>
    <w:rsid w:val="000124B5"/>
    <w:rsid w:val="00012837"/>
    <w:rsid w:val="00012A5D"/>
    <w:rsid w:val="00014570"/>
    <w:rsid w:val="00014889"/>
    <w:rsid w:val="00014A00"/>
    <w:rsid w:val="00014B6C"/>
    <w:rsid w:val="00014B8A"/>
    <w:rsid w:val="00014C14"/>
    <w:rsid w:val="000150DF"/>
    <w:rsid w:val="00015547"/>
    <w:rsid w:val="00016032"/>
    <w:rsid w:val="000165ED"/>
    <w:rsid w:val="0001757D"/>
    <w:rsid w:val="00017E79"/>
    <w:rsid w:val="00017FD2"/>
    <w:rsid w:val="00020880"/>
    <w:rsid w:val="000208DA"/>
    <w:rsid w:val="0002136E"/>
    <w:rsid w:val="000215A2"/>
    <w:rsid w:val="0002198E"/>
    <w:rsid w:val="00021A22"/>
    <w:rsid w:val="00021F39"/>
    <w:rsid w:val="0002240F"/>
    <w:rsid w:val="00022500"/>
    <w:rsid w:val="0002272F"/>
    <w:rsid w:val="00022979"/>
    <w:rsid w:val="00022CAB"/>
    <w:rsid w:val="0002358C"/>
    <w:rsid w:val="000236A4"/>
    <w:rsid w:val="000237A0"/>
    <w:rsid w:val="0002387B"/>
    <w:rsid w:val="00023ACF"/>
    <w:rsid w:val="00023E26"/>
    <w:rsid w:val="000241A4"/>
    <w:rsid w:val="000247A6"/>
    <w:rsid w:val="000249A6"/>
    <w:rsid w:val="00024B6C"/>
    <w:rsid w:val="00025403"/>
    <w:rsid w:val="00025990"/>
    <w:rsid w:val="00025E74"/>
    <w:rsid w:val="0002609A"/>
    <w:rsid w:val="000260CC"/>
    <w:rsid w:val="00026C44"/>
    <w:rsid w:val="00026E5B"/>
    <w:rsid w:val="00026FBD"/>
    <w:rsid w:val="00027931"/>
    <w:rsid w:val="00027B3A"/>
    <w:rsid w:val="00027B76"/>
    <w:rsid w:val="000302D3"/>
    <w:rsid w:val="000303B8"/>
    <w:rsid w:val="000308FD"/>
    <w:rsid w:val="00031649"/>
    <w:rsid w:val="00032285"/>
    <w:rsid w:val="000335CD"/>
    <w:rsid w:val="00033AA4"/>
    <w:rsid w:val="00034976"/>
    <w:rsid w:val="00034E3A"/>
    <w:rsid w:val="000351E0"/>
    <w:rsid w:val="00035BAE"/>
    <w:rsid w:val="000360E6"/>
    <w:rsid w:val="000366DC"/>
    <w:rsid w:val="0003726C"/>
    <w:rsid w:val="000373DB"/>
    <w:rsid w:val="0003741B"/>
    <w:rsid w:val="00037ADD"/>
    <w:rsid w:val="00037DB5"/>
    <w:rsid w:val="00040411"/>
    <w:rsid w:val="00041357"/>
    <w:rsid w:val="0004142C"/>
    <w:rsid w:val="00041690"/>
    <w:rsid w:val="00041B57"/>
    <w:rsid w:val="0004205B"/>
    <w:rsid w:val="000421BB"/>
    <w:rsid w:val="00042709"/>
    <w:rsid w:val="000429A7"/>
    <w:rsid w:val="00042E14"/>
    <w:rsid w:val="00042E5E"/>
    <w:rsid w:val="00042E91"/>
    <w:rsid w:val="000433CE"/>
    <w:rsid w:val="00043CC1"/>
    <w:rsid w:val="00044834"/>
    <w:rsid w:val="00044B36"/>
    <w:rsid w:val="00045810"/>
    <w:rsid w:val="000458B2"/>
    <w:rsid w:val="00045AE3"/>
    <w:rsid w:val="00045D64"/>
    <w:rsid w:val="00046EA9"/>
    <w:rsid w:val="000475BA"/>
    <w:rsid w:val="000476FA"/>
    <w:rsid w:val="000477A8"/>
    <w:rsid w:val="00047B19"/>
    <w:rsid w:val="00047D5D"/>
    <w:rsid w:val="00050364"/>
    <w:rsid w:val="000507D8"/>
    <w:rsid w:val="00050B55"/>
    <w:rsid w:val="00050CE6"/>
    <w:rsid w:val="00051E6C"/>
    <w:rsid w:val="0005267C"/>
    <w:rsid w:val="00052A77"/>
    <w:rsid w:val="000535BB"/>
    <w:rsid w:val="00054020"/>
    <w:rsid w:val="00054119"/>
    <w:rsid w:val="000550B9"/>
    <w:rsid w:val="000550EF"/>
    <w:rsid w:val="0005541B"/>
    <w:rsid w:val="000556FF"/>
    <w:rsid w:val="00055F0E"/>
    <w:rsid w:val="000565B8"/>
    <w:rsid w:val="000569F6"/>
    <w:rsid w:val="00057413"/>
    <w:rsid w:val="000574D9"/>
    <w:rsid w:val="000579A0"/>
    <w:rsid w:val="000579C8"/>
    <w:rsid w:val="00057AA8"/>
    <w:rsid w:val="000602B6"/>
    <w:rsid w:val="00060759"/>
    <w:rsid w:val="00060F18"/>
    <w:rsid w:val="000613D8"/>
    <w:rsid w:val="00061E39"/>
    <w:rsid w:val="000623C7"/>
    <w:rsid w:val="00062C1D"/>
    <w:rsid w:val="00062D2E"/>
    <w:rsid w:val="00062E55"/>
    <w:rsid w:val="00062F15"/>
    <w:rsid w:val="00063A6E"/>
    <w:rsid w:val="000653D6"/>
    <w:rsid w:val="0006545B"/>
    <w:rsid w:val="000663FD"/>
    <w:rsid w:val="00066813"/>
    <w:rsid w:val="00066E19"/>
    <w:rsid w:val="0006715F"/>
    <w:rsid w:val="000671CC"/>
    <w:rsid w:val="0006737E"/>
    <w:rsid w:val="00070BBF"/>
    <w:rsid w:val="00071387"/>
    <w:rsid w:val="000717ED"/>
    <w:rsid w:val="000727F7"/>
    <w:rsid w:val="00072D12"/>
    <w:rsid w:val="0007368D"/>
    <w:rsid w:val="00073A04"/>
    <w:rsid w:val="00073C0A"/>
    <w:rsid w:val="000747D9"/>
    <w:rsid w:val="00075579"/>
    <w:rsid w:val="00075BEE"/>
    <w:rsid w:val="00076108"/>
    <w:rsid w:val="00076F8C"/>
    <w:rsid w:val="00080825"/>
    <w:rsid w:val="00080E68"/>
    <w:rsid w:val="00081682"/>
    <w:rsid w:val="0008201C"/>
    <w:rsid w:val="00082DF9"/>
    <w:rsid w:val="000844A0"/>
    <w:rsid w:val="0008521B"/>
    <w:rsid w:val="00085250"/>
    <w:rsid w:val="000854C5"/>
    <w:rsid w:val="0008587D"/>
    <w:rsid w:val="00087035"/>
    <w:rsid w:val="00087DC4"/>
    <w:rsid w:val="00090406"/>
    <w:rsid w:val="00090645"/>
    <w:rsid w:val="00090CC4"/>
    <w:rsid w:val="00091168"/>
    <w:rsid w:val="000913C9"/>
    <w:rsid w:val="00091D0B"/>
    <w:rsid w:val="00092873"/>
    <w:rsid w:val="00092FE9"/>
    <w:rsid w:val="00093F2D"/>
    <w:rsid w:val="00094E23"/>
    <w:rsid w:val="00094F4E"/>
    <w:rsid w:val="000954F1"/>
    <w:rsid w:val="000955F2"/>
    <w:rsid w:val="00095600"/>
    <w:rsid w:val="0009600E"/>
    <w:rsid w:val="00096106"/>
    <w:rsid w:val="000966C2"/>
    <w:rsid w:val="00096F11"/>
    <w:rsid w:val="000979B4"/>
    <w:rsid w:val="00097A7B"/>
    <w:rsid w:val="00097E86"/>
    <w:rsid w:val="00097FBB"/>
    <w:rsid w:val="00097FC0"/>
    <w:rsid w:val="000A083E"/>
    <w:rsid w:val="000A095E"/>
    <w:rsid w:val="000A0C7B"/>
    <w:rsid w:val="000A0FAE"/>
    <w:rsid w:val="000A169C"/>
    <w:rsid w:val="000A1DB5"/>
    <w:rsid w:val="000A267A"/>
    <w:rsid w:val="000A2AFE"/>
    <w:rsid w:val="000A2B00"/>
    <w:rsid w:val="000A33C2"/>
    <w:rsid w:val="000A3C83"/>
    <w:rsid w:val="000A405F"/>
    <w:rsid w:val="000A4105"/>
    <w:rsid w:val="000A42E3"/>
    <w:rsid w:val="000A55BB"/>
    <w:rsid w:val="000A5859"/>
    <w:rsid w:val="000A5907"/>
    <w:rsid w:val="000A596F"/>
    <w:rsid w:val="000A5C33"/>
    <w:rsid w:val="000A5D2C"/>
    <w:rsid w:val="000A6277"/>
    <w:rsid w:val="000A6B9A"/>
    <w:rsid w:val="000A6D4E"/>
    <w:rsid w:val="000A722A"/>
    <w:rsid w:val="000A773C"/>
    <w:rsid w:val="000A77A8"/>
    <w:rsid w:val="000A7CBA"/>
    <w:rsid w:val="000A7F26"/>
    <w:rsid w:val="000B00FC"/>
    <w:rsid w:val="000B0548"/>
    <w:rsid w:val="000B10F9"/>
    <w:rsid w:val="000B1739"/>
    <w:rsid w:val="000B1871"/>
    <w:rsid w:val="000B2A69"/>
    <w:rsid w:val="000B355F"/>
    <w:rsid w:val="000B35A1"/>
    <w:rsid w:val="000B38FC"/>
    <w:rsid w:val="000B3ABF"/>
    <w:rsid w:val="000B42DB"/>
    <w:rsid w:val="000B58C6"/>
    <w:rsid w:val="000B660C"/>
    <w:rsid w:val="000B688C"/>
    <w:rsid w:val="000B6FF7"/>
    <w:rsid w:val="000B733C"/>
    <w:rsid w:val="000B7E71"/>
    <w:rsid w:val="000C1065"/>
    <w:rsid w:val="000C260F"/>
    <w:rsid w:val="000C350F"/>
    <w:rsid w:val="000C351A"/>
    <w:rsid w:val="000C37E9"/>
    <w:rsid w:val="000C45E0"/>
    <w:rsid w:val="000C467F"/>
    <w:rsid w:val="000C471E"/>
    <w:rsid w:val="000C5238"/>
    <w:rsid w:val="000C5797"/>
    <w:rsid w:val="000C5DC8"/>
    <w:rsid w:val="000C5E70"/>
    <w:rsid w:val="000C60AF"/>
    <w:rsid w:val="000C6CB7"/>
    <w:rsid w:val="000C7276"/>
    <w:rsid w:val="000D0524"/>
    <w:rsid w:val="000D0E93"/>
    <w:rsid w:val="000D1147"/>
    <w:rsid w:val="000D3686"/>
    <w:rsid w:val="000D39D7"/>
    <w:rsid w:val="000D3F3E"/>
    <w:rsid w:val="000D4504"/>
    <w:rsid w:val="000D578E"/>
    <w:rsid w:val="000D5AF5"/>
    <w:rsid w:val="000D5D41"/>
    <w:rsid w:val="000D66D2"/>
    <w:rsid w:val="000D6925"/>
    <w:rsid w:val="000D6A6F"/>
    <w:rsid w:val="000D6DA2"/>
    <w:rsid w:val="000D6DBD"/>
    <w:rsid w:val="000D7EDE"/>
    <w:rsid w:val="000D7FD6"/>
    <w:rsid w:val="000E006E"/>
    <w:rsid w:val="000E02F2"/>
    <w:rsid w:val="000E1309"/>
    <w:rsid w:val="000E1895"/>
    <w:rsid w:val="000E1DCB"/>
    <w:rsid w:val="000E1E27"/>
    <w:rsid w:val="000E2257"/>
    <w:rsid w:val="000E25EE"/>
    <w:rsid w:val="000E29C6"/>
    <w:rsid w:val="000E29D3"/>
    <w:rsid w:val="000E3754"/>
    <w:rsid w:val="000E38D9"/>
    <w:rsid w:val="000E3B72"/>
    <w:rsid w:val="000E3CF5"/>
    <w:rsid w:val="000E5225"/>
    <w:rsid w:val="000E529D"/>
    <w:rsid w:val="000E54C5"/>
    <w:rsid w:val="000E55E9"/>
    <w:rsid w:val="000E56BC"/>
    <w:rsid w:val="000E5C30"/>
    <w:rsid w:val="000E5F79"/>
    <w:rsid w:val="000E6093"/>
    <w:rsid w:val="000E6459"/>
    <w:rsid w:val="000E67FF"/>
    <w:rsid w:val="000E6EC6"/>
    <w:rsid w:val="000E7B89"/>
    <w:rsid w:val="000F016F"/>
    <w:rsid w:val="000F10D1"/>
    <w:rsid w:val="000F1541"/>
    <w:rsid w:val="000F18DB"/>
    <w:rsid w:val="000F2538"/>
    <w:rsid w:val="000F26B8"/>
    <w:rsid w:val="000F291F"/>
    <w:rsid w:val="000F2CEA"/>
    <w:rsid w:val="000F2D38"/>
    <w:rsid w:val="000F2FA3"/>
    <w:rsid w:val="000F3CFE"/>
    <w:rsid w:val="000F451A"/>
    <w:rsid w:val="000F45F8"/>
    <w:rsid w:val="000F4770"/>
    <w:rsid w:val="000F484D"/>
    <w:rsid w:val="000F4EFB"/>
    <w:rsid w:val="000F5B9E"/>
    <w:rsid w:val="000F5C15"/>
    <w:rsid w:val="000F5CA6"/>
    <w:rsid w:val="000F6783"/>
    <w:rsid w:val="000F6C2B"/>
    <w:rsid w:val="000F7F5B"/>
    <w:rsid w:val="0010091F"/>
    <w:rsid w:val="00100E17"/>
    <w:rsid w:val="00100F75"/>
    <w:rsid w:val="00100F8D"/>
    <w:rsid w:val="0010176D"/>
    <w:rsid w:val="00101A13"/>
    <w:rsid w:val="00101DB2"/>
    <w:rsid w:val="001027E7"/>
    <w:rsid w:val="00102CF2"/>
    <w:rsid w:val="00103E23"/>
    <w:rsid w:val="00103F04"/>
    <w:rsid w:val="001040EA"/>
    <w:rsid w:val="001045FE"/>
    <w:rsid w:val="00104825"/>
    <w:rsid w:val="00104989"/>
    <w:rsid w:val="00104B35"/>
    <w:rsid w:val="001054F2"/>
    <w:rsid w:val="001056EB"/>
    <w:rsid w:val="001063CA"/>
    <w:rsid w:val="001066D5"/>
    <w:rsid w:val="001068A5"/>
    <w:rsid w:val="001069BD"/>
    <w:rsid w:val="00106B6B"/>
    <w:rsid w:val="00106C58"/>
    <w:rsid w:val="00107863"/>
    <w:rsid w:val="00107C0C"/>
    <w:rsid w:val="00110233"/>
    <w:rsid w:val="00110587"/>
    <w:rsid w:val="001106AA"/>
    <w:rsid w:val="00110CCF"/>
    <w:rsid w:val="0011159D"/>
    <w:rsid w:val="001130B4"/>
    <w:rsid w:val="00113AE8"/>
    <w:rsid w:val="00114994"/>
    <w:rsid w:val="001151ED"/>
    <w:rsid w:val="00115514"/>
    <w:rsid w:val="0011590F"/>
    <w:rsid w:val="00116922"/>
    <w:rsid w:val="00116ABA"/>
    <w:rsid w:val="00116B06"/>
    <w:rsid w:val="00116B56"/>
    <w:rsid w:val="001175E9"/>
    <w:rsid w:val="00120257"/>
    <w:rsid w:val="00120504"/>
    <w:rsid w:val="00120A7B"/>
    <w:rsid w:val="00120CE6"/>
    <w:rsid w:val="00120F2E"/>
    <w:rsid w:val="00121046"/>
    <w:rsid w:val="00121392"/>
    <w:rsid w:val="00121687"/>
    <w:rsid w:val="0012189E"/>
    <w:rsid w:val="001218FA"/>
    <w:rsid w:val="00121F97"/>
    <w:rsid w:val="001224AF"/>
    <w:rsid w:val="001225FB"/>
    <w:rsid w:val="00122760"/>
    <w:rsid w:val="00123683"/>
    <w:rsid w:val="00123CBD"/>
    <w:rsid w:val="0012406D"/>
    <w:rsid w:val="001247E1"/>
    <w:rsid w:val="001247EE"/>
    <w:rsid w:val="00124841"/>
    <w:rsid w:val="00125255"/>
    <w:rsid w:val="0012556D"/>
    <w:rsid w:val="001258ED"/>
    <w:rsid w:val="001269CC"/>
    <w:rsid w:val="00127E8F"/>
    <w:rsid w:val="00130076"/>
    <w:rsid w:val="00130147"/>
    <w:rsid w:val="001301EA"/>
    <w:rsid w:val="00130531"/>
    <w:rsid w:val="0013238C"/>
    <w:rsid w:val="00132CC5"/>
    <w:rsid w:val="00132EC3"/>
    <w:rsid w:val="00133191"/>
    <w:rsid w:val="001333C0"/>
    <w:rsid w:val="001333D3"/>
    <w:rsid w:val="00133B6B"/>
    <w:rsid w:val="00133E4C"/>
    <w:rsid w:val="00134073"/>
    <w:rsid w:val="001350BC"/>
    <w:rsid w:val="00135425"/>
    <w:rsid w:val="00135431"/>
    <w:rsid w:val="00135620"/>
    <w:rsid w:val="001362BE"/>
    <w:rsid w:val="001362C3"/>
    <w:rsid w:val="00136D73"/>
    <w:rsid w:val="00136F76"/>
    <w:rsid w:val="001372BD"/>
    <w:rsid w:val="0014012D"/>
    <w:rsid w:val="001402E6"/>
    <w:rsid w:val="00140437"/>
    <w:rsid w:val="00140CA6"/>
    <w:rsid w:val="001415CB"/>
    <w:rsid w:val="0014190C"/>
    <w:rsid w:val="00141B5E"/>
    <w:rsid w:val="001424EC"/>
    <w:rsid w:val="00142CEE"/>
    <w:rsid w:val="0014353D"/>
    <w:rsid w:val="001436C3"/>
    <w:rsid w:val="00143BE6"/>
    <w:rsid w:val="001442C2"/>
    <w:rsid w:val="0014451F"/>
    <w:rsid w:val="0014499B"/>
    <w:rsid w:val="00145117"/>
    <w:rsid w:val="0014567B"/>
    <w:rsid w:val="001456E7"/>
    <w:rsid w:val="00145AFF"/>
    <w:rsid w:val="00146084"/>
    <w:rsid w:val="001467A2"/>
    <w:rsid w:val="00146D1B"/>
    <w:rsid w:val="001476B8"/>
    <w:rsid w:val="00147E00"/>
    <w:rsid w:val="0015034A"/>
    <w:rsid w:val="00151858"/>
    <w:rsid w:val="00151CEB"/>
    <w:rsid w:val="00151EFD"/>
    <w:rsid w:val="0015204A"/>
    <w:rsid w:val="0015222E"/>
    <w:rsid w:val="0015237A"/>
    <w:rsid w:val="001524F1"/>
    <w:rsid w:val="00152529"/>
    <w:rsid w:val="001526CF"/>
    <w:rsid w:val="0015287C"/>
    <w:rsid w:val="0015394A"/>
    <w:rsid w:val="00154228"/>
    <w:rsid w:val="001551FD"/>
    <w:rsid w:val="00155596"/>
    <w:rsid w:val="00155A60"/>
    <w:rsid w:val="00155E19"/>
    <w:rsid w:val="00155FD1"/>
    <w:rsid w:val="001577A8"/>
    <w:rsid w:val="00157AD6"/>
    <w:rsid w:val="00160342"/>
    <w:rsid w:val="0016056B"/>
    <w:rsid w:val="00160794"/>
    <w:rsid w:val="00160D58"/>
    <w:rsid w:val="001612DC"/>
    <w:rsid w:val="001617EA"/>
    <w:rsid w:val="00161C78"/>
    <w:rsid w:val="00161F0A"/>
    <w:rsid w:val="001623A7"/>
    <w:rsid w:val="0016255C"/>
    <w:rsid w:val="001629BB"/>
    <w:rsid w:val="00163700"/>
    <w:rsid w:val="001639F1"/>
    <w:rsid w:val="001641CD"/>
    <w:rsid w:val="0016478F"/>
    <w:rsid w:val="001648E5"/>
    <w:rsid w:val="00164C74"/>
    <w:rsid w:val="00164D2D"/>
    <w:rsid w:val="00165D9A"/>
    <w:rsid w:val="001677A0"/>
    <w:rsid w:val="00167ED3"/>
    <w:rsid w:val="00170413"/>
    <w:rsid w:val="00170584"/>
    <w:rsid w:val="00170689"/>
    <w:rsid w:val="00170789"/>
    <w:rsid w:val="00171254"/>
    <w:rsid w:val="00171433"/>
    <w:rsid w:val="0017146D"/>
    <w:rsid w:val="00171556"/>
    <w:rsid w:val="00171660"/>
    <w:rsid w:val="001724E3"/>
    <w:rsid w:val="00172956"/>
    <w:rsid w:val="00173412"/>
    <w:rsid w:val="00173A9E"/>
    <w:rsid w:val="00174D47"/>
    <w:rsid w:val="0017582D"/>
    <w:rsid w:val="00175F55"/>
    <w:rsid w:val="0017684E"/>
    <w:rsid w:val="00177455"/>
    <w:rsid w:val="00177B18"/>
    <w:rsid w:val="00177E81"/>
    <w:rsid w:val="00180568"/>
    <w:rsid w:val="0018126C"/>
    <w:rsid w:val="001812BB"/>
    <w:rsid w:val="00181898"/>
    <w:rsid w:val="0018230D"/>
    <w:rsid w:val="00182993"/>
    <w:rsid w:val="00182F95"/>
    <w:rsid w:val="0018370F"/>
    <w:rsid w:val="00184186"/>
    <w:rsid w:val="0018441B"/>
    <w:rsid w:val="0018512D"/>
    <w:rsid w:val="0018523A"/>
    <w:rsid w:val="00185690"/>
    <w:rsid w:val="00185DF9"/>
    <w:rsid w:val="00187177"/>
    <w:rsid w:val="00187185"/>
    <w:rsid w:val="001877DB"/>
    <w:rsid w:val="00190197"/>
    <w:rsid w:val="00190786"/>
    <w:rsid w:val="00191185"/>
    <w:rsid w:val="0019172A"/>
    <w:rsid w:val="00191B50"/>
    <w:rsid w:val="00191B9C"/>
    <w:rsid w:val="00191BA2"/>
    <w:rsid w:val="00191FE6"/>
    <w:rsid w:val="0019205F"/>
    <w:rsid w:val="0019242B"/>
    <w:rsid w:val="00192703"/>
    <w:rsid w:val="0019280B"/>
    <w:rsid w:val="00192A22"/>
    <w:rsid w:val="00192AEA"/>
    <w:rsid w:val="00192F90"/>
    <w:rsid w:val="001934A3"/>
    <w:rsid w:val="00193C4C"/>
    <w:rsid w:val="00193D54"/>
    <w:rsid w:val="00194425"/>
    <w:rsid w:val="0019461F"/>
    <w:rsid w:val="001949B5"/>
    <w:rsid w:val="00194F5D"/>
    <w:rsid w:val="00194FA2"/>
    <w:rsid w:val="001954A1"/>
    <w:rsid w:val="00195573"/>
    <w:rsid w:val="001956C3"/>
    <w:rsid w:val="001958FD"/>
    <w:rsid w:val="00196A7E"/>
    <w:rsid w:val="001970C9"/>
    <w:rsid w:val="00197320"/>
    <w:rsid w:val="00197689"/>
    <w:rsid w:val="00197A12"/>
    <w:rsid w:val="00197C7D"/>
    <w:rsid w:val="001A029B"/>
    <w:rsid w:val="001A03B7"/>
    <w:rsid w:val="001A04BC"/>
    <w:rsid w:val="001A10B7"/>
    <w:rsid w:val="001A1161"/>
    <w:rsid w:val="001A1A10"/>
    <w:rsid w:val="001A22D6"/>
    <w:rsid w:val="001A2A18"/>
    <w:rsid w:val="001A302C"/>
    <w:rsid w:val="001A3316"/>
    <w:rsid w:val="001A35CC"/>
    <w:rsid w:val="001A35DD"/>
    <w:rsid w:val="001A41B0"/>
    <w:rsid w:val="001A433D"/>
    <w:rsid w:val="001A4890"/>
    <w:rsid w:val="001A4F3B"/>
    <w:rsid w:val="001A54F0"/>
    <w:rsid w:val="001A5550"/>
    <w:rsid w:val="001A5B48"/>
    <w:rsid w:val="001A5B98"/>
    <w:rsid w:val="001A63A3"/>
    <w:rsid w:val="001A6B0E"/>
    <w:rsid w:val="001A7D6B"/>
    <w:rsid w:val="001B07EE"/>
    <w:rsid w:val="001B0891"/>
    <w:rsid w:val="001B09FB"/>
    <w:rsid w:val="001B0E3C"/>
    <w:rsid w:val="001B0F45"/>
    <w:rsid w:val="001B0FD3"/>
    <w:rsid w:val="001B123C"/>
    <w:rsid w:val="001B1853"/>
    <w:rsid w:val="001B1938"/>
    <w:rsid w:val="001B2265"/>
    <w:rsid w:val="001B2313"/>
    <w:rsid w:val="001B25F4"/>
    <w:rsid w:val="001B3023"/>
    <w:rsid w:val="001B3559"/>
    <w:rsid w:val="001B3EAC"/>
    <w:rsid w:val="001B471F"/>
    <w:rsid w:val="001B4BF4"/>
    <w:rsid w:val="001B534E"/>
    <w:rsid w:val="001B55C0"/>
    <w:rsid w:val="001B65E6"/>
    <w:rsid w:val="001B717F"/>
    <w:rsid w:val="001B7333"/>
    <w:rsid w:val="001B7A67"/>
    <w:rsid w:val="001C05E9"/>
    <w:rsid w:val="001C07A7"/>
    <w:rsid w:val="001C0938"/>
    <w:rsid w:val="001C0ABD"/>
    <w:rsid w:val="001C0CEA"/>
    <w:rsid w:val="001C23E5"/>
    <w:rsid w:val="001C290F"/>
    <w:rsid w:val="001C2D90"/>
    <w:rsid w:val="001C2FC2"/>
    <w:rsid w:val="001C3C43"/>
    <w:rsid w:val="001C44BA"/>
    <w:rsid w:val="001C4FE2"/>
    <w:rsid w:val="001C514C"/>
    <w:rsid w:val="001C5E76"/>
    <w:rsid w:val="001D0B27"/>
    <w:rsid w:val="001D1194"/>
    <w:rsid w:val="001D124B"/>
    <w:rsid w:val="001D1774"/>
    <w:rsid w:val="001D2145"/>
    <w:rsid w:val="001D2882"/>
    <w:rsid w:val="001D3986"/>
    <w:rsid w:val="001D3E2E"/>
    <w:rsid w:val="001D3FC5"/>
    <w:rsid w:val="001D4957"/>
    <w:rsid w:val="001D5323"/>
    <w:rsid w:val="001D64BF"/>
    <w:rsid w:val="001D6A06"/>
    <w:rsid w:val="001D7224"/>
    <w:rsid w:val="001D76C0"/>
    <w:rsid w:val="001D799C"/>
    <w:rsid w:val="001D7B39"/>
    <w:rsid w:val="001D7CF4"/>
    <w:rsid w:val="001D7FCA"/>
    <w:rsid w:val="001E01B0"/>
    <w:rsid w:val="001E0389"/>
    <w:rsid w:val="001E1D15"/>
    <w:rsid w:val="001E220E"/>
    <w:rsid w:val="001E24EE"/>
    <w:rsid w:val="001E28C2"/>
    <w:rsid w:val="001E2FCA"/>
    <w:rsid w:val="001E3014"/>
    <w:rsid w:val="001E341C"/>
    <w:rsid w:val="001E363C"/>
    <w:rsid w:val="001E3EAF"/>
    <w:rsid w:val="001E40F7"/>
    <w:rsid w:val="001E4E60"/>
    <w:rsid w:val="001E60A2"/>
    <w:rsid w:val="001E65D5"/>
    <w:rsid w:val="001E739D"/>
    <w:rsid w:val="001E7E90"/>
    <w:rsid w:val="001F02A5"/>
    <w:rsid w:val="001F0939"/>
    <w:rsid w:val="001F110D"/>
    <w:rsid w:val="001F13AD"/>
    <w:rsid w:val="001F159C"/>
    <w:rsid w:val="001F1630"/>
    <w:rsid w:val="001F1D2F"/>
    <w:rsid w:val="001F1DA8"/>
    <w:rsid w:val="001F238F"/>
    <w:rsid w:val="001F2DFF"/>
    <w:rsid w:val="001F3788"/>
    <w:rsid w:val="001F5622"/>
    <w:rsid w:val="001F5F9E"/>
    <w:rsid w:val="001F6218"/>
    <w:rsid w:val="001F77AE"/>
    <w:rsid w:val="001F7D00"/>
    <w:rsid w:val="001F7E5B"/>
    <w:rsid w:val="00200002"/>
    <w:rsid w:val="002004D8"/>
    <w:rsid w:val="0020064C"/>
    <w:rsid w:val="00200DA0"/>
    <w:rsid w:val="0020100E"/>
    <w:rsid w:val="002014A0"/>
    <w:rsid w:val="00201A0B"/>
    <w:rsid w:val="0020331C"/>
    <w:rsid w:val="0020360B"/>
    <w:rsid w:val="00203B4A"/>
    <w:rsid w:val="00203B4F"/>
    <w:rsid w:val="00203DEB"/>
    <w:rsid w:val="0020408A"/>
    <w:rsid w:val="002040D3"/>
    <w:rsid w:val="00205382"/>
    <w:rsid w:val="00205FA6"/>
    <w:rsid w:val="00206625"/>
    <w:rsid w:val="002069E6"/>
    <w:rsid w:val="002071F8"/>
    <w:rsid w:val="0020778C"/>
    <w:rsid w:val="0020787C"/>
    <w:rsid w:val="00210221"/>
    <w:rsid w:val="002108DE"/>
    <w:rsid w:val="00210DB7"/>
    <w:rsid w:val="002114FD"/>
    <w:rsid w:val="00211B25"/>
    <w:rsid w:val="002124C1"/>
    <w:rsid w:val="00213341"/>
    <w:rsid w:val="002135FE"/>
    <w:rsid w:val="00213CE0"/>
    <w:rsid w:val="00213F99"/>
    <w:rsid w:val="00214912"/>
    <w:rsid w:val="00214E66"/>
    <w:rsid w:val="002156DA"/>
    <w:rsid w:val="0021637B"/>
    <w:rsid w:val="002164F6"/>
    <w:rsid w:val="00217023"/>
    <w:rsid w:val="00217650"/>
    <w:rsid w:val="002178F0"/>
    <w:rsid w:val="00217B87"/>
    <w:rsid w:val="0022019B"/>
    <w:rsid w:val="00220532"/>
    <w:rsid w:val="002206F3"/>
    <w:rsid w:val="00220DC7"/>
    <w:rsid w:val="00220DEB"/>
    <w:rsid w:val="002210C7"/>
    <w:rsid w:val="002212B3"/>
    <w:rsid w:val="00221C2F"/>
    <w:rsid w:val="002230C2"/>
    <w:rsid w:val="00223971"/>
    <w:rsid w:val="00223D90"/>
    <w:rsid w:val="00223E12"/>
    <w:rsid w:val="002244F3"/>
    <w:rsid w:val="00224520"/>
    <w:rsid w:val="00224ADD"/>
    <w:rsid w:val="00224E0E"/>
    <w:rsid w:val="00225121"/>
    <w:rsid w:val="00225614"/>
    <w:rsid w:val="00225673"/>
    <w:rsid w:val="00225A7F"/>
    <w:rsid w:val="00225AEF"/>
    <w:rsid w:val="00225B01"/>
    <w:rsid w:val="00225F61"/>
    <w:rsid w:val="002267A3"/>
    <w:rsid w:val="0022688C"/>
    <w:rsid w:val="002272F1"/>
    <w:rsid w:val="00227407"/>
    <w:rsid w:val="002275D8"/>
    <w:rsid w:val="00227BB1"/>
    <w:rsid w:val="00227C09"/>
    <w:rsid w:val="00230049"/>
    <w:rsid w:val="00230263"/>
    <w:rsid w:val="002303D8"/>
    <w:rsid w:val="00230F93"/>
    <w:rsid w:val="002318A1"/>
    <w:rsid w:val="00232108"/>
    <w:rsid w:val="0023239F"/>
    <w:rsid w:val="00232D7D"/>
    <w:rsid w:val="0023320C"/>
    <w:rsid w:val="0023329D"/>
    <w:rsid w:val="002334C6"/>
    <w:rsid w:val="002338D7"/>
    <w:rsid w:val="00233CF3"/>
    <w:rsid w:val="00233FC9"/>
    <w:rsid w:val="00234E84"/>
    <w:rsid w:val="00234F27"/>
    <w:rsid w:val="00234F34"/>
    <w:rsid w:val="00234F38"/>
    <w:rsid w:val="00235062"/>
    <w:rsid w:val="0023558E"/>
    <w:rsid w:val="00235A11"/>
    <w:rsid w:val="00235BCF"/>
    <w:rsid w:val="00236A1B"/>
    <w:rsid w:val="00236F6D"/>
    <w:rsid w:val="002372EE"/>
    <w:rsid w:val="00237439"/>
    <w:rsid w:val="00237616"/>
    <w:rsid w:val="00237770"/>
    <w:rsid w:val="00237FAA"/>
    <w:rsid w:val="002406D9"/>
    <w:rsid w:val="00240C61"/>
    <w:rsid w:val="00242557"/>
    <w:rsid w:val="002432E2"/>
    <w:rsid w:val="00243542"/>
    <w:rsid w:val="00243635"/>
    <w:rsid w:val="00243972"/>
    <w:rsid w:val="00243BD0"/>
    <w:rsid w:val="00243EAC"/>
    <w:rsid w:val="002450CA"/>
    <w:rsid w:val="0024584F"/>
    <w:rsid w:val="00245937"/>
    <w:rsid w:val="00245CF7"/>
    <w:rsid w:val="002460C2"/>
    <w:rsid w:val="00246237"/>
    <w:rsid w:val="00246A50"/>
    <w:rsid w:val="00246B12"/>
    <w:rsid w:val="00246EF4"/>
    <w:rsid w:val="00247104"/>
    <w:rsid w:val="0024793D"/>
    <w:rsid w:val="00247AA6"/>
    <w:rsid w:val="0025011B"/>
    <w:rsid w:val="002509A5"/>
    <w:rsid w:val="00250C3F"/>
    <w:rsid w:val="00250DA0"/>
    <w:rsid w:val="00251D9B"/>
    <w:rsid w:val="00252424"/>
    <w:rsid w:val="002530C6"/>
    <w:rsid w:val="00253537"/>
    <w:rsid w:val="0025373C"/>
    <w:rsid w:val="0025379B"/>
    <w:rsid w:val="00254F4E"/>
    <w:rsid w:val="002550EF"/>
    <w:rsid w:val="002555FA"/>
    <w:rsid w:val="00255A10"/>
    <w:rsid w:val="00255C1A"/>
    <w:rsid w:val="002561BA"/>
    <w:rsid w:val="0025636A"/>
    <w:rsid w:val="002563E4"/>
    <w:rsid w:val="00256571"/>
    <w:rsid w:val="00256F1D"/>
    <w:rsid w:val="00256F28"/>
    <w:rsid w:val="00260181"/>
    <w:rsid w:val="002608D4"/>
    <w:rsid w:val="00260ED0"/>
    <w:rsid w:val="00260EF5"/>
    <w:rsid w:val="002612DC"/>
    <w:rsid w:val="00261692"/>
    <w:rsid w:val="00261FA6"/>
    <w:rsid w:val="00262678"/>
    <w:rsid w:val="00262CB0"/>
    <w:rsid w:val="00262D92"/>
    <w:rsid w:val="0026308E"/>
    <w:rsid w:val="0026376A"/>
    <w:rsid w:val="00263FC4"/>
    <w:rsid w:val="00264B74"/>
    <w:rsid w:val="002655DD"/>
    <w:rsid w:val="002664F0"/>
    <w:rsid w:val="00266D1B"/>
    <w:rsid w:val="00266F6D"/>
    <w:rsid w:val="00267566"/>
    <w:rsid w:val="0026787D"/>
    <w:rsid w:val="002701C5"/>
    <w:rsid w:val="0027078C"/>
    <w:rsid w:val="00270B34"/>
    <w:rsid w:val="00271392"/>
    <w:rsid w:val="00271728"/>
    <w:rsid w:val="0027184A"/>
    <w:rsid w:val="00272371"/>
    <w:rsid w:val="0027237F"/>
    <w:rsid w:val="00272BED"/>
    <w:rsid w:val="00272F49"/>
    <w:rsid w:val="00273CA2"/>
    <w:rsid w:val="0027434A"/>
    <w:rsid w:val="002745C6"/>
    <w:rsid w:val="00274859"/>
    <w:rsid w:val="0027487E"/>
    <w:rsid w:val="00275B6E"/>
    <w:rsid w:val="00275DA5"/>
    <w:rsid w:val="00276033"/>
    <w:rsid w:val="00276621"/>
    <w:rsid w:val="00277271"/>
    <w:rsid w:val="002775D4"/>
    <w:rsid w:val="00277CD0"/>
    <w:rsid w:val="002802C1"/>
    <w:rsid w:val="00280345"/>
    <w:rsid w:val="002803C6"/>
    <w:rsid w:val="00280530"/>
    <w:rsid w:val="00280579"/>
    <w:rsid w:val="002812DE"/>
    <w:rsid w:val="00281575"/>
    <w:rsid w:val="00281D3D"/>
    <w:rsid w:val="00283B63"/>
    <w:rsid w:val="00283C77"/>
    <w:rsid w:val="00283DDC"/>
    <w:rsid w:val="00284818"/>
    <w:rsid w:val="00284D36"/>
    <w:rsid w:val="00284ECE"/>
    <w:rsid w:val="0028512F"/>
    <w:rsid w:val="00285173"/>
    <w:rsid w:val="00285237"/>
    <w:rsid w:val="00285AD6"/>
    <w:rsid w:val="00285DBC"/>
    <w:rsid w:val="002862FE"/>
    <w:rsid w:val="00286506"/>
    <w:rsid w:val="002878AD"/>
    <w:rsid w:val="00287DC5"/>
    <w:rsid w:val="00287E8D"/>
    <w:rsid w:val="0029052A"/>
    <w:rsid w:val="002911F5"/>
    <w:rsid w:val="002917DF"/>
    <w:rsid w:val="00291DD3"/>
    <w:rsid w:val="002921C4"/>
    <w:rsid w:val="002928A5"/>
    <w:rsid w:val="0029334C"/>
    <w:rsid w:val="0029342C"/>
    <w:rsid w:val="00293523"/>
    <w:rsid w:val="002939DF"/>
    <w:rsid w:val="0029478D"/>
    <w:rsid w:val="00294FDC"/>
    <w:rsid w:val="00295024"/>
    <w:rsid w:val="0029504E"/>
    <w:rsid w:val="0029565A"/>
    <w:rsid w:val="00295A62"/>
    <w:rsid w:val="002965D7"/>
    <w:rsid w:val="00296F61"/>
    <w:rsid w:val="0029788D"/>
    <w:rsid w:val="002978F5"/>
    <w:rsid w:val="00297979"/>
    <w:rsid w:val="002979A1"/>
    <w:rsid w:val="00297E42"/>
    <w:rsid w:val="002A0063"/>
    <w:rsid w:val="002A03AB"/>
    <w:rsid w:val="002A06FB"/>
    <w:rsid w:val="002A1AC4"/>
    <w:rsid w:val="002A1F1E"/>
    <w:rsid w:val="002A2D9E"/>
    <w:rsid w:val="002A327D"/>
    <w:rsid w:val="002A341A"/>
    <w:rsid w:val="002A3629"/>
    <w:rsid w:val="002A3828"/>
    <w:rsid w:val="002A41D8"/>
    <w:rsid w:val="002A493C"/>
    <w:rsid w:val="002A4E5C"/>
    <w:rsid w:val="002A55C3"/>
    <w:rsid w:val="002A5A1F"/>
    <w:rsid w:val="002A62EF"/>
    <w:rsid w:val="002A6681"/>
    <w:rsid w:val="002A67AF"/>
    <w:rsid w:val="002A6963"/>
    <w:rsid w:val="002A6ACF"/>
    <w:rsid w:val="002A760A"/>
    <w:rsid w:val="002A7D98"/>
    <w:rsid w:val="002B0216"/>
    <w:rsid w:val="002B0BEB"/>
    <w:rsid w:val="002B0FD6"/>
    <w:rsid w:val="002B18F9"/>
    <w:rsid w:val="002B1E3E"/>
    <w:rsid w:val="002B368A"/>
    <w:rsid w:val="002B3EF3"/>
    <w:rsid w:val="002B4543"/>
    <w:rsid w:val="002B4974"/>
    <w:rsid w:val="002B4CFF"/>
    <w:rsid w:val="002B4E28"/>
    <w:rsid w:val="002B574C"/>
    <w:rsid w:val="002B5D0A"/>
    <w:rsid w:val="002B6B00"/>
    <w:rsid w:val="002B7C32"/>
    <w:rsid w:val="002C0659"/>
    <w:rsid w:val="002C0C68"/>
    <w:rsid w:val="002C0CC6"/>
    <w:rsid w:val="002C0E69"/>
    <w:rsid w:val="002C15F9"/>
    <w:rsid w:val="002C1B78"/>
    <w:rsid w:val="002C2676"/>
    <w:rsid w:val="002C39E4"/>
    <w:rsid w:val="002C3CD1"/>
    <w:rsid w:val="002C4351"/>
    <w:rsid w:val="002C55FC"/>
    <w:rsid w:val="002C5883"/>
    <w:rsid w:val="002C600B"/>
    <w:rsid w:val="002C641F"/>
    <w:rsid w:val="002C6F2E"/>
    <w:rsid w:val="002D1388"/>
    <w:rsid w:val="002D1951"/>
    <w:rsid w:val="002D1B83"/>
    <w:rsid w:val="002D1D94"/>
    <w:rsid w:val="002D203D"/>
    <w:rsid w:val="002D2384"/>
    <w:rsid w:val="002D26C0"/>
    <w:rsid w:val="002D38E8"/>
    <w:rsid w:val="002D4396"/>
    <w:rsid w:val="002D464E"/>
    <w:rsid w:val="002D6534"/>
    <w:rsid w:val="002D72F4"/>
    <w:rsid w:val="002D780C"/>
    <w:rsid w:val="002D79A6"/>
    <w:rsid w:val="002E00E9"/>
    <w:rsid w:val="002E0EC6"/>
    <w:rsid w:val="002E15A7"/>
    <w:rsid w:val="002E1B01"/>
    <w:rsid w:val="002E1ECC"/>
    <w:rsid w:val="002E24EC"/>
    <w:rsid w:val="002E2850"/>
    <w:rsid w:val="002E2A57"/>
    <w:rsid w:val="002E341F"/>
    <w:rsid w:val="002E3E29"/>
    <w:rsid w:val="002E45C6"/>
    <w:rsid w:val="002E58D5"/>
    <w:rsid w:val="002E5FE9"/>
    <w:rsid w:val="002E7850"/>
    <w:rsid w:val="002E7CDE"/>
    <w:rsid w:val="002F029D"/>
    <w:rsid w:val="002F02BF"/>
    <w:rsid w:val="002F101C"/>
    <w:rsid w:val="002F1476"/>
    <w:rsid w:val="002F1AF0"/>
    <w:rsid w:val="002F1B00"/>
    <w:rsid w:val="002F2C41"/>
    <w:rsid w:val="002F2F01"/>
    <w:rsid w:val="002F3460"/>
    <w:rsid w:val="002F42BE"/>
    <w:rsid w:val="002F4619"/>
    <w:rsid w:val="002F5427"/>
    <w:rsid w:val="002F636E"/>
    <w:rsid w:val="002F6D1E"/>
    <w:rsid w:val="002F729F"/>
    <w:rsid w:val="002F7A81"/>
    <w:rsid w:val="002F7BD2"/>
    <w:rsid w:val="002F7F79"/>
    <w:rsid w:val="003001BF"/>
    <w:rsid w:val="00300331"/>
    <w:rsid w:val="00300D82"/>
    <w:rsid w:val="00300F11"/>
    <w:rsid w:val="00300F13"/>
    <w:rsid w:val="0030136C"/>
    <w:rsid w:val="003013B2"/>
    <w:rsid w:val="003015D9"/>
    <w:rsid w:val="003018A5"/>
    <w:rsid w:val="00301B18"/>
    <w:rsid w:val="00301C69"/>
    <w:rsid w:val="00301FED"/>
    <w:rsid w:val="003024BA"/>
    <w:rsid w:val="00302ACC"/>
    <w:rsid w:val="00303069"/>
    <w:rsid w:val="00303746"/>
    <w:rsid w:val="00303A4A"/>
    <w:rsid w:val="00304798"/>
    <w:rsid w:val="00304F30"/>
    <w:rsid w:val="003051FD"/>
    <w:rsid w:val="0030569E"/>
    <w:rsid w:val="003058C4"/>
    <w:rsid w:val="00305B21"/>
    <w:rsid w:val="00305D62"/>
    <w:rsid w:val="003060A8"/>
    <w:rsid w:val="00306A95"/>
    <w:rsid w:val="00306B31"/>
    <w:rsid w:val="00306C9A"/>
    <w:rsid w:val="00306E2C"/>
    <w:rsid w:val="00307290"/>
    <w:rsid w:val="003072A4"/>
    <w:rsid w:val="00307CF7"/>
    <w:rsid w:val="00307D04"/>
    <w:rsid w:val="00307ED8"/>
    <w:rsid w:val="00310BF7"/>
    <w:rsid w:val="00311004"/>
    <w:rsid w:val="00311054"/>
    <w:rsid w:val="003112CE"/>
    <w:rsid w:val="003113CF"/>
    <w:rsid w:val="0031279F"/>
    <w:rsid w:val="0031311A"/>
    <w:rsid w:val="003133C8"/>
    <w:rsid w:val="003135FF"/>
    <w:rsid w:val="00314057"/>
    <w:rsid w:val="003143FA"/>
    <w:rsid w:val="00314752"/>
    <w:rsid w:val="00314A3F"/>
    <w:rsid w:val="00314C28"/>
    <w:rsid w:val="003161C1"/>
    <w:rsid w:val="003161E4"/>
    <w:rsid w:val="0031663C"/>
    <w:rsid w:val="00316675"/>
    <w:rsid w:val="00316BFC"/>
    <w:rsid w:val="003174EA"/>
    <w:rsid w:val="003178FD"/>
    <w:rsid w:val="00320C37"/>
    <w:rsid w:val="00320C84"/>
    <w:rsid w:val="003215CA"/>
    <w:rsid w:val="003221F5"/>
    <w:rsid w:val="00322505"/>
    <w:rsid w:val="00322686"/>
    <w:rsid w:val="003227C8"/>
    <w:rsid w:val="00322DF2"/>
    <w:rsid w:val="00323B44"/>
    <w:rsid w:val="0032415D"/>
    <w:rsid w:val="00324BFB"/>
    <w:rsid w:val="00324E6D"/>
    <w:rsid w:val="003255FF"/>
    <w:rsid w:val="00326141"/>
    <w:rsid w:val="0032695A"/>
    <w:rsid w:val="00326BDB"/>
    <w:rsid w:val="0032721B"/>
    <w:rsid w:val="003275A0"/>
    <w:rsid w:val="0033099F"/>
    <w:rsid w:val="0033126E"/>
    <w:rsid w:val="003312C3"/>
    <w:rsid w:val="00331D25"/>
    <w:rsid w:val="00332AEC"/>
    <w:rsid w:val="00332C29"/>
    <w:rsid w:val="00332F17"/>
    <w:rsid w:val="00333455"/>
    <w:rsid w:val="003337BF"/>
    <w:rsid w:val="00334002"/>
    <w:rsid w:val="0033447C"/>
    <w:rsid w:val="003351C3"/>
    <w:rsid w:val="00335B17"/>
    <w:rsid w:val="00335F5B"/>
    <w:rsid w:val="0033609C"/>
    <w:rsid w:val="00336233"/>
    <w:rsid w:val="0033640A"/>
    <w:rsid w:val="00336AFE"/>
    <w:rsid w:val="00336B52"/>
    <w:rsid w:val="00337055"/>
    <w:rsid w:val="00337476"/>
    <w:rsid w:val="00340995"/>
    <w:rsid w:val="00340BF5"/>
    <w:rsid w:val="00340FC4"/>
    <w:rsid w:val="0034104D"/>
    <w:rsid w:val="00343214"/>
    <w:rsid w:val="00343E06"/>
    <w:rsid w:val="003440DD"/>
    <w:rsid w:val="00344126"/>
    <w:rsid w:val="0034573F"/>
    <w:rsid w:val="00345D68"/>
    <w:rsid w:val="003460BD"/>
    <w:rsid w:val="00346AA4"/>
    <w:rsid w:val="00346E79"/>
    <w:rsid w:val="00347361"/>
    <w:rsid w:val="00347E6F"/>
    <w:rsid w:val="003506C7"/>
    <w:rsid w:val="00350CB5"/>
    <w:rsid w:val="00350DEE"/>
    <w:rsid w:val="00351362"/>
    <w:rsid w:val="00351F2E"/>
    <w:rsid w:val="00352492"/>
    <w:rsid w:val="00353972"/>
    <w:rsid w:val="00354A07"/>
    <w:rsid w:val="00354FFD"/>
    <w:rsid w:val="0035544D"/>
    <w:rsid w:val="00355AD6"/>
    <w:rsid w:val="00355FB3"/>
    <w:rsid w:val="00356A35"/>
    <w:rsid w:val="00356BE8"/>
    <w:rsid w:val="00356D33"/>
    <w:rsid w:val="003577C3"/>
    <w:rsid w:val="003604FA"/>
    <w:rsid w:val="0036166F"/>
    <w:rsid w:val="003616F1"/>
    <w:rsid w:val="003617E8"/>
    <w:rsid w:val="00361E20"/>
    <w:rsid w:val="00362456"/>
    <w:rsid w:val="00362E90"/>
    <w:rsid w:val="003638F6"/>
    <w:rsid w:val="00363BE8"/>
    <w:rsid w:val="00364674"/>
    <w:rsid w:val="00364740"/>
    <w:rsid w:val="00365ACC"/>
    <w:rsid w:val="00366352"/>
    <w:rsid w:val="00367088"/>
    <w:rsid w:val="00367090"/>
    <w:rsid w:val="00367216"/>
    <w:rsid w:val="00370127"/>
    <w:rsid w:val="003704F2"/>
    <w:rsid w:val="00370CA1"/>
    <w:rsid w:val="00370FF7"/>
    <w:rsid w:val="003711B9"/>
    <w:rsid w:val="003714C8"/>
    <w:rsid w:val="0037162C"/>
    <w:rsid w:val="00371CE5"/>
    <w:rsid w:val="00372286"/>
    <w:rsid w:val="00372B2F"/>
    <w:rsid w:val="003730E8"/>
    <w:rsid w:val="00373223"/>
    <w:rsid w:val="0037353E"/>
    <w:rsid w:val="00373E7C"/>
    <w:rsid w:val="00373FC7"/>
    <w:rsid w:val="00374054"/>
    <w:rsid w:val="0037473A"/>
    <w:rsid w:val="00375EF2"/>
    <w:rsid w:val="00375EF7"/>
    <w:rsid w:val="00375FAF"/>
    <w:rsid w:val="0037613E"/>
    <w:rsid w:val="00380D12"/>
    <w:rsid w:val="00381143"/>
    <w:rsid w:val="00381A80"/>
    <w:rsid w:val="00381AE7"/>
    <w:rsid w:val="00381C68"/>
    <w:rsid w:val="0038259C"/>
    <w:rsid w:val="00382629"/>
    <w:rsid w:val="00382783"/>
    <w:rsid w:val="003829D2"/>
    <w:rsid w:val="00382A41"/>
    <w:rsid w:val="00382B98"/>
    <w:rsid w:val="00383444"/>
    <w:rsid w:val="003834ED"/>
    <w:rsid w:val="00383558"/>
    <w:rsid w:val="003839A1"/>
    <w:rsid w:val="00383D21"/>
    <w:rsid w:val="00384258"/>
    <w:rsid w:val="00384768"/>
    <w:rsid w:val="003848AA"/>
    <w:rsid w:val="0038492F"/>
    <w:rsid w:val="003850E3"/>
    <w:rsid w:val="003853C4"/>
    <w:rsid w:val="00385538"/>
    <w:rsid w:val="00385D49"/>
    <w:rsid w:val="00385E6D"/>
    <w:rsid w:val="00386398"/>
    <w:rsid w:val="00386609"/>
    <w:rsid w:val="00387001"/>
    <w:rsid w:val="0038766F"/>
    <w:rsid w:val="00387671"/>
    <w:rsid w:val="00387A7C"/>
    <w:rsid w:val="0039098F"/>
    <w:rsid w:val="00390D71"/>
    <w:rsid w:val="0039162E"/>
    <w:rsid w:val="00392143"/>
    <w:rsid w:val="00393240"/>
    <w:rsid w:val="003934EE"/>
    <w:rsid w:val="00393AC9"/>
    <w:rsid w:val="00393B4B"/>
    <w:rsid w:val="00393E4A"/>
    <w:rsid w:val="00395189"/>
    <w:rsid w:val="0039539D"/>
    <w:rsid w:val="003954F4"/>
    <w:rsid w:val="0039581E"/>
    <w:rsid w:val="00395B4E"/>
    <w:rsid w:val="003962D0"/>
    <w:rsid w:val="00396527"/>
    <w:rsid w:val="00396C60"/>
    <w:rsid w:val="00396D6A"/>
    <w:rsid w:val="00397607"/>
    <w:rsid w:val="00397B42"/>
    <w:rsid w:val="003A08F2"/>
    <w:rsid w:val="003A0F2F"/>
    <w:rsid w:val="003A1419"/>
    <w:rsid w:val="003A1589"/>
    <w:rsid w:val="003A1701"/>
    <w:rsid w:val="003A1BBD"/>
    <w:rsid w:val="003A22A5"/>
    <w:rsid w:val="003A2FCA"/>
    <w:rsid w:val="003A35CC"/>
    <w:rsid w:val="003A3FF5"/>
    <w:rsid w:val="003A3FFC"/>
    <w:rsid w:val="003A4AEA"/>
    <w:rsid w:val="003A50F6"/>
    <w:rsid w:val="003A5B87"/>
    <w:rsid w:val="003A5BD6"/>
    <w:rsid w:val="003A6440"/>
    <w:rsid w:val="003A68EE"/>
    <w:rsid w:val="003A79C5"/>
    <w:rsid w:val="003A7F81"/>
    <w:rsid w:val="003B05D7"/>
    <w:rsid w:val="003B0F5E"/>
    <w:rsid w:val="003B0FFF"/>
    <w:rsid w:val="003B150E"/>
    <w:rsid w:val="003B151F"/>
    <w:rsid w:val="003B1A9A"/>
    <w:rsid w:val="003B2A3D"/>
    <w:rsid w:val="003B2E81"/>
    <w:rsid w:val="003B3037"/>
    <w:rsid w:val="003B3640"/>
    <w:rsid w:val="003B371C"/>
    <w:rsid w:val="003B3AD9"/>
    <w:rsid w:val="003B4045"/>
    <w:rsid w:val="003B4054"/>
    <w:rsid w:val="003B4690"/>
    <w:rsid w:val="003B4EB4"/>
    <w:rsid w:val="003B526C"/>
    <w:rsid w:val="003B5D65"/>
    <w:rsid w:val="003B5EA0"/>
    <w:rsid w:val="003B6E1B"/>
    <w:rsid w:val="003B7062"/>
    <w:rsid w:val="003B73EA"/>
    <w:rsid w:val="003B7446"/>
    <w:rsid w:val="003C0424"/>
    <w:rsid w:val="003C0A92"/>
    <w:rsid w:val="003C130C"/>
    <w:rsid w:val="003C155D"/>
    <w:rsid w:val="003C1C6D"/>
    <w:rsid w:val="003C1D3D"/>
    <w:rsid w:val="003C23B9"/>
    <w:rsid w:val="003C3076"/>
    <w:rsid w:val="003C333C"/>
    <w:rsid w:val="003C3358"/>
    <w:rsid w:val="003C38D8"/>
    <w:rsid w:val="003C461C"/>
    <w:rsid w:val="003C59A7"/>
    <w:rsid w:val="003C5DCF"/>
    <w:rsid w:val="003C61F4"/>
    <w:rsid w:val="003C63D5"/>
    <w:rsid w:val="003C65D1"/>
    <w:rsid w:val="003C69E8"/>
    <w:rsid w:val="003C6CBB"/>
    <w:rsid w:val="003C6CFF"/>
    <w:rsid w:val="003C708C"/>
    <w:rsid w:val="003C7857"/>
    <w:rsid w:val="003C7990"/>
    <w:rsid w:val="003C7CCF"/>
    <w:rsid w:val="003C7DCB"/>
    <w:rsid w:val="003C7E57"/>
    <w:rsid w:val="003D05A1"/>
    <w:rsid w:val="003D0677"/>
    <w:rsid w:val="003D13F3"/>
    <w:rsid w:val="003D16FE"/>
    <w:rsid w:val="003D1787"/>
    <w:rsid w:val="003D196B"/>
    <w:rsid w:val="003D1BA3"/>
    <w:rsid w:val="003D235B"/>
    <w:rsid w:val="003D2E55"/>
    <w:rsid w:val="003D312E"/>
    <w:rsid w:val="003D36DA"/>
    <w:rsid w:val="003D382D"/>
    <w:rsid w:val="003D3B49"/>
    <w:rsid w:val="003D3D42"/>
    <w:rsid w:val="003D3F84"/>
    <w:rsid w:val="003D4050"/>
    <w:rsid w:val="003D4483"/>
    <w:rsid w:val="003D44D3"/>
    <w:rsid w:val="003D4A98"/>
    <w:rsid w:val="003D4E83"/>
    <w:rsid w:val="003D4E8F"/>
    <w:rsid w:val="003D5262"/>
    <w:rsid w:val="003D5A14"/>
    <w:rsid w:val="003D5A29"/>
    <w:rsid w:val="003D5F44"/>
    <w:rsid w:val="003D7263"/>
    <w:rsid w:val="003D772F"/>
    <w:rsid w:val="003E0602"/>
    <w:rsid w:val="003E07E0"/>
    <w:rsid w:val="003E0AB1"/>
    <w:rsid w:val="003E0B35"/>
    <w:rsid w:val="003E1449"/>
    <w:rsid w:val="003E1669"/>
    <w:rsid w:val="003E176F"/>
    <w:rsid w:val="003E2BE7"/>
    <w:rsid w:val="003E2CA5"/>
    <w:rsid w:val="003E3C49"/>
    <w:rsid w:val="003E3D99"/>
    <w:rsid w:val="003E4831"/>
    <w:rsid w:val="003E566C"/>
    <w:rsid w:val="003E57DD"/>
    <w:rsid w:val="003E608F"/>
    <w:rsid w:val="003E6410"/>
    <w:rsid w:val="003E6699"/>
    <w:rsid w:val="003E6745"/>
    <w:rsid w:val="003E6794"/>
    <w:rsid w:val="003E6E21"/>
    <w:rsid w:val="003E788D"/>
    <w:rsid w:val="003E7AE5"/>
    <w:rsid w:val="003E7D84"/>
    <w:rsid w:val="003F028E"/>
    <w:rsid w:val="003F0A4B"/>
    <w:rsid w:val="003F1FCD"/>
    <w:rsid w:val="003F22C1"/>
    <w:rsid w:val="003F23C6"/>
    <w:rsid w:val="003F2978"/>
    <w:rsid w:val="003F2B5D"/>
    <w:rsid w:val="003F2CCC"/>
    <w:rsid w:val="003F30D3"/>
    <w:rsid w:val="003F314C"/>
    <w:rsid w:val="003F3660"/>
    <w:rsid w:val="003F3D3D"/>
    <w:rsid w:val="003F3D54"/>
    <w:rsid w:val="003F3E54"/>
    <w:rsid w:val="003F3F0E"/>
    <w:rsid w:val="003F40A5"/>
    <w:rsid w:val="003F4C1E"/>
    <w:rsid w:val="003F4DA2"/>
    <w:rsid w:val="003F6F25"/>
    <w:rsid w:val="003F776E"/>
    <w:rsid w:val="003F7BB4"/>
    <w:rsid w:val="004000C3"/>
    <w:rsid w:val="00400188"/>
    <w:rsid w:val="0040024B"/>
    <w:rsid w:val="00401844"/>
    <w:rsid w:val="00401E33"/>
    <w:rsid w:val="00401EB1"/>
    <w:rsid w:val="00401F7D"/>
    <w:rsid w:val="004033D5"/>
    <w:rsid w:val="0040418F"/>
    <w:rsid w:val="004041DB"/>
    <w:rsid w:val="00404291"/>
    <w:rsid w:val="004048F7"/>
    <w:rsid w:val="00404CAA"/>
    <w:rsid w:val="00405721"/>
    <w:rsid w:val="00406109"/>
    <w:rsid w:val="004062C4"/>
    <w:rsid w:val="00406723"/>
    <w:rsid w:val="004069F5"/>
    <w:rsid w:val="00406B77"/>
    <w:rsid w:val="00406C59"/>
    <w:rsid w:val="00406E8F"/>
    <w:rsid w:val="00407210"/>
    <w:rsid w:val="00407215"/>
    <w:rsid w:val="00407564"/>
    <w:rsid w:val="00407982"/>
    <w:rsid w:val="00407A92"/>
    <w:rsid w:val="00407E82"/>
    <w:rsid w:val="00410200"/>
    <w:rsid w:val="00410874"/>
    <w:rsid w:val="0041089E"/>
    <w:rsid w:val="00411204"/>
    <w:rsid w:val="004114BF"/>
    <w:rsid w:val="00411890"/>
    <w:rsid w:val="00411CDE"/>
    <w:rsid w:val="00411EB9"/>
    <w:rsid w:val="00412560"/>
    <w:rsid w:val="00412F88"/>
    <w:rsid w:val="004130AB"/>
    <w:rsid w:val="0041329E"/>
    <w:rsid w:val="00413F5D"/>
    <w:rsid w:val="004143AA"/>
    <w:rsid w:val="00414644"/>
    <w:rsid w:val="00414E41"/>
    <w:rsid w:val="0041543D"/>
    <w:rsid w:val="004155F0"/>
    <w:rsid w:val="00415A88"/>
    <w:rsid w:val="00415C5A"/>
    <w:rsid w:val="00416267"/>
    <w:rsid w:val="00417C0B"/>
    <w:rsid w:val="00420274"/>
    <w:rsid w:val="00420CF3"/>
    <w:rsid w:val="00421DCC"/>
    <w:rsid w:val="004220EB"/>
    <w:rsid w:val="00422ECC"/>
    <w:rsid w:val="00423343"/>
    <w:rsid w:val="00423E67"/>
    <w:rsid w:val="004257FB"/>
    <w:rsid w:val="00425932"/>
    <w:rsid w:val="00425C85"/>
    <w:rsid w:val="00425E0A"/>
    <w:rsid w:val="00425EB1"/>
    <w:rsid w:val="004274B0"/>
    <w:rsid w:val="004274D2"/>
    <w:rsid w:val="004278A5"/>
    <w:rsid w:val="00427D63"/>
    <w:rsid w:val="00427EF5"/>
    <w:rsid w:val="004300FF"/>
    <w:rsid w:val="00430653"/>
    <w:rsid w:val="004309F5"/>
    <w:rsid w:val="00431982"/>
    <w:rsid w:val="00431A74"/>
    <w:rsid w:val="00431BE0"/>
    <w:rsid w:val="004332AD"/>
    <w:rsid w:val="00433880"/>
    <w:rsid w:val="00433B4A"/>
    <w:rsid w:val="004341EE"/>
    <w:rsid w:val="004343AA"/>
    <w:rsid w:val="00434824"/>
    <w:rsid w:val="004348FC"/>
    <w:rsid w:val="004351F1"/>
    <w:rsid w:val="00435B8A"/>
    <w:rsid w:val="00435C7B"/>
    <w:rsid w:val="00435DC0"/>
    <w:rsid w:val="00436BC0"/>
    <w:rsid w:val="00437406"/>
    <w:rsid w:val="004374EC"/>
    <w:rsid w:val="00437D3D"/>
    <w:rsid w:val="0044106B"/>
    <w:rsid w:val="004411BC"/>
    <w:rsid w:val="00441984"/>
    <w:rsid w:val="004419C5"/>
    <w:rsid w:val="00441C9B"/>
    <w:rsid w:val="00441D0B"/>
    <w:rsid w:val="00442336"/>
    <w:rsid w:val="00442A44"/>
    <w:rsid w:val="004438A1"/>
    <w:rsid w:val="0044391F"/>
    <w:rsid w:val="00443D32"/>
    <w:rsid w:val="004441B4"/>
    <w:rsid w:val="00444464"/>
    <w:rsid w:val="00444997"/>
    <w:rsid w:val="00444C73"/>
    <w:rsid w:val="004450A0"/>
    <w:rsid w:val="00445218"/>
    <w:rsid w:val="004453EE"/>
    <w:rsid w:val="004453F2"/>
    <w:rsid w:val="0044540B"/>
    <w:rsid w:val="004455BC"/>
    <w:rsid w:val="00445614"/>
    <w:rsid w:val="00446571"/>
    <w:rsid w:val="004465AF"/>
    <w:rsid w:val="00446D37"/>
    <w:rsid w:val="00446F26"/>
    <w:rsid w:val="004470ED"/>
    <w:rsid w:val="004475D3"/>
    <w:rsid w:val="00447A43"/>
    <w:rsid w:val="004503E6"/>
    <w:rsid w:val="00450571"/>
    <w:rsid w:val="00450677"/>
    <w:rsid w:val="00450ADF"/>
    <w:rsid w:val="00450E90"/>
    <w:rsid w:val="004513D7"/>
    <w:rsid w:val="00451B84"/>
    <w:rsid w:val="00451F0A"/>
    <w:rsid w:val="00452911"/>
    <w:rsid w:val="00452C20"/>
    <w:rsid w:val="00453863"/>
    <w:rsid w:val="00453BB9"/>
    <w:rsid w:val="004540C4"/>
    <w:rsid w:val="00454129"/>
    <w:rsid w:val="00454C27"/>
    <w:rsid w:val="00454CA8"/>
    <w:rsid w:val="004554DE"/>
    <w:rsid w:val="00455E8D"/>
    <w:rsid w:val="004564C8"/>
    <w:rsid w:val="004567FB"/>
    <w:rsid w:val="00456C31"/>
    <w:rsid w:val="00456DE8"/>
    <w:rsid w:val="00457AC2"/>
    <w:rsid w:val="00457C29"/>
    <w:rsid w:val="00460B15"/>
    <w:rsid w:val="00460F51"/>
    <w:rsid w:val="0046100C"/>
    <w:rsid w:val="00461500"/>
    <w:rsid w:val="00462697"/>
    <w:rsid w:val="00462773"/>
    <w:rsid w:val="00464535"/>
    <w:rsid w:val="00464A26"/>
    <w:rsid w:val="00464A3D"/>
    <w:rsid w:val="00465971"/>
    <w:rsid w:val="00465A01"/>
    <w:rsid w:val="004661A8"/>
    <w:rsid w:val="00467959"/>
    <w:rsid w:val="00467EFA"/>
    <w:rsid w:val="00470566"/>
    <w:rsid w:val="00470C6A"/>
    <w:rsid w:val="00470F97"/>
    <w:rsid w:val="004711E1"/>
    <w:rsid w:val="00471221"/>
    <w:rsid w:val="00471997"/>
    <w:rsid w:val="004722B2"/>
    <w:rsid w:val="0047231F"/>
    <w:rsid w:val="0047259C"/>
    <w:rsid w:val="00472717"/>
    <w:rsid w:val="00473585"/>
    <w:rsid w:val="00473B09"/>
    <w:rsid w:val="00473C0C"/>
    <w:rsid w:val="00474310"/>
    <w:rsid w:val="0047431C"/>
    <w:rsid w:val="00474769"/>
    <w:rsid w:val="00474BEE"/>
    <w:rsid w:val="00475596"/>
    <w:rsid w:val="00475C7B"/>
    <w:rsid w:val="00475C90"/>
    <w:rsid w:val="00476183"/>
    <w:rsid w:val="0047631D"/>
    <w:rsid w:val="004771D4"/>
    <w:rsid w:val="00477C9A"/>
    <w:rsid w:val="00477FDE"/>
    <w:rsid w:val="0048045F"/>
    <w:rsid w:val="00480AEC"/>
    <w:rsid w:val="00480F1B"/>
    <w:rsid w:val="004810D2"/>
    <w:rsid w:val="00482696"/>
    <w:rsid w:val="0048387B"/>
    <w:rsid w:val="0048491F"/>
    <w:rsid w:val="00484B51"/>
    <w:rsid w:val="00484E99"/>
    <w:rsid w:val="004911CE"/>
    <w:rsid w:val="0049214F"/>
    <w:rsid w:val="00492D63"/>
    <w:rsid w:val="00492F10"/>
    <w:rsid w:val="004932F5"/>
    <w:rsid w:val="00494324"/>
    <w:rsid w:val="004945C5"/>
    <w:rsid w:val="00494765"/>
    <w:rsid w:val="00494831"/>
    <w:rsid w:val="00494E9B"/>
    <w:rsid w:val="00494FAF"/>
    <w:rsid w:val="004952FD"/>
    <w:rsid w:val="00496F9A"/>
    <w:rsid w:val="00497CD7"/>
    <w:rsid w:val="004A0191"/>
    <w:rsid w:val="004A03F9"/>
    <w:rsid w:val="004A1418"/>
    <w:rsid w:val="004A1B5A"/>
    <w:rsid w:val="004A231D"/>
    <w:rsid w:val="004A238B"/>
    <w:rsid w:val="004A2557"/>
    <w:rsid w:val="004A25E4"/>
    <w:rsid w:val="004A26BA"/>
    <w:rsid w:val="004A2ACF"/>
    <w:rsid w:val="004A3D50"/>
    <w:rsid w:val="004A4881"/>
    <w:rsid w:val="004A495F"/>
    <w:rsid w:val="004A6724"/>
    <w:rsid w:val="004A690D"/>
    <w:rsid w:val="004A6EC3"/>
    <w:rsid w:val="004A7284"/>
    <w:rsid w:val="004A7432"/>
    <w:rsid w:val="004B07D4"/>
    <w:rsid w:val="004B14B1"/>
    <w:rsid w:val="004B164B"/>
    <w:rsid w:val="004B1930"/>
    <w:rsid w:val="004B1A0B"/>
    <w:rsid w:val="004B1E43"/>
    <w:rsid w:val="004B1EDE"/>
    <w:rsid w:val="004B1F31"/>
    <w:rsid w:val="004B212B"/>
    <w:rsid w:val="004B258F"/>
    <w:rsid w:val="004B333F"/>
    <w:rsid w:val="004B400D"/>
    <w:rsid w:val="004B4876"/>
    <w:rsid w:val="004B4980"/>
    <w:rsid w:val="004B4E19"/>
    <w:rsid w:val="004B559A"/>
    <w:rsid w:val="004B5BF7"/>
    <w:rsid w:val="004B6A39"/>
    <w:rsid w:val="004B7513"/>
    <w:rsid w:val="004B78AF"/>
    <w:rsid w:val="004C02B9"/>
    <w:rsid w:val="004C08CA"/>
    <w:rsid w:val="004C10CB"/>
    <w:rsid w:val="004C149C"/>
    <w:rsid w:val="004C15DA"/>
    <w:rsid w:val="004C2107"/>
    <w:rsid w:val="004C22E0"/>
    <w:rsid w:val="004C28DE"/>
    <w:rsid w:val="004C34B6"/>
    <w:rsid w:val="004C39B4"/>
    <w:rsid w:val="004C3C95"/>
    <w:rsid w:val="004C3F52"/>
    <w:rsid w:val="004C42E3"/>
    <w:rsid w:val="004C47E5"/>
    <w:rsid w:val="004C4811"/>
    <w:rsid w:val="004C4923"/>
    <w:rsid w:val="004C50A6"/>
    <w:rsid w:val="004C5388"/>
    <w:rsid w:val="004C5785"/>
    <w:rsid w:val="004C5C8D"/>
    <w:rsid w:val="004C5CDA"/>
    <w:rsid w:val="004C74F2"/>
    <w:rsid w:val="004C793E"/>
    <w:rsid w:val="004C7C27"/>
    <w:rsid w:val="004C7D15"/>
    <w:rsid w:val="004C7F87"/>
    <w:rsid w:val="004D0386"/>
    <w:rsid w:val="004D0931"/>
    <w:rsid w:val="004D0BE1"/>
    <w:rsid w:val="004D1858"/>
    <w:rsid w:val="004D3C89"/>
    <w:rsid w:val="004D48DB"/>
    <w:rsid w:val="004D4BD7"/>
    <w:rsid w:val="004D501E"/>
    <w:rsid w:val="004D5300"/>
    <w:rsid w:val="004D53B0"/>
    <w:rsid w:val="004D5776"/>
    <w:rsid w:val="004D5801"/>
    <w:rsid w:val="004D5930"/>
    <w:rsid w:val="004D5C7B"/>
    <w:rsid w:val="004D61DA"/>
    <w:rsid w:val="004D6478"/>
    <w:rsid w:val="004D6D54"/>
    <w:rsid w:val="004E11F1"/>
    <w:rsid w:val="004E1387"/>
    <w:rsid w:val="004E1A02"/>
    <w:rsid w:val="004E1F32"/>
    <w:rsid w:val="004E2440"/>
    <w:rsid w:val="004E2633"/>
    <w:rsid w:val="004E2C29"/>
    <w:rsid w:val="004E30CB"/>
    <w:rsid w:val="004E3AD6"/>
    <w:rsid w:val="004E3FD4"/>
    <w:rsid w:val="004E4324"/>
    <w:rsid w:val="004E4657"/>
    <w:rsid w:val="004E4B3E"/>
    <w:rsid w:val="004E58BF"/>
    <w:rsid w:val="004E5971"/>
    <w:rsid w:val="004E6F4C"/>
    <w:rsid w:val="004E7CF5"/>
    <w:rsid w:val="004F0EE5"/>
    <w:rsid w:val="004F1116"/>
    <w:rsid w:val="004F14DA"/>
    <w:rsid w:val="004F1A8A"/>
    <w:rsid w:val="004F213E"/>
    <w:rsid w:val="004F3616"/>
    <w:rsid w:val="004F471C"/>
    <w:rsid w:val="004F67E4"/>
    <w:rsid w:val="004F6B79"/>
    <w:rsid w:val="004F7608"/>
    <w:rsid w:val="004F7725"/>
    <w:rsid w:val="004F7B54"/>
    <w:rsid w:val="0050026B"/>
    <w:rsid w:val="005007C5"/>
    <w:rsid w:val="005011DB"/>
    <w:rsid w:val="0050127E"/>
    <w:rsid w:val="0050182F"/>
    <w:rsid w:val="00501874"/>
    <w:rsid w:val="00501F3E"/>
    <w:rsid w:val="00502049"/>
    <w:rsid w:val="00502105"/>
    <w:rsid w:val="00502F6D"/>
    <w:rsid w:val="00503569"/>
    <w:rsid w:val="00503849"/>
    <w:rsid w:val="00503B70"/>
    <w:rsid w:val="00504068"/>
    <w:rsid w:val="005049A8"/>
    <w:rsid w:val="00504CAA"/>
    <w:rsid w:val="00504DAD"/>
    <w:rsid w:val="00505E6F"/>
    <w:rsid w:val="0050673B"/>
    <w:rsid w:val="005069A4"/>
    <w:rsid w:val="00506B14"/>
    <w:rsid w:val="00506D65"/>
    <w:rsid w:val="00507B38"/>
    <w:rsid w:val="00507BD2"/>
    <w:rsid w:val="00510073"/>
    <w:rsid w:val="00510244"/>
    <w:rsid w:val="0051028C"/>
    <w:rsid w:val="00510527"/>
    <w:rsid w:val="00510A66"/>
    <w:rsid w:val="00510AE4"/>
    <w:rsid w:val="005112DB"/>
    <w:rsid w:val="00511348"/>
    <w:rsid w:val="005114CD"/>
    <w:rsid w:val="0051155F"/>
    <w:rsid w:val="005118C8"/>
    <w:rsid w:val="00512008"/>
    <w:rsid w:val="00513237"/>
    <w:rsid w:val="00513CA0"/>
    <w:rsid w:val="00514BE0"/>
    <w:rsid w:val="005156B2"/>
    <w:rsid w:val="00516161"/>
    <w:rsid w:val="0051643D"/>
    <w:rsid w:val="00516717"/>
    <w:rsid w:val="00516A5A"/>
    <w:rsid w:val="00516BE3"/>
    <w:rsid w:val="005177F0"/>
    <w:rsid w:val="00517F71"/>
    <w:rsid w:val="00520171"/>
    <w:rsid w:val="00520419"/>
    <w:rsid w:val="005211CD"/>
    <w:rsid w:val="005222C2"/>
    <w:rsid w:val="0052269D"/>
    <w:rsid w:val="0052317F"/>
    <w:rsid w:val="00523994"/>
    <w:rsid w:val="005239BF"/>
    <w:rsid w:val="00523A9A"/>
    <w:rsid w:val="00523B47"/>
    <w:rsid w:val="0052485B"/>
    <w:rsid w:val="00524EEB"/>
    <w:rsid w:val="00525043"/>
    <w:rsid w:val="00525288"/>
    <w:rsid w:val="005258B1"/>
    <w:rsid w:val="00525F0B"/>
    <w:rsid w:val="00525FEE"/>
    <w:rsid w:val="0052626E"/>
    <w:rsid w:val="005263DC"/>
    <w:rsid w:val="005269D2"/>
    <w:rsid w:val="00526D7D"/>
    <w:rsid w:val="0052746C"/>
    <w:rsid w:val="005308DC"/>
    <w:rsid w:val="00530C05"/>
    <w:rsid w:val="00531A7A"/>
    <w:rsid w:val="00531C29"/>
    <w:rsid w:val="00532B2D"/>
    <w:rsid w:val="00532EDB"/>
    <w:rsid w:val="00532F50"/>
    <w:rsid w:val="00535132"/>
    <w:rsid w:val="00535804"/>
    <w:rsid w:val="00535CF6"/>
    <w:rsid w:val="00536895"/>
    <w:rsid w:val="00536CB1"/>
    <w:rsid w:val="0053722E"/>
    <w:rsid w:val="0054058D"/>
    <w:rsid w:val="005405F9"/>
    <w:rsid w:val="00540F3C"/>
    <w:rsid w:val="00541991"/>
    <w:rsid w:val="00541A35"/>
    <w:rsid w:val="0054260F"/>
    <w:rsid w:val="00542A96"/>
    <w:rsid w:val="005431DB"/>
    <w:rsid w:val="005432D6"/>
    <w:rsid w:val="00543411"/>
    <w:rsid w:val="00543AB2"/>
    <w:rsid w:val="0054421E"/>
    <w:rsid w:val="0054457B"/>
    <w:rsid w:val="00544605"/>
    <w:rsid w:val="005452DA"/>
    <w:rsid w:val="00546864"/>
    <w:rsid w:val="00546BBB"/>
    <w:rsid w:val="00547F88"/>
    <w:rsid w:val="00550275"/>
    <w:rsid w:val="00550712"/>
    <w:rsid w:val="00551642"/>
    <w:rsid w:val="00552E28"/>
    <w:rsid w:val="005530FC"/>
    <w:rsid w:val="00553130"/>
    <w:rsid w:val="0055327C"/>
    <w:rsid w:val="005532E1"/>
    <w:rsid w:val="005538DD"/>
    <w:rsid w:val="00553B00"/>
    <w:rsid w:val="005545E5"/>
    <w:rsid w:val="00554C2C"/>
    <w:rsid w:val="00554F32"/>
    <w:rsid w:val="00555079"/>
    <w:rsid w:val="00555B90"/>
    <w:rsid w:val="0055600F"/>
    <w:rsid w:val="00556CF2"/>
    <w:rsid w:val="00556E2F"/>
    <w:rsid w:val="00556E7C"/>
    <w:rsid w:val="005572F3"/>
    <w:rsid w:val="00560196"/>
    <w:rsid w:val="00560453"/>
    <w:rsid w:val="005604E2"/>
    <w:rsid w:val="00560CBD"/>
    <w:rsid w:val="00560F1B"/>
    <w:rsid w:val="00560FE7"/>
    <w:rsid w:val="005624F7"/>
    <w:rsid w:val="00562919"/>
    <w:rsid w:val="005629FE"/>
    <w:rsid w:val="005633B9"/>
    <w:rsid w:val="00563E88"/>
    <w:rsid w:val="00564015"/>
    <w:rsid w:val="00564190"/>
    <w:rsid w:val="00564569"/>
    <w:rsid w:val="00564D47"/>
    <w:rsid w:val="00565776"/>
    <w:rsid w:val="0056593C"/>
    <w:rsid w:val="0056622F"/>
    <w:rsid w:val="00566C5A"/>
    <w:rsid w:val="005670E5"/>
    <w:rsid w:val="0056748B"/>
    <w:rsid w:val="0056748F"/>
    <w:rsid w:val="00567B83"/>
    <w:rsid w:val="00567C21"/>
    <w:rsid w:val="00567D22"/>
    <w:rsid w:val="00567E09"/>
    <w:rsid w:val="00570060"/>
    <w:rsid w:val="0057009F"/>
    <w:rsid w:val="005702F5"/>
    <w:rsid w:val="0057039E"/>
    <w:rsid w:val="00570789"/>
    <w:rsid w:val="005709C7"/>
    <w:rsid w:val="0057103B"/>
    <w:rsid w:val="005711B1"/>
    <w:rsid w:val="0057163B"/>
    <w:rsid w:val="00572139"/>
    <w:rsid w:val="005722C9"/>
    <w:rsid w:val="00572397"/>
    <w:rsid w:val="005727F0"/>
    <w:rsid w:val="0057324A"/>
    <w:rsid w:val="00573750"/>
    <w:rsid w:val="00573B55"/>
    <w:rsid w:val="00574254"/>
    <w:rsid w:val="00574A7D"/>
    <w:rsid w:val="005751BF"/>
    <w:rsid w:val="0057564E"/>
    <w:rsid w:val="00575E79"/>
    <w:rsid w:val="005772BA"/>
    <w:rsid w:val="0057751F"/>
    <w:rsid w:val="0057784C"/>
    <w:rsid w:val="005805FA"/>
    <w:rsid w:val="00580E2E"/>
    <w:rsid w:val="00581090"/>
    <w:rsid w:val="00582514"/>
    <w:rsid w:val="00582680"/>
    <w:rsid w:val="00582EFA"/>
    <w:rsid w:val="00583B0C"/>
    <w:rsid w:val="0058414F"/>
    <w:rsid w:val="00585329"/>
    <w:rsid w:val="00585474"/>
    <w:rsid w:val="00585606"/>
    <w:rsid w:val="005867C8"/>
    <w:rsid w:val="00587261"/>
    <w:rsid w:val="00587349"/>
    <w:rsid w:val="00587913"/>
    <w:rsid w:val="0059124E"/>
    <w:rsid w:val="00591873"/>
    <w:rsid w:val="00592122"/>
    <w:rsid w:val="005921A9"/>
    <w:rsid w:val="0059237E"/>
    <w:rsid w:val="00592A19"/>
    <w:rsid w:val="005932DF"/>
    <w:rsid w:val="00593664"/>
    <w:rsid w:val="0059415D"/>
    <w:rsid w:val="00594230"/>
    <w:rsid w:val="00594439"/>
    <w:rsid w:val="00594811"/>
    <w:rsid w:val="005952C6"/>
    <w:rsid w:val="00595499"/>
    <w:rsid w:val="00595729"/>
    <w:rsid w:val="00596707"/>
    <w:rsid w:val="00596F38"/>
    <w:rsid w:val="005970E7"/>
    <w:rsid w:val="005972B8"/>
    <w:rsid w:val="00597C78"/>
    <w:rsid w:val="00597C7F"/>
    <w:rsid w:val="005A0B58"/>
    <w:rsid w:val="005A10B3"/>
    <w:rsid w:val="005A1916"/>
    <w:rsid w:val="005A26D0"/>
    <w:rsid w:val="005A2E3B"/>
    <w:rsid w:val="005A301C"/>
    <w:rsid w:val="005A3DBB"/>
    <w:rsid w:val="005A45EA"/>
    <w:rsid w:val="005A4E00"/>
    <w:rsid w:val="005A50EE"/>
    <w:rsid w:val="005A6850"/>
    <w:rsid w:val="005A6AD8"/>
    <w:rsid w:val="005A6C5B"/>
    <w:rsid w:val="005A741C"/>
    <w:rsid w:val="005B04B6"/>
    <w:rsid w:val="005B0D0B"/>
    <w:rsid w:val="005B0D1E"/>
    <w:rsid w:val="005B0EC4"/>
    <w:rsid w:val="005B1FF3"/>
    <w:rsid w:val="005B2510"/>
    <w:rsid w:val="005B25F9"/>
    <w:rsid w:val="005B31FB"/>
    <w:rsid w:val="005B324B"/>
    <w:rsid w:val="005B32A1"/>
    <w:rsid w:val="005B3D32"/>
    <w:rsid w:val="005B3FF7"/>
    <w:rsid w:val="005B4844"/>
    <w:rsid w:val="005B50F8"/>
    <w:rsid w:val="005B51DC"/>
    <w:rsid w:val="005B5339"/>
    <w:rsid w:val="005B584B"/>
    <w:rsid w:val="005B5863"/>
    <w:rsid w:val="005B6B55"/>
    <w:rsid w:val="005B767E"/>
    <w:rsid w:val="005B796B"/>
    <w:rsid w:val="005B7BDC"/>
    <w:rsid w:val="005B7CEB"/>
    <w:rsid w:val="005C0185"/>
    <w:rsid w:val="005C082E"/>
    <w:rsid w:val="005C1380"/>
    <w:rsid w:val="005C200F"/>
    <w:rsid w:val="005C21F1"/>
    <w:rsid w:val="005C2331"/>
    <w:rsid w:val="005C26B5"/>
    <w:rsid w:val="005C49D2"/>
    <w:rsid w:val="005C49E1"/>
    <w:rsid w:val="005C4D05"/>
    <w:rsid w:val="005C4E69"/>
    <w:rsid w:val="005C4E99"/>
    <w:rsid w:val="005C52D7"/>
    <w:rsid w:val="005C5385"/>
    <w:rsid w:val="005C6228"/>
    <w:rsid w:val="005C6F84"/>
    <w:rsid w:val="005C732B"/>
    <w:rsid w:val="005C7425"/>
    <w:rsid w:val="005C77CD"/>
    <w:rsid w:val="005C7AD8"/>
    <w:rsid w:val="005C7B68"/>
    <w:rsid w:val="005C7C69"/>
    <w:rsid w:val="005D0E69"/>
    <w:rsid w:val="005D17CC"/>
    <w:rsid w:val="005D1A4B"/>
    <w:rsid w:val="005D33B3"/>
    <w:rsid w:val="005D3988"/>
    <w:rsid w:val="005D3AA4"/>
    <w:rsid w:val="005D3D81"/>
    <w:rsid w:val="005D438F"/>
    <w:rsid w:val="005D4B6B"/>
    <w:rsid w:val="005D58B3"/>
    <w:rsid w:val="005D63CF"/>
    <w:rsid w:val="005D67D9"/>
    <w:rsid w:val="005D6899"/>
    <w:rsid w:val="005D68C0"/>
    <w:rsid w:val="005D6E4F"/>
    <w:rsid w:val="005D7049"/>
    <w:rsid w:val="005D71B4"/>
    <w:rsid w:val="005E03AE"/>
    <w:rsid w:val="005E0DA0"/>
    <w:rsid w:val="005E0F68"/>
    <w:rsid w:val="005E1728"/>
    <w:rsid w:val="005E1AC6"/>
    <w:rsid w:val="005E1DE5"/>
    <w:rsid w:val="005E24DB"/>
    <w:rsid w:val="005E2669"/>
    <w:rsid w:val="005E2C6B"/>
    <w:rsid w:val="005E3BD6"/>
    <w:rsid w:val="005E3C4B"/>
    <w:rsid w:val="005E3F14"/>
    <w:rsid w:val="005E3FAF"/>
    <w:rsid w:val="005E44B8"/>
    <w:rsid w:val="005E5282"/>
    <w:rsid w:val="005E5DD8"/>
    <w:rsid w:val="005E6189"/>
    <w:rsid w:val="005E6326"/>
    <w:rsid w:val="005E6499"/>
    <w:rsid w:val="005E67D7"/>
    <w:rsid w:val="005E6DBF"/>
    <w:rsid w:val="005E6FE6"/>
    <w:rsid w:val="005E79EC"/>
    <w:rsid w:val="005F0452"/>
    <w:rsid w:val="005F062F"/>
    <w:rsid w:val="005F118B"/>
    <w:rsid w:val="005F1557"/>
    <w:rsid w:val="005F1F5D"/>
    <w:rsid w:val="005F2A81"/>
    <w:rsid w:val="005F2D95"/>
    <w:rsid w:val="005F3298"/>
    <w:rsid w:val="005F375D"/>
    <w:rsid w:val="005F4C07"/>
    <w:rsid w:val="005F54DB"/>
    <w:rsid w:val="005F5820"/>
    <w:rsid w:val="005F5AD3"/>
    <w:rsid w:val="005F6163"/>
    <w:rsid w:val="005F6427"/>
    <w:rsid w:val="005F762A"/>
    <w:rsid w:val="005F7C0D"/>
    <w:rsid w:val="005F7C10"/>
    <w:rsid w:val="006004B0"/>
    <w:rsid w:val="00600680"/>
    <w:rsid w:val="00600C50"/>
    <w:rsid w:val="006010CD"/>
    <w:rsid w:val="00601184"/>
    <w:rsid w:val="00601D9B"/>
    <w:rsid w:val="00602355"/>
    <w:rsid w:val="00602B03"/>
    <w:rsid w:val="00603017"/>
    <w:rsid w:val="00604AF4"/>
    <w:rsid w:val="00604EE1"/>
    <w:rsid w:val="006054CF"/>
    <w:rsid w:val="00605558"/>
    <w:rsid w:val="00606088"/>
    <w:rsid w:val="006060C5"/>
    <w:rsid w:val="006061F5"/>
    <w:rsid w:val="00606FB5"/>
    <w:rsid w:val="00607611"/>
    <w:rsid w:val="006118CA"/>
    <w:rsid w:val="00612062"/>
    <w:rsid w:val="00612125"/>
    <w:rsid w:val="00612C9F"/>
    <w:rsid w:val="0061490D"/>
    <w:rsid w:val="00616074"/>
    <w:rsid w:val="00616A56"/>
    <w:rsid w:val="00616B0C"/>
    <w:rsid w:val="00616B9D"/>
    <w:rsid w:val="00616CA7"/>
    <w:rsid w:val="00617002"/>
    <w:rsid w:val="006173E9"/>
    <w:rsid w:val="00617DFB"/>
    <w:rsid w:val="00620142"/>
    <w:rsid w:val="0062082B"/>
    <w:rsid w:val="0062092E"/>
    <w:rsid w:val="00621252"/>
    <w:rsid w:val="0062218B"/>
    <w:rsid w:val="00623311"/>
    <w:rsid w:val="00624AE8"/>
    <w:rsid w:val="00624D5D"/>
    <w:rsid w:val="00625C18"/>
    <w:rsid w:val="00625E33"/>
    <w:rsid w:val="00625FF0"/>
    <w:rsid w:val="006260A3"/>
    <w:rsid w:val="00626554"/>
    <w:rsid w:val="00626D9E"/>
    <w:rsid w:val="00627AAC"/>
    <w:rsid w:val="00627EA6"/>
    <w:rsid w:val="00630215"/>
    <w:rsid w:val="00630256"/>
    <w:rsid w:val="006311FA"/>
    <w:rsid w:val="00631C57"/>
    <w:rsid w:val="00632495"/>
    <w:rsid w:val="00632C4E"/>
    <w:rsid w:val="00633034"/>
    <w:rsid w:val="006333FF"/>
    <w:rsid w:val="006339D7"/>
    <w:rsid w:val="00634E3C"/>
    <w:rsid w:val="00635C92"/>
    <w:rsid w:val="00635CA9"/>
    <w:rsid w:val="0063674C"/>
    <w:rsid w:val="006371E7"/>
    <w:rsid w:val="006372E4"/>
    <w:rsid w:val="0063754B"/>
    <w:rsid w:val="006376EE"/>
    <w:rsid w:val="00637D57"/>
    <w:rsid w:val="0064098D"/>
    <w:rsid w:val="00642C1F"/>
    <w:rsid w:val="00642C76"/>
    <w:rsid w:val="00643682"/>
    <w:rsid w:val="00644070"/>
    <w:rsid w:val="006451EB"/>
    <w:rsid w:val="00647183"/>
    <w:rsid w:val="006478CF"/>
    <w:rsid w:val="00647D00"/>
    <w:rsid w:val="00647DD6"/>
    <w:rsid w:val="00650757"/>
    <w:rsid w:val="00650887"/>
    <w:rsid w:val="00651202"/>
    <w:rsid w:val="006515A0"/>
    <w:rsid w:val="006515E4"/>
    <w:rsid w:val="00651B7D"/>
    <w:rsid w:val="006537F6"/>
    <w:rsid w:val="006547CF"/>
    <w:rsid w:val="00654F94"/>
    <w:rsid w:val="006552BF"/>
    <w:rsid w:val="00655510"/>
    <w:rsid w:val="006556F3"/>
    <w:rsid w:val="0065575B"/>
    <w:rsid w:val="0065583F"/>
    <w:rsid w:val="006565AA"/>
    <w:rsid w:val="006567FF"/>
    <w:rsid w:val="00657115"/>
    <w:rsid w:val="0065715F"/>
    <w:rsid w:val="006573C7"/>
    <w:rsid w:val="00657AD7"/>
    <w:rsid w:val="00657BBA"/>
    <w:rsid w:val="00657F9D"/>
    <w:rsid w:val="00660031"/>
    <w:rsid w:val="00660605"/>
    <w:rsid w:val="0066074B"/>
    <w:rsid w:val="0066086E"/>
    <w:rsid w:val="00660E77"/>
    <w:rsid w:val="00661F09"/>
    <w:rsid w:val="00662057"/>
    <w:rsid w:val="00662248"/>
    <w:rsid w:val="0066227D"/>
    <w:rsid w:val="006622A7"/>
    <w:rsid w:val="00662991"/>
    <w:rsid w:val="00662E42"/>
    <w:rsid w:val="0066320A"/>
    <w:rsid w:val="006635C6"/>
    <w:rsid w:val="006642B8"/>
    <w:rsid w:val="00664617"/>
    <w:rsid w:val="00664B01"/>
    <w:rsid w:val="0066508C"/>
    <w:rsid w:val="006651C5"/>
    <w:rsid w:val="00665A75"/>
    <w:rsid w:val="00665CD5"/>
    <w:rsid w:val="00665D64"/>
    <w:rsid w:val="00665EB4"/>
    <w:rsid w:val="00666826"/>
    <w:rsid w:val="00667001"/>
    <w:rsid w:val="00667DBD"/>
    <w:rsid w:val="00670A43"/>
    <w:rsid w:val="00670A62"/>
    <w:rsid w:val="00670D77"/>
    <w:rsid w:val="0067263F"/>
    <w:rsid w:val="00672AF2"/>
    <w:rsid w:val="00672F19"/>
    <w:rsid w:val="00673296"/>
    <w:rsid w:val="00673F63"/>
    <w:rsid w:val="0067445A"/>
    <w:rsid w:val="006747F1"/>
    <w:rsid w:val="00674F00"/>
    <w:rsid w:val="006756C2"/>
    <w:rsid w:val="00675764"/>
    <w:rsid w:val="00675CFD"/>
    <w:rsid w:val="00676007"/>
    <w:rsid w:val="006765F3"/>
    <w:rsid w:val="00676E76"/>
    <w:rsid w:val="00677537"/>
    <w:rsid w:val="00677A02"/>
    <w:rsid w:val="00677DEA"/>
    <w:rsid w:val="006800C1"/>
    <w:rsid w:val="0068028B"/>
    <w:rsid w:val="00680D5B"/>
    <w:rsid w:val="006819F5"/>
    <w:rsid w:val="00682A9F"/>
    <w:rsid w:val="00682F88"/>
    <w:rsid w:val="00683125"/>
    <w:rsid w:val="0068472F"/>
    <w:rsid w:val="00684ED5"/>
    <w:rsid w:val="006855B0"/>
    <w:rsid w:val="00686257"/>
    <w:rsid w:val="00686E31"/>
    <w:rsid w:val="00687842"/>
    <w:rsid w:val="00687E05"/>
    <w:rsid w:val="006902B9"/>
    <w:rsid w:val="00690AFF"/>
    <w:rsid w:val="00691176"/>
    <w:rsid w:val="00691A42"/>
    <w:rsid w:val="00691FA7"/>
    <w:rsid w:val="006923DB"/>
    <w:rsid w:val="006930CA"/>
    <w:rsid w:val="0069326B"/>
    <w:rsid w:val="0069359C"/>
    <w:rsid w:val="006942EF"/>
    <w:rsid w:val="00694F9A"/>
    <w:rsid w:val="006950A7"/>
    <w:rsid w:val="006952D0"/>
    <w:rsid w:val="006953DB"/>
    <w:rsid w:val="006955D3"/>
    <w:rsid w:val="00695930"/>
    <w:rsid w:val="00695A98"/>
    <w:rsid w:val="00696714"/>
    <w:rsid w:val="00696748"/>
    <w:rsid w:val="0069679B"/>
    <w:rsid w:val="00696E23"/>
    <w:rsid w:val="006A07E7"/>
    <w:rsid w:val="006A0DBD"/>
    <w:rsid w:val="006A0EED"/>
    <w:rsid w:val="006A2246"/>
    <w:rsid w:val="006A23B8"/>
    <w:rsid w:val="006A2975"/>
    <w:rsid w:val="006A2F2F"/>
    <w:rsid w:val="006A3123"/>
    <w:rsid w:val="006A3243"/>
    <w:rsid w:val="006A325B"/>
    <w:rsid w:val="006A34D8"/>
    <w:rsid w:val="006A43CC"/>
    <w:rsid w:val="006A4E42"/>
    <w:rsid w:val="006A53C1"/>
    <w:rsid w:val="006A61B2"/>
    <w:rsid w:val="006A70BF"/>
    <w:rsid w:val="006A7137"/>
    <w:rsid w:val="006B08D8"/>
    <w:rsid w:val="006B126F"/>
    <w:rsid w:val="006B1728"/>
    <w:rsid w:val="006B17ED"/>
    <w:rsid w:val="006B1DF0"/>
    <w:rsid w:val="006B2A11"/>
    <w:rsid w:val="006B2A1C"/>
    <w:rsid w:val="006B3010"/>
    <w:rsid w:val="006B383F"/>
    <w:rsid w:val="006B3AA1"/>
    <w:rsid w:val="006B3DAD"/>
    <w:rsid w:val="006B41EF"/>
    <w:rsid w:val="006B4569"/>
    <w:rsid w:val="006B4BA6"/>
    <w:rsid w:val="006B5297"/>
    <w:rsid w:val="006B55D6"/>
    <w:rsid w:val="006B5602"/>
    <w:rsid w:val="006B5782"/>
    <w:rsid w:val="006B57C1"/>
    <w:rsid w:val="006B610A"/>
    <w:rsid w:val="006B6B54"/>
    <w:rsid w:val="006B74C1"/>
    <w:rsid w:val="006B75AF"/>
    <w:rsid w:val="006B77B8"/>
    <w:rsid w:val="006B78E3"/>
    <w:rsid w:val="006B7C3D"/>
    <w:rsid w:val="006C06A9"/>
    <w:rsid w:val="006C07F9"/>
    <w:rsid w:val="006C0EF8"/>
    <w:rsid w:val="006C1135"/>
    <w:rsid w:val="006C1176"/>
    <w:rsid w:val="006C2551"/>
    <w:rsid w:val="006C2A0F"/>
    <w:rsid w:val="006C2A81"/>
    <w:rsid w:val="006C31CC"/>
    <w:rsid w:val="006C47BD"/>
    <w:rsid w:val="006C5532"/>
    <w:rsid w:val="006C5B7B"/>
    <w:rsid w:val="006C65EF"/>
    <w:rsid w:val="006C6EEC"/>
    <w:rsid w:val="006D028C"/>
    <w:rsid w:val="006D187D"/>
    <w:rsid w:val="006D2977"/>
    <w:rsid w:val="006D2D13"/>
    <w:rsid w:val="006D2DBB"/>
    <w:rsid w:val="006D3BC5"/>
    <w:rsid w:val="006D3C27"/>
    <w:rsid w:val="006D3E08"/>
    <w:rsid w:val="006D43DA"/>
    <w:rsid w:val="006D458F"/>
    <w:rsid w:val="006D4652"/>
    <w:rsid w:val="006D46AD"/>
    <w:rsid w:val="006D4C06"/>
    <w:rsid w:val="006D53B6"/>
    <w:rsid w:val="006D6134"/>
    <w:rsid w:val="006D6362"/>
    <w:rsid w:val="006D683C"/>
    <w:rsid w:val="006D6932"/>
    <w:rsid w:val="006D6FFB"/>
    <w:rsid w:val="006E0056"/>
    <w:rsid w:val="006E07FA"/>
    <w:rsid w:val="006E09E4"/>
    <w:rsid w:val="006E0CB7"/>
    <w:rsid w:val="006E1946"/>
    <w:rsid w:val="006E2014"/>
    <w:rsid w:val="006E262E"/>
    <w:rsid w:val="006E29F4"/>
    <w:rsid w:val="006E2BAB"/>
    <w:rsid w:val="006E2E30"/>
    <w:rsid w:val="006E2E43"/>
    <w:rsid w:val="006E36D9"/>
    <w:rsid w:val="006E3873"/>
    <w:rsid w:val="006E3A1C"/>
    <w:rsid w:val="006E3CFD"/>
    <w:rsid w:val="006E43F6"/>
    <w:rsid w:val="006E446A"/>
    <w:rsid w:val="006E4DD2"/>
    <w:rsid w:val="006E5763"/>
    <w:rsid w:val="006E5FF6"/>
    <w:rsid w:val="006E62EB"/>
    <w:rsid w:val="006E6350"/>
    <w:rsid w:val="006E747A"/>
    <w:rsid w:val="006E7CE2"/>
    <w:rsid w:val="006F0047"/>
    <w:rsid w:val="006F16DC"/>
    <w:rsid w:val="006F17D0"/>
    <w:rsid w:val="006F331B"/>
    <w:rsid w:val="006F3FC6"/>
    <w:rsid w:val="006F40A1"/>
    <w:rsid w:val="006F41C2"/>
    <w:rsid w:val="006F4AE9"/>
    <w:rsid w:val="006F4E0F"/>
    <w:rsid w:val="006F5501"/>
    <w:rsid w:val="006F64F6"/>
    <w:rsid w:val="006F67D0"/>
    <w:rsid w:val="006F7381"/>
    <w:rsid w:val="006F766B"/>
    <w:rsid w:val="007009C2"/>
    <w:rsid w:val="00700BB7"/>
    <w:rsid w:val="00701425"/>
    <w:rsid w:val="00701512"/>
    <w:rsid w:val="007015A1"/>
    <w:rsid w:val="0070187D"/>
    <w:rsid w:val="007038EF"/>
    <w:rsid w:val="00703EA1"/>
    <w:rsid w:val="007049AC"/>
    <w:rsid w:val="00704B3D"/>
    <w:rsid w:val="00705241"/>
    <w:rsid w:val="00705601"/>
    <w:rsid w:val="00705B4E"/>
    <w:rsid w:val="0070625A"/>
    <w:rsid w:val="00707106"/>
    <w:rsid w:val="0070722A"/>
    <w:rsid w:val="007072C9"/>
    <w:rsid w:val="0070733D"/>
    <w:rsid w:val="00707823"/>
    <w:rsid w:val="00707E22"/>
    <w:rsid w:val="00710061"/>
    <w:rsid w:val="0071071B"/>
    <w:rsid w:val="00710CBC"/>
    <w:rsid w:val="00710D74"/>
    <w:rsid w:val="00711629"/>
    <w:rsid w:val="00712662"/>
    <w:rsid w:val="0071395D"/>
    <w:rsid w:val="00713E85"/>
    <w:rsid w:val="007145E5"/>
    <w:rsid w:val="00714B26"/>
    <w:rsid w:val="00715301"/>
    <w:rsid w:val="00715626"/>
    <w:rsid w:val="007157C3"/>
    <w:rsid w:val="00715A83"/>
    <w:rsid w:val="00715DFA"/>
    <w:rsid w:val="00716B1A"/>
    <w:rsid w:val="00717B5F"/>
    <w:rsid w:val="00717C56"/>
    <w:rsid w:val="00720DD2"/>
    <w:rsid w:val="007211AE"/>
    <w:rsid w:val="00721504"/>
    <w:rsid w:val="0072196A"/>
    <w:rsid w:val="007219BA"/>
    <w:rsid w:val="00721CB6"/>
    <w:rsid w:val="00721D64"/>
    <w:rsid w:val="00721F8B"/>
    <w:rsid w:val="00722527"/>
    <w:rsid w:val="00722B0A"/>
    <w:rsid w:val="007232B8"/>
    <w:rsid w:val="007235A5"/>
    <w:rsid w:val="007235B7"/>
    <w:rsid w:val="00723684"/>
    <w:rsid w:val="00723BAA"/>
    <w:rsid w:val="00723EEA"/>
    <w:rsid w:val="0072403F"/>
    <w:rsid w:val="00724367"/>
    <w:rsid w:val="0072471A"/>
    <w:rsid w:val="00724831"/>
    <w:rsid w:val="00724D61"/>
    <w:rsid w:val="00725C81"/>
    <w:rsid w:val="00725E03"/>
    <w:rsid w:val="007267D0"/>
    <w:rsid w:val="00726CE3"/>
    <w:rsid w:val="00727A75"/>
    <w:rsid w:val="00727D1E"/>
    <w:rsid w:val="00730828"/>
    <w:rsid w:val="00730E6A"/>
    <w:rsid w:val="0073186E"/>
    <w:rsid w:val="007322B8"/>
    <w:rsid w:val="007332ED"/>
    <w:rsid w:val="007334A8"/>
    <w:rsid w:val="00733A02"/>
    <w:rsid w:val="00733E0F"/>
    <w:rsid w:val="00734986"/>
    <w:rsid w:val="00734BB7"/>
    <w:rsid w:val="00735495"/>
    <w:rsid w:val="00735C68"/>
    <w:rsid w:val="00735F8F"/>
    <w:rsid w:val="00736087"/>
    <w:rsid w:val="00736150"/>
    <w:rsid w:val="0073637A"/>
    <w:rsid w:val="00736CE9"/>
    <w:rsid w:val="00736D7E"/>
    <w:rsid w:val="007372F9"/>
    <w:rsid w:val="007376F2"/>
    <w:rsid w:val="00740048"/>
    <w:rsid w:val="0074142A"/>
    <w:rsid w:val="00741615"/>
    <w:rsid w:val="00741861"/>
    <w:rsid w:val="00741AC8"/>
    <w:rsid w:val="00742701"/>
    <w:rsid w:val="00742A16"/>
    <w:rsid w:val="00742BFF"/>
    <w:rsid w:val="00742D23"/>
    <w:rsid w:val="007431BC"/>
    <w:rsid w:val="007434FF"/>
    <w:rsid w:val="007435D0"/>
    <w:rsid w:val="00743690"/>
    <w:rsid w:val="00743D94"/>
    <w:rsid w:val="00743FA4"/>
    <w:rsid w:val="00744408"/>
    <w:rsid w:val="00744558"/>
    <w:rsid w:val="00745275"/>
    <w:rsid w:val="00745819"/>
    <w:rsid w:val="00745E20"/>
    <w:rsid w:val="007464C3"/>
    <w:rsid w:val="0074732B"/>
    <w:rsid w:val="007473D6"/>
    <w:rsid w:val="00747428"/>
    <w:rsid w:val="0074791C"/>
    <w:rsid w:val="007479BD"/>
    <w:rsid w:val="007503D8"/>
    <w:rsid w:val="00750B50"/>
    <w:rsid w:val="007513BF"/>
    <w:rsid w:val="00751BBA"/>
    <w:rsid w:val="00752447"/>
    <w:rsid w:val="00752515"/>
    <w:rsid w:val="00752D12"/>
    <w:rsid w:val="00752E36"/>
    <w:rsid w:val="00753049"/>
    <w:rsid w:val="007531BD"/>
    <w:rsid w:val="00753923"/>
    <w:rsid w:val="00753BC8"/>
    <w:rsid w:val="0075457C"/>
    <w:rsid w:val="00754675"/>
    <w:rsid w:val="00754A4B"/>
    <w:rsid w:val="00754EB6"/>
    <w:rsid w:val="0076161E"/>
    <w:rsid w:val="00761751"/>
    <w:rsid w:val="00761809"/>
    <w:rsid w:val="007619DF"/>
    <w:rsid w:val="00761CB7"/>
    <w:rsid w:val="00761D10"/>
    <w:rsid w:val="00762083"/>
    <w:rsid w:val="00762EA9"/>
    <w:rsid w:val="00763487"/>
    <w:rsid w:val="00764B1E"/>
    <w:rsid w:val="007650D2"/>
    <w:rsid w:val="0076557E"/>
    <w:rsid w:val="00765CF8"/>
    <w:rsid w:val="00766546"/>
    <w:rsid w:val="00766BEC"/>
    <w:rsid w:val="00766D81"/>
    <w:rsid w:val="00766D99"/>
    <w:rsid w:val="00766F09"/>
    <w:rsid w:val="00767092"/>
    <w:rsid w:val="00767336"/>
    <w:rsid w:val="0076753C"/>
    <w:rsid w:val="007675A1"/>
    <w:rsid w:val="00767726"/>
    <w:rsid w:val="007678B4"/>
    <w:rsid w:val="00767BBC"/>
    <w:rsid w:val="0077058E"/>
    <w:rsid w:val="0077078D"/>
    <w:rsid w:val="007707FF"/>
    <w:rsid w:val="00770C8A"/>
    <w:rsid w:val="0077108D"/>
    <w:rsid w:val="007713D6"/>
    <w:rsid w:val="0077163C"/>
    <w:rsid w:val="00772EC7"/>
    <w:rsid w:val="007732B1"/>
    <w:rsid w:val="007732BB"/>
    <w:rsid w:val="00773546"/>
    <w:rsid w:val="00773608"/>
    <w:rsid w:val="007736B2"/>
    <w:rsid w:val="00773731"/>
    <w:rsid w:val="0077402F"/>
    <w:rsid w:val="0077403F"/>
    <w:rsid w:val="0077498E"/>
    <w:rsid w:val="00774E9D"/>
    <w:rsid w:val="007751F3"/>
    <w:rsid w:val="00775D33"/>
    <w:rsid w:val="00776417"/>
    <w:rsid w:val="00776E42"/>
    <w:rsid w:val="00777154"/>
    <w:rsid w:val="0077764F"/>
    <w:rsid w:val="00777DC3"/>
    <w:rsid w:val="0078016D"/>
    <w:rsid w:val="00780260"/>
    <w:rsid w:val="0078053F"/>
    <w:rsid w:val="007808EE"/>
    <w:rsid w:val="00780944"/>
    <w:rsid w:val="00780CCE"/>
    <w:rsid w:val="00781586"/>
    <w:rsid w:val="00781FC9"/>
    <w:rsid w:val="0078203D"/>
    <w:rsid w:val="00782192"/>
    <w:rsid w:val="007822F3"/>
    <w:rsid w:val="00783447"/>
    <w:rsid w:val="007836CC"/>
    <w:rsid w:val="0078402E"/>
    <w:rsid w:val="007848FB"/>
    <w:rsid w:val="00785B30"/>
    <w:rsid w:val="00786AA8"/>
    <w:rsid w:val="00787B92"/>
    <w:rsid w:val="00790806"/>
    <w:rsid w:val="00790956"/>
    <w:rsid w:val="00790D3D"/>
    <w:rsid w:val="00790F77"/>
    <w:rsid w:val="00791CD5"/>
    <w:rsid w:val="00792083"/>
    <w:rsid w:val="007924D5"/>
    <w:rsid w:val="00792C01"/>
    <w:rsid w:val="007937BF"/>
    <w:rsid w:val="00793D33"/>
    <w:rsid w:val="007943DF"/>
    <w:rsid w:val="007944C4"/>
    <w:rsid w:val="007947C1"/>
    <w:rsid w:val="00794E6E"/>
    <w:rsid w:val="00796F88"/>
    <w:rsid w:val="007974F0"/>
    <w:rsid w:val="00797AA4"/>
    <w:rsid w:val="00797BFE"/>
    <w:rsid w:val="007A1E97"/>
    <w:rsid w:val="007A21F7"/>
    <w:rsid w:val="007A265B"/>
    <w:rsid w:val="007A2A00"/>
    <w:rsid w:val="007A2CD9"/>
    <w:rsid w:val="007A2F7C"/>
    <w:rsid w:val="007A3C62"/>
    <w:rsid w:val="007A3EF7"/>
    <w:rsid w:val="007A44F9"/>
    <w:rsid w:val="007A47B1"/>
    <w:rsid w:val="007A47DB"/>
    <w:rsid w:val="007A4C82"/>
    <w:rsid w:val="007A55EB"/>
    <w:rsid w:val="007A5887"/>
    <w:rsid w:val="007A6157"/>
    <w:rsid w:val="007A63AF"/>
    <w:rsid w:val="007A64CD"/>
    <w:rsid w:val="007A695E"/>
    <w:rsid w:val="007A6B26"/>
    <w:rsid w:val="007A6E65"/>
    <w:rsid w:val="007A7254"/>
    <w:rsid w:val="007A7661"/>
    <w:rsid w:val="007A7D25"/>
    <w:rsid w:val="007A7ECC"/>
    <w:rsid w:val="007B0A76"/>
    <w:rsid w:val="007B1090"/>
    <w:rsid w:val="007B159C"/>
    <w:rsid w:val="007B1863"/>
    <w:rsid w:val="007B18CA"/>
    <w:rsid w:val="007B230A"/>
    <w:rsid w:val="007B2F80"/>
    <w:rsid w:val="007B33A8"/>
    <w:rsid w:val="007B33ED"/>
    <w:rsid w:val="007B3D57"/>
    <w:rsid w:val="007B47E7"/>
    <w:rsid w:val="007B4F47"/>
    <w:rsid w:val="007B60A6"/>
    <w:rsid w:val="007B7539"/>
    <w:rsid w:val="007B7780"/>
    <w:rsid w:val="007C0498"/>
    <w:rsid w:val="007C0B1A"/>
    <w:rsid w:val="007C1FB2"/>
    <w:rsid w:val="007C2327"/>
    <w:rsid w:val="007C2902"/>
    <w:rsid w:val="007C3C98"/>
    <w:rsid w:val="007C3F82"/>
    <w:rsid w:val="007C4558"/>
    <w:rsid w:val="007C485A"/>
    <w:rsid w:val="007C4B34"/>
    <w:rsid w:val="007C5798"/>
    <w:rsid w:val="007C5CAF"/>
    <w:rsid w:val="007C66C5"/>
    <w:rsid w:val="007C67C2"/>
    <w:rsid w:val="007C693F"/>
    <w:rsid w:val="007C69BF"/>
    <w:rsid w:val="007C7254"/>
    <w:rsid w:val="007C7849"/>
    <w:rsid w:val="007C7FF0"/>
    <w:rsid w:val="007D055E"/>
    <w:rsid w:val="007D0811"/>
    <w:rsid w:val="007D0A58"/>
    <w:rsid w:val="007D12A4"/>
    <w:rsid w:val="007D18A9"/>
    <w:rsid w:val="007D1B41"/>
    <w:rsid w:val="007D1C46"/>
    <w:rsid w:val="007D2268"/>
    <w:rsid w:val="007D233B"/>
    <w:rsid w:val="007D33E9"/>
    <w:rsid w:val="007D34FA"/>
    <w:rsid w:val="007D37B8"/>
    <w:rsid w:val="007D3D02"/>
    <w:rsid w:val="007D3D8E"/>
    <w:rsid w:val="007D4122"/>
    <w:rsid w:val="007D41EC"/>
    <w:rsid w:val="007D4CBD"/>
    <w:rsid w:val="007D4EC8"/>
    <w:rsid w:val="007D5417"/>
    <w:rsid w:val="007D56EF"/>
    <w:rsid w:val="007D5EED"/>
    <w:rsid w:val="007D66D0"/>
    <w:rsid w:val="007D6781"/>
    <w:rsid w:val="007D6CA6"/>
    <w:rsid w:val="007D6CFC"/>
    <w:rsid w:val="007D7722"/>
    <w:rsid w:val="007D78B7"/>
    <w:rsid w:val="007D7E0B"/>
    <w:rsid w:val="007D7E8A"/>
    <w:rsid w:val="007E02A7"/>
    <w:rsid w:val="007E0405"/>
    <w:rsid w:val="007E19F2"/>
    <w:rsid w:val="007E1AC2"/>
    <w:rsid w:val="007E1E1D"/>
    <w:rsid w:val="007E234F"/>
    <w:rsid w:val="007E2AB4"/>
    <w:rsid w:val="007E33AB"/>
    <w:rsid w:val="007E40C7"/>
    <w:rsid w:val="007E4120"/>
    <w:rsid w:val="007E4449"/>
    <w:rsid w:val="007E4483"/>
    <w:rsid w:val="007E46C6"/>
    <w:rsid w:val="007E47D6"/>
    <w:rsid w:val="007E491E"/>
    <w:rsid w:val="007E4D8B"/>
    <w:rsid w:val="007E4EF7"/>
    <w:rsid w:val="007E50C2"/>
    <w:rsid w:val="007E565A"/>
    <w:rsid w:val="007E5886"/>
    <w:rsid w:val="007E61AF"/>
    <w:rsid w:val="007E66AE"/>
    <w:rsid w:val="007E6945"/>
    <w:rsid w:val="007E69FD"/>
    <w:rsid w:val="007E6CF1"/>
    <w:rsid w:val="007E77BE"/>
    <w:rsid w:val="007E7FCC"/>
    <w:rsid w:val="007F024C"/>
    <w:rsid w:val="007F0EA4"/>
    <w:rsid w:val="007F1E14"/>
    <w:rsid w:val="007F2288"/>
    <w:rsid w:val="007F3702"/>
    <w:rsid w:val="007F3EC1"/>
    <w:rsid w:val="007F41AC"/>
    <w:rsid w:val="007F4FDC"/>
    <w:rsid w:val="007F50D0"/>
    <w:rsid w:val="007F54A9"/>
    <w:rsid w:val="007F5DCC"/>
    <w:rsid w:val="007F6339"/>
    <w:rsid w:val="007F6813"/>
    <w:rsid w:val="007F6D9F"/>
    <w:rsid w:val="007F7251"/>
    <w:rsid w:val="007F7437"/>
    <w:rsid w:val="007F7A17"/>
    <w:rsid w:val="00800409"/>
    <w:rsid w:val="00800427"/>
    <w:rsid w:val="00800547"/>
    <w:rsid w:val="00800A86"/>
    <w:rsid w:val="00800C24"/>
    <w:rsid w:val="00801170"/>
    <w:rsid w:val="008017A4"/>
    <w:rsid w:val="008025E9"/>
    <w:rsid w:val="00803216"/>
    <w:rsid w:val="00803267"/>
    <w:rsid w:val="00803770"/>
    <w:rsid w:val="0080469D"/>
    <w:rsid w:val="0080488A"/>
    <w:rsid w:val="00804B0E"/>
    <w:rsid w:val="0080540B"/>
    <w:rsid w:val="00807CA4"/>
    <w:rsid w:val="00807DB3"/>
    <w:rsid w:val="0081078B"/>
    <w:rsid w:val="008109E9"/>
    <w:rsid w:val="00810BC4"/>
    <w:rsid w:val="00810D41"/>
    <w:rsid w:val="0081152C"/>
    <w:rsid w:val="008116E5"/>
    <w:rsid w:val="00811925"/>
    <w:rsid w:val="00811E0A"/>
    <w:rsid w:val="008121F0"/>
    <w:rsid w:val="00812640"/>
    <w:rsid w:val="0081331B"/>
    <w:rsid w:val="00813E7F"/>
    <w:rsid w:val="00814120"/>
    <w:rsid w:val="008148FA"/>
    <w:rsid w:val="00815C7F"/>
    <w:rsid w:val="00815EC2"/>
    <w:rsid w:val="00816233"/>
    <w:rsid w:val="00816248"/>
    <w:rsid w:val="008169B3"/>
    <w:rsid w:val="00816EF2"/>
    <w:rsid w:val="00817609"/>
    <w:rsid w:val="00817647"/>
    <w:rsid w:val="008203F3"/>
    <w:rsid w:val="00821029"/>
    <w:rsid w:val="00821097"/>
    <w:rsid w:val="00821C49"/>
    <w:rsid w:val="0082225A"/>
    <w:rsid w:val="00822344"/>
    <w:rsid w:val="0082310D"/>
    <w:rsid w:val="00823AE7"/>
    <w:rsid w:val="00823E8A"/>
    <w:rsid w:val="00824924"/>
    <w:rsid w:val="008250D7"/>
    <w:rsid w:val="008259ED"/>
    <w:rsid w:val="00825A42"/>
    <w:rsid w:val="00826037"/>
    <w:rsid w:val="00827063"/>
    <w:rsid w:val="0082788D"/>
    <w:rsid w:val="00827B2B"/>
    <w:rsid w:val="00827C2D"/>
    <w:rsid w:val="00827E36"/>
    <w:rsid w:val="00830299"/>
    <w:rsid w:val="00830501"/>
    <w:rsid w:val="00830639"/>
    <w:rsid w:val="00830BD2"/>
    <w:rsid w:val="00830C67"/>
    <w:rsid w:val="00830CF3"/>
    <w:rsid w:val="00831050"/>
    <w:rsid w:val="008317D4"/>
    <w:rsid w:val="00831D3B"/>
    <w:rsid w:val="00832015"/>
    <w:rsid w:val="00832172"/>
    <w:rsid w:val="00832892"/>
    <w:rsid w:val="00832CE1"/>
    <w:rsid w:val="008334DF"/>
    <w:rsid w:val="00833760"/>
    <w:rsid w:val="00833BCC"/>
    <w:rsid w:val="00833F8E"/>
    <w:rsid w:val="00833FB9"/>
    <w:rsid w:val="00834181"/>
    <w:rsid w:val="00835C05"/>
    <w:rsid w:val="00835C7D"/>
    <w:rsid w:val="00836E8C"/>
    <w:rsid w:val="00837F14"/>
    <w:rsid w:val="00840183"/>
    <w:rsid w:val="00840306"/>
    <w:rsid w:val="008405FD"/>
    <w:rsid w:val="00840B62"/>
    <w:rsid w:val="00840B91"/>
    <w:rsid w:val="00840C73"/>
    <w:rsid w:val="00840C9D"/>
    <w:rsid w:val="00840E0E"/>
    <w:rsid w:val="0084152D"/>
    <w:rsid w:val="00841E75"/>
    <w:rsid w:val="008424D8"/>
    <w:rsid w:val="00842B97"/>
    <w:rsid w:val="00842E8F"/>
    <w:rsid w:val="00843E9E"/>
    <w:rsid w:val="00843EBA"/>
    <w:rsid w:val="00843F51"/>
    <w:rsid w:val="008451B1"/>
    <w:rsid w:val="008457D6"/>
    <w:rsid w:val="008458A6"/>
    <w:rsid w:val="0084604F"/>
    <w:rsid w:val="008467E7"/>
    <w:rsid w:val="008472E2"/>
    <w:rsid w:val="00847C34"/>
    <w:rsid w:val="00847E66"/>
    <w:rsid w:val="00850070"/>
    <w:rsid w:val="00850E5C"/>
    <w:rsid w:val="00851609"/>
    <w:rsid w:val="00851741"/>
    <w:rsid w:val="00851944"/>
    <w:rsid w:val="00851DF3"/>
    <w:rsid w:val="00851F3C"/>
    <w:rsid w:val="0085298E"/>
    <w:rsid w:val="00852A1E"/>
    <w:rsid w:val="00852A88"/>
    <w:rsid w:val="00852DC1"/>
    <w:rsid w:val="00852F32"/>
    <w:rsid w:val="00853095"/>
    <w:rsid w:val="008534C4"/>
    <w:rsid w:val="00853AE9"/>
    <w:rsid w:val="00854AC8"/>
    <w:rsid w:val="00854B50"/>
    <w:rsid w:val="00854BFD"/>
    <w:rsid w:val="00854CA6"/>
    <w:rsid w:val="008554E9"/>
    <w:rsid w:val="00855AEE"/>
    <w:rsid w:val="00855C38"/>
    <w:rsid w:val="0085646A"/>
    <w:rsid w:val="008573F1"/>
    <w:rsid w:val="008574E0"/>
    <w:rsid w:val="00857E5F"/>
    <w:rsid w:val="00860438"/>
    <w:rsid w:val="0086052B"/>
    <w:rsid w:val="00860F33"/>
    <w:rsid w:val="00860F74"/>
    <w:rsid w:val="0086118A"/>
    <w:rsid w:val="00861373"/>
    <w:rsid w:val="00861819"/>
    <w:rsid w:val="00861E05"/>
    <w:rsid w:val="00862059"/>
    <w:rsid w:val="00863011"/>
    <w:rsid w:val="00863268"/>
    <w:rsid w:val="00863660"/>
    <w:rsid w:val="008636F8"/>
    <w:rsid w:val="00863B2E"/>
    <w:rsid w:val="00863C5A"/>
    <w:rsid w:val="00864358"/>
    <w:rsid w:val="00865194"/>
    <w:rsid w:val="0086632E"/>
    <w:rsid w:val="00866BB1"/>
    <w:rsid w:val="00867624"/>
    <w:rsid w:val="008715E0"/>
    <w:rsid w:val="00872A6C"/>
    <w:rsid w:val="008733CD"/>
    <w:rsid w:val="00873DC4"/>
    <w:rsid w:val="0087425D"/>
    <w:rsid w:val="00874316"/>
    <w:rsid w:val="00874B1A"/>
    <w:rsid w:val="0087505E"/>
    <w:rsid w:val="00875E01"/>
    <w:rsid w:val="00875E97"/>
    <w:rsid w:val="0087632A"/>
    <w:rsid w:val="008766B2"/>
    <w:rsid w:val="00876A37"/>
    <w:rsid w:val="00876B6F"/>
    <w:rsid w:val="00877045"/>
    <w:rsid w:val="008776A9"/>
    <w:rsid w:val="008778FD"/>
    <w:rsid w:val="00877EE1"/>
    <w:rsid w:val="00880350"/>
    <w:rsid w:val="00880829"/>
    <w:rsid w:val="0088179E"/>
    <w:rsid w:val="00881AEC"/>
    <w:rsid w:val="008821AC"/>
    <w:rsid w:val="00882FE6"/>
    <w:rsid w:val="008837E0"/>
    <w:rsid w:val="00883E2C"/>
    <w:rsid w:val="00883FC0"/>
    <w:rsid w:val="00884075"/>
    <w:rsid w:val="00884878"/>
    <w:rsid w:val="00884886"/>
    <w:rsid w:val="00884EC1"/>
    <w:rsid w:val="00884F23"/>
    <w:rsid w:val="00886502"/>
    <w:rsid w:val="00886A3E"/>
    <w:rsid w:val="00887B63"/>
    <w:rsid w:val="00890134"/>
    <w:rsid w:val="0089069D"/>
    <w:rsid w:val="008906E0"/>
    <w:rsid w:val="00890CB0"/>
    <w:rsid w:val="00890D36"/>
    <w:rsid w:val="00890E00"/>
    <w:rsid w:val="00891C2B"/>
    <w:rsid w:val="00891D3B"/>
    <w:rsid w:val="0089209C"/>
    <w:rsid w:val="00892DA5"/>
    <w:rsid w:val="00892FEA"/>
    <w:rsid w:val="00893435"/>
    <w:rsid w:val="0089379A"/>
    <w:rsid w:val="00893E13"/>
    <w:rsid w:val="00893E6B"/>
    <w:rsid w:val="0089407E"/>
    <w:rsid w:val="00895BB1"/>
    <w:rsid w:val="00895D03"/>
    <w:rsid w:val="00895F41"/>
    <w:rsid w:val="00895FF3"/>
    <w:rsid w:val="008962FA"/>
    <w:rsid w:val="00897201"/>
    <w:rsid w:val="00897923"/>
    <w:rsid w:val="00897DBD"/>
    <w:rsid w:val="00897ECF"/>
    <w:rsid w:val="008A0A3B"/>
    <w:rsid w:val="008A1197"/>
    <w:rsid w:val="008A2622"/>
    <w:rsid w:val="008A38E3"/>
    <w:rsid w:val="008A3A3B"/>
    <w:rsid w:val="008A4474"/>
    <w:rsid w:val="008A4605"/>
    <w:rsid w:val="008A46A1"/>
    <w:rsid w:val="008A4834"/>
    <w:rsid w:val="008A5141"/>
    <w:rsid w:val="008A6328"/>
    <w:rsid w:val="008A688A"/>
    <w:rsid w:val="008B00CE"/>
    <w:rsid w:val="008B0D17"/>
    <w:rsid w:val="008B0F19"/>
    <w:rsid w:val="008B1255"/>
    <w:rsid w:val="008B1F4E"/>
    <w:rsid w:val="008B28CB"/>
    <w:rsid w:val="008B43E1"/>
    <w:rsid w:val="008B450A"/>
    <w:rsid w:val="008B4603"/>
    <w:rsid w:val="008B4D61"/>
    <w:rsid w:val="008B5014"/>
    <w:rsid w:val="008B58EA"/>
    <w:rsid w:val="008B7E68"/>
    <w:rsid w:val="008C0018"/>
    <w:rsid w:val="008C06F5"/>
    <w:rsid w:val="008C0B6F"/>
    <w:rsid w:val="008C115A"/>
    <w:rsid w:val="008C1DF1"/>
    <w:rsid w:val="008C1E4E"/>
    <w:rsid w:val="008C1EDE"/>
    <w:rsid w:val="008C299D"/>
    <w:rsid w:val="008C2BA5"/>
    <w:rsid w:val="008C5102"/>
    <w:rsid w:val="008C5689"/>
    <w:rsid w:val="008C6ACD"/>
    <w:rsid w:val="008C7214"/>
    <w:rsid w:val="008D04DB"/>
    <w:rsid w:val="008D07F9"/>
    <w:rsid w:val="008D0960"/>
    <w:rsid w:val="008D0D20"/>
    <w:rsid w:val="008D122A"/>
    <w:rsid w:val="008D16DB"/>
    <w:rsid w:val="008D1CAA"/>
    <w:rsid w:val="008D1EED"/>
    <w:rsid w:val="008D200F"/>
    <w:rsid w:val="008D23F5"/>
    <w:rsid w:val="008D34C2"/>
    <w:rsid w:val="008D5506"/>
    <w:rsid w:val="008D56F9"/>
    <w:rsid w:val="008D570F"/>
    <w:rsid w:val="008D5B85"/>
    <w:rsid w:val="008D6422"/>
    <w:rsid w:val="008D68BB"/>
    <w:rsid w:val="008D6937"/>
    <w:rsid w:val="008D6C0E"/>
    <w:rsid w:val="008D6E4C"/>
    <w:rsid w:val="008D6FCC"/>
    <w:rsid w:val="008D708B"/>
    <w:rsid w:val="008D7221"/>
    <w:rsid w:val="008D7641"/>
    <w:rsid w:val="008E02C3"/>
    <w:rsid w:val="008E0A62"/>
    <w:rsid w:val="008E11C1"/>
    <w:rsid w:val="008E16FE"/>
    <w:rsid w:val="008E1825"/>
    <w:rsid w:val="008E1A33"/>
    <w:rsid w:val="008E1E48"/>
    <w:rsid w:val="008E1FF2"/>
    <w:rsid w:val="008E21D6"/>
    <w:rsid w:val="008E2833"/>
    <w:rsid w:val="008E2BC7"/>
    <w:rsid w:val="008E2F1E"/>
    <w:rsid w:val="008E2F44"/>
    <w:rsid w:val="008E3341"/>
    <w:rsid w:val="008E3AA6"/>
    <w:rsid w:val="008E3D97"/>
    <w:rsid w:val="008E3F5B"/>
    <w:rsid w:val="008E42CF"/>
    <w:rsid w:val="008E498C"/>
    <w:rsid w:val="008E4E0D"/>
    <w:rsid w:val="008E4F07"/>
    <w:rsid w:val="008E59D9"/>
    <w:rsid w:val="008E681B"/>
    <w:rsid w:val="008E69B5"/>
    <w:rsid w:val="008E6EF1"/>
    <w:rsid w:val="008E6F30"/>
    <w:rsid w:val="008E7945"/>
    <w:rsid w:val="008E7A82"/>
    <w:rsid w:val="008F0A43"/>
    <w:rsid w:val="008F0B76"/>
    <w:rsid w:val="008F0BB1"/>
    <w:rsid w:val="008F22A6"/>
    <w:rsid w:val="008F235C"/>
    <w:rsid w:val="008F2496"/>
    <w:rsid w:val="008F3057"/>
    <w:rsid w:val="008F3241"/>
    <w:rsid w:val="008F39A9"/>
    <w:rsid w:val="008F4627"/>
    <w:rsid w:val="008F4CB3"/>
    <w:rsid w:val="008F4E27"/>
    <w:rsid w:val="008F4F7C"/>
    <w:rsid w:val="008F52C5"/>
    <w:rsid w:val="008F56DE"/>
    <w:rsid w:val="008F5A7C"/>
    <w:rsid w:val="008F6263"/>
    <w:rsid w:val="008F630E"/>
    <w:rsid w:val="008F64DD"/>
    <w:rsid w:val="008F68BB"/>
    <w:rsid w:val="008F6B74"/>
    <w:rsid w:val="008F759E"/>
    <w:rsid w:val="00900713"/>
    <w:rsid w:val="00900B2C"/>
    <w:rsid w:val="00900B68"/>
    <w:rsid w:val="00901482"/>
    <w:rsid w:val="00903246"/>
    <w:rsid w:val="00903825"/>
    <w:rsid w:val="00903EC6"/>
    <w:rsid w:val="00904943"/>
    <w:rsid w:val="00904E57"/>
    <w:rsid w:val="00905228"/>
    <w:rsid w:val="00905A4B"/>
    <w:rsid w:val="0090659F"/>
    <w:rsid w:val="009065B9"/>
    <w:rsid w:val="009065D0"/>
    <w:rsid w:val="009069B4"/>
    <w:rsid w:val="00906CCB"/>
    <w:rsid w:val="00906DD5"/>
    <w:rsid w:val="0090716B"/>
    <w:rsid w:val="009073CD"/>
    <w:rsid w:val="009075ED"/>
    <w:rsid w:val="00907C55"/>
    <w:rsid w:val="00910549"/>
    <w:rsid w:val="00910DB4"/>
    <w:rsid w:val="00910FCB"/>
    <w:rsid w:val="00911F38"/>
    <w:rsid w:val="009122E3"/>
    <w:rsid w:val="00912768"/>
    <w:rsid w:val="009129DD"/>
    <w:rsid w:val="009134F9"/>
    <w:rsid w:val="00913722"/>
    <w:rsid w:val="00913E31"/>
    <w:rsid w:val="009140CF"/>
    <w:rsid w:val="009146C9"/>
    <w:rsid w:val="00914716"/>
    <w:rsid w:val="009149B7"/>
    <w:rsid w:val="00914AA3"/>
    <w:rsid w:val="00914BC1"/>
    <w:rsid w:val="00914EB7"/>
    <w:rsid w:val="00915089"/>
    <w:rsid w:val="009150D0"/>
    <w:rsid w:val="00916474"/>
    <w:rsid w:val="00916F97"/>
    <w:rsid w:val="0091741D"/>
    <w:rsid w:val="009177F0"/>
    <w:rsid w:val="00917B13"/>
    <w:rsid w:val="00917E0B"/>
    <w:rsid w:val="00917E57"/>
    <w:rsid w:val="00920024"/>
    <w:rsid w:val="0092099D"/>
    <w:rsid w:val="009209D3"/>
    <w:rsid w:val="00922E85"/>
    <w:rsid w:val="0092312F"/>
    <w:rsid w:val="00923199"/>
    <w:rsid w:val="00923C8F"/>
    <w:rsid w:val="009241F1"/>
    <w:rsid w:val="009247A5"/>
    <w:rsid w:val="00924F04"/>
    <w:rsid w:val="0092570B"/>
    <w:rsid w:val="00925C00"/>
    <w:rsid w:val="009264F2"/>
    <w:rsid w:val="00926A3A"/>
    <w:rsid w:val="009279D3"/>
    <w:rsid w:val="00927F02"/>
    <w:rsid w:val="00927FB2"/>
    <w:rsid w:val="009300BB"/>
    <w:rsid w:val="009304CB"/>
    <w:rsid w:val="0093139A"/>
    <w:rsid w:val="00932569"/>
    <w:rsid w:val="0093297A"/>
    <w:rsid w:val="009329B5"/>
    <w:rsid w:val="00932E6F"/>
    <w:rsid w:val="00933145"/>
    <w:rsid w:val="009336FA"/>
    <w:rsid w:val="00933B8F"/>
    <w:rsid w:val="0093448E"/>
    <w:rsid w:val="009345DF"/>
    <w:rsid w:val="00934A77"/>
    <w:rsid w:val="00937398"/>
    <w:rsid w:val="00937CC7"/>
    <w:rsid w:val="00937E0D"/>
    <w:rsid w:val="009403ED"/>
    <w:rsid w:val="009409C2"/>
    <w:rsid w:val="00941256"/>
    <w:rsid w:val="00942515"/>
    <w:rsid w:val="0094253F"/>
    <w:rsid w:val="00942AA9"/>
    <w:rsid w:val="00943025"/>
    <w:rsid w:val="00943073"/>
    <w:rsid w:val="00943DD3"/>
    <w:rsid w:val="00943ED9"/>
    <w:rsid w:val="00943F99"/>
    <w:rsid w:val="0094409C"/>
    <w:rsid w:val="00944B0B"/>
    <w:rsid w:val="00944B13"/>
    <w:rsid w:val="00944D33"/>
    <w:rsid w:val="009454EF"/>
    <w:rsid w:val="009456FE"/>
    <w:rsid w:val="00945B13"/>
    <w:rsid w:val="00945D9D"/>
    <w:rsid w:val="0094619C"/>
    <w:rsid w:val="0094689C"/>
    <w:rsid w:val="00946C22"/>
    <w:rsid w:val="0094742D"/>
    <w:rsid w:val="00947518"/>
    <w:rsid w:val="0094789C"/>
    <w:rsid w:val="00950217"/>
    <w:rsid w:val="009503E0"/>
    <w:rsid w:val="0095137B"/>
    <w:rsid w:val="00951563"/>
    <w:rsid w:val="009518D3"/>
    <w:rsid w:val="00951907"/>
    <w:rsid w:val="0095200E"/>
    <w:rsid w:val="00952186"/>
    <w:rsid w:val="00952367"/>
    <w:rsid w:val="00952481"/>
    <w:rsid w:val="009525CB"/>
    <w:rsid w:val="00952660"/>
    <w:rsid w:val="009528B5"/>
    <w:rsid w:val="00952EDD"/>
    <w:rsid w:val="0095411E"/>
    <w:rsid w:val="00954824"/>
    <w:rsid w:val="009548C6"/>
    <w:rsid w:val="00954AF6"/>
    <w:rsid w:val="00954D6E"/>
    <w:rsid w:val="00955546"/>
    <w:rsid w:val="0095653E"/>
    <w:rsid w:val="00956832"/>
    <w:rsid w:val="009568B9"/>
    <w:rsid w:val="00956CBA"/>
    <w:rsid w:val="00956DB0"/>
    <w:rsid w:val="00956F56"/>
    <w:rsid w:val="0095799B"/>
    <w:rsid w:val="009603C3"/>
    <w:rsid w:val="009605DC"/>
    <w:rsid w:val="00960AA8"/>
    <w:rsid w:val="00960E73"/>
    <w:rsid w:val="0096133D"/>
    <w:rsid w:val="00961920"/>
    <w:rsid w:val="00961BD3"/>
    <w:rsid w:val="00961D38"/>
    <w:rsid w:val="00961DD6"/>
    <w:rsid w:val="00962D28"/>
    <w:rsid w:val="00962DFA"/>
    <w:rsid w:val="00962EF9"/>
    <w:rsid w:val="009632D3"/>
    <w:rsid w:val="00963F06"/>
    <w:rsid w:val="00964A63"/>
    <w:rsid w:val="00964C8C"/>
    <w:rsid w:val="00964D03"/>
    <w:rsid w:val="009656E1"/>
    <w:rsid w:val="00965A5D"/>
    <w:rsid w:val="00965B08"/>
    <w:rsid w:val="00966D73"/>
    <w:rsid w:val="00966FE7"/>
    <w:rsid w:val="00967389"/>
    <w:rsid w:val="00967EA3"/>
    <w:rsid w:val="00970248"/>
    <w:rsid w:val="00970559"/>
    <w:rsid w:val="00970897"/>
    <w:rsid w:val="00970DB6"/>
    <w:rsid w:val="00970E36"/>
    <w:rsid w:val="00970EBE"/>
    <w:rsid w:val="009722BE"/>
    <w:rsid w:val="009727E8"/>
    <w:rsid w:val="00972CA7"/>
    <w:rsid w:val="009732D7"/>
    <w:rsid w:val="00973481"/>
    <w:rsid w:val="009741A7"/>
    <w:rsid w:val="00974B8F"/>
    <w:rsid w:val="00974C16"/>
    <w:rsid w:val="00974CD1"/>
    <w:rsid w:val="00974D96"/>
    <w:rsid w:val="00975115"/>
    <w:rsid w:val="009752D3"/>
    <w:rsid w:val="009757EF"/>
    <w:rsid w:val="00975B9A"/>
    <w:rsid w:val="009765C4"/>
    <w:rsid w:val="00976804"/>
    <w:rsid w:val="00976A50"/>
    <w:rsid w:val="0097700F"/>
    <w:rsid w:val="0097733B"/>
    <w:rsid w:val="0097756A"/>
    <w:rsid w:val="00977C36"/>
    <w:rsid w:val="00977DF6"/>
    <w:rsid w:val="009800FD"/>
    <w:rsid w:val="00980307"/>
    <w:rsid w:val="00980722"/>
    <w:rsid w:val="00980DC1"/>
    <w:rsid w:val="009810D9"/>
    <w:rsid w:val="009816F5"/>
    <w:rsid w:val="0098207D"/>
    <w:rsid w:val="00982092"/>
    <w:rsid w:val="00982E22"/>
    <w:rsid w:val="00982EE2"/>
    <w:rsid w:val="00984602"/>
    <w:rsid w:val="009857B6"/>
    <w:rsid w:val="009859B3"/>
    <w:rsid w:val="00985D68"/>
    <w:rsid w:val="00986228"/>
    <w:rsid w:val="009863E4"/>
    <w:rsid w:val="00986F8C"/>
    <w:rsid w:val="00987205"/>
    <w:rsid w:val="009876F5"/>
    <w:rsid w:val="009877C5"/>
    <w:rsid w:val="00987AE7"/>
    <w:rsid w:val="00987B76"/>
    <w:rsid w:val="009907C3"/>
    <w:rsid w:val="00991094"/>
    <w:rsid w:val="009911F7"/>
    <w:rsid w:val="009916CD"/>
    <w:rsid w:val="00991A34"/>
    <w:rsid w:val="00991AF1"/>
    <w:rsid w:val="00991DA8"/>
    <w:rsid w:val="0099208B"/>
    <w:rsid w:val="00992114"/>
    <w:rsid w:val="009940B4"/>
    <w:rsid w:val="00994FEA"/>
    <w:rsid w:val="00995F8C"/>
    <w:rsid w:val="009963C4"/>
    <w:rsid w:val="0099670D"/>
    <w:rsid w:val="00996750"/>
    <w:rsid w:val="0099690B"/>
    <w:rsid w:val="0099758C"/>
    <w:rsid w:val="00997CAA"/>
    <w:rsid w:val="009A0757"/>
    <w:rsid w:val="009A0905"/>
    <w:rsid w:val="009A18A9"/>
    <w:rsid w:val="009A1B6D"/>
    <w:rsid w:val="009A219D"/>
    <w:rsid w:val="009A2500"/>
    <w:rsid w:val="009A2554"/>
    <w:rsid w:val="009A26AE"/>
    <w:rsid w:val="009A2728"/>
    <w:rsid w:val="009A29AE"/>
    <w:rsid w:val="009A2F1F"/>
    <w:rsid w:val="009A3EE3"/>
    <w:rsid w:val="009A42F3"/>
    <w:rsid w:val="009A4A0C"/>
    <w:rsid w:val="009A4C5C"/>
    <w:rsid w:val="009A511E"/>
    <w:rsid w:val="009A6158"/>
    <w:rsid w:val="009A6EEE"/>
    <w:rsid w:val="009A72CD"/>
    <w:rsid w:val="009A76A0"/>
    <w:rsid w:val="009B0E5C"/>
    <w:rsid w:val="009B168D"/>
    <w:rsid w:val="009B2892"/>
    <w:rsid w:val="009B2C96"/>
    <w:rsid w:val="009B2CD9"/>
    <w:rsid w:val="009B2CE1"/>
    <w:rsid w:val="009B2CE6"/>
    <w:rsid w:val="009B3528"/>
    <w:rsid w:val="009B4A28"/>
    <w:rsid w:val="009B4CFC"/>
    <w:rsid w:val="009B59E5"/>
    <w:rsid w:val="009B5FD5"/>
    <w:rsid w:val="009B6022"/>
    <w:rsid w:val="009B69BB"/>
    <w:rsid w:val="009B700D"/>
    <w:rsid w:val="009B7C73"/>
    <w:rsid w:val="009C00CF"/>
    <w:rsid w:val="009C06FD"/>
    <w:rsid w:val="009C0DC0"/>
    <w:rsid w:val="009C0DEC"/>
    <w:rsid w:val="009C200B"/>
    <w:rsid w:val="009C5B47"/>
    <w:rsid w:val="009C6AAC"/>
    <w:rsid w:val="009C7059"/>
    <w:rsid w:val="009C7424"/>
    <w:rsid w:val="009C771C"/>
    <w:rsid w:val="009D04FA"/>
    <w:rsid w:val="009D0693"/>
    <w:rsid w:val="009D1044"/>
    <w:rsid w:val="009D13BE"/>
    <w:rsid w:val="009D1EC9"/>
    <w:rsid w:val="009D2191"/>
    <w:rsid w:val="009D252B"/>
    <w:rsid w:val="009D3A8D"/>
    <w:rsid w:val="009D3D79"/>
    <w:rsid w:val="009D3F79"/>
    <w:rsid w:val="009D48E2"/>
    <w:rsid w:val="009D4E8A"/>
    <w:rsid w:val="009D502D"/>
    <w:rsid w:val="009D5335"/>
    <w:rsid w:val="009D57C1"/>
    <w:rsid w:val="009D6D01"/>
    <w:rsid w:val="009D7187"/>
    <w:rsid w:val="009D74DC"/>
    <w:rsid w:val="009D75D5"/>
    <w:rsid w:val="009D7950"/>
    <w:rsid w:val="009D7995"/>
    <w:rsid w:val="009E05AA"/>
    <w:rsid w:val="009E089A"/>
    <w:rsid w:val="009E1333"/>
    <w:rsid w:val="009E1BE6"/>
    <w:rsid w:val="009E2714"/>
    <w:rsid w:val="009E27E0"/>
    <w:rsid w:val="009E2836"/>
    <w:rsid w:val="009E2DAE"/>
    <w:rsid w:val="009E3558"/>
    <w:rsid w:val="009E4CBC"/>
    <w:rsid w:val="009E52F7"/>
    <w:rsid w:val="009E5A7A"/>
    <w:rsid w:val="009E5BC5"/>
    <w:rsid w:val="009E5C85"/>
    <w:rsid w:val="009E661C"/>
    <w:rsid w:val="009E7EFB"/>
    <w:rsid w:val="009F16AC"/>
    <w:rsid w:val="009F1980"/>
    <w:rsid w:val="009F1A95"/>
    <w:rsid w:val="009F1CD8"/>
    <w:rsid w:val="009F1E84"/>
    <w:rsid w:val="009F21D9"/>
    <w:rsid w:val="009F21F2"/>
    <w:rsid w:val="009F221D"/>
    <w:rsid w:val="009F2870"/>
    <w:rsid w:val="009F2962"/>
    <w:rsid w:val="009F2CB1"/>
    <w:rsid w:val="009F2F14"/>
    <w:rsid w:val="009F3031"/>
    <w:rsid w:val="009F3310"/>
    <w:rsid w:val="009F353A"/>
    <w:rsid w:val="009F3CA5"/>
    <w:rsid w:val="009F41A7"/>
    <w:rsid w:val="009F4590"/>
    <w:rsid w:val="009F465F"/>
    <w:rsid w:val="009F470E"/>
    <w:rsid w:val="009F49AA"/>
    <w:rsid w:val="009F541B"/>
    <w:rsid w:val="009F5F2B"/>
    <w:rsid w:val="009F632B"/>
    <w:rsid w:val="009F63B1"/>
    <w:rsid w:val="009F76C3"/>
    <w:rsid w:val="00A001B3"/>
    <w:rsid w:val="00A00E14"/>
    <w:rsid w:val="00A02304"/>
    <w:rsid w:val="00A02349"/>
    <w:rsid w:val="00A02637"/>
    <w:rsid w:val="00A03823"/>
    <w:rsid w:val="00A04424"/>
    <w:rsid w:val="00A059E0"/>
    <w:rsid w:val="00A05B82"/>
    <w:rsid w:val="00A060FE"/>
    <w:rsid w:val="00A07225"/>
    <w:rsid w:val="00A07610"/>
    <w:rsid w:val="00A1092A"/>
    <w:rsid w:val="00A111AA"/>
    <w:rsid w:val="00A11A08"/>
    <w:rsid w:val="00A11D5B"/>
    <w:rsid w:val="00A11E6F"/>
    <w:rsid w:val="00A12B52"/>
    <w:rsid w:val="00A13436"/>
    <w:rsid w:val="00A14B93"/>
    <w:rsid w:val="00A152B1"/>
    <w:rsid w:val="00A16849"/>
    <w:rsid w:val="00A17D07"/>
    <w:rsid w:val="00A20973"/>
    <w:rsid w:val="00A209ED"/>
    <w:rsid w:val="00A20F7B"/>
    <w:rsid w:val="00A213E9"/>
    <w:rsid w:val="00A217BD"/>
    <w:rsid w:val="00A21B82"/>
    <w:rsid w:val="00A21F7D"/>
    <w:rsid w:val="00A22012"/>
    <w:rsid w:val="00A223D4"/>
    <w:rsid w:val="00A223FB"/>
    <w:rsid w:val="00A22632"/>
    <w:rsid w:val="00A2266C"/>
    <w:rsid w:val="00A22A47"/>
    <w:rsid w:val="00A22E61"/>
    <w:rsid w:val="00A239DE"/>
    <w:rsid w:val="00A24089"/>
    <w:rsid w:val="00A2415E"/>
    <w:rsid w:val="00A243BC"/>
    <w:rsid w:val="00A24562"/>
    <w:rsid w:val="00A24EB5"/>
    <w:rsid w:val="00A24F07"/>
    <w:rsid w:val="00A259A8"/>
    <w:rsid w:val="00A25ABE"/>
    <w:rsid w:val="00A25D21"/>
    <w:rsid w:val="00A2645A"/>
    <w:rsid w:val="00A26B2C"/>
    <w:rsid w:val="00A26EE2"/>
    <w:rsid w:val="00A27CCC"/>
    <w:rsid w:val="00A30268"/>
    <w:rsid w:val="00A30727"/>
    <w:rsid w:val="00A30BEF"/>
    <w:rsid w:val="00A315B0"/>
    <w:rsid w:val="00A31682"/>
    <w:rsid w:val="00A31E40"/>
    <w:rsid w:val="00A3292C"/>
    <w:rsid w:val="00A32B26"/>
    <w:rsid w:val="00A32EC5"/>
    <w:rsid w:val="00A33417"/>
    <w:rsid w:val="00A3374D"/>
    <w:rsid w:val="00A33AE0"/>
    <w:rsid w:val="00A34589"/>
    <w:rsid w:val="00A34AC0"/>
    <w:rsid w:val="00A35120"/>
    <w:rsid w:val="00A35217"/>
    <w:rsid w:val="00A35A25"/>
    <w:rsid w:val="00A35E38"/>
    <w:rsid w:val="00A3635F"/>
    <w:rsid w:val="00A365BE"/>
    <w:rsid w:val="00A36890"/>
    <w:rsid w:val="00A36BDB"/>
    <w:rsid w:val="00A3718E"/>
    <w:rsid w:val="00A37245"/>
    <w:rsid w:val="00A37326"/>
    <w:rsid w:val="00A37F90"/>
    <w:rsid w:val="00A40282"/>
    <w:rsid w:val="00A403CF"/>
    <w:rsid w:val="00A404C8"/>
    <w:rsid w:val="00A411A5"/>
    <w:rsid w:val="00A41627"/>
    <w:rsid w:val="00A42A48"/>
    <w:rsid w:val="00A42ADA"/>
    <w:rsid w:val="00A42EB0"/>
    <w:rsid w:val="00A43142"/>
    <w:rsid w:val="00A43348"/>
    <w:rsid w:val="00A43716"/>
    <w:rsid w:val="00A4395E"/>
    <w:rsid w:val="00A43D1A"/>
    <w:rsid w:val="00A43F56"/>
    <w:rsid w:val="00A43FDC"/>
    <w:rsid w:val="00A4421F"/>
    <w:rsid w:val="00A445F9"/>
    <w:rsid w:val="00A456F8"/>
    <w:rsid w:val="00A45DA7"/>
    <w:rsid w:val="00A46070"/>
    <w:rsid w:val="00A4631C"/>
    <w:rsid w:val="00A46679"/>
    <w:rsid w:val="00A46971"/>
    <w:rsid w:val="00A46FD8"/>
    <w:rsid w:val="00A47DD8"/>
    <w:rsid w:val="00A50A96"/>
    <w:rsid w:val="00A51607"/>
    <w:rsid w:val="00A51EB8"/>
    <w:rsid w:val="00A51F46"/>
    <w:rsid w:val="00A52049"/>
    <w:rsid w:val="00A5305A"/>
    <w:rsid w:val="00A53844"/>
    <w:rsid w:val="00A539CE"/>
    <w:rsid w:val="00A53C56"/>
    <w:rsid w:val="00A54620"/>
    <w:rsid w:val="00A54FF0"/>
    <w:rsid w:val="00A55D87"/>
    <w:rsid w:val="00A577C4"/>
    <w:rsid w:val="00A57C78"/>
    <w:rsid w:val="00A60373"/>
    <w:rsid w:val="00A611B3"/>
    <w:rsid w:val="00A61983"/>
    <w:rsid w:val="00A62399"/>
    <w:rsid w:val="00A62444"/>
    <w:rsid w:val="00A62E16"/>
    <w:rsid w:val="00A63037"/>
    <w:rsid w:val="00A63B83"/>
    <w:rsid w:val="00A63D3F"/>
    <w:rsid w:val="00A63FD0"/>
    <w:rsid w:val="00A640F4"/>
    <w:rsid w:val="00A64BDF"/>
    <w:rsid w:val="00A64FA0"/>
    <w:rsid w:val="00A655E5"/>
    <w:rsid w:val="00A655FC"/>
    <w:rsid w:val="00A66039"/>
    <w:rsid w:val="00A66E4C"/>
    <w:rsid w:val="00A671F2"/>
    <w:rsid w:val="00A67827"/>
    <w:rsid w:val="00A67C8D"/>
    <w:rsid w:val="00A700FC"/>
    <w:rsid w:val="00A7034B"/>
    <w:rsid w:val="00A704A8"/>
    <w:rsid w:val="00A7108A"/>
    <w:rsid w:val="00A71557"/>
    <w:rsid w:val="00A72720"/>
    <w:rsid w:val="00A7375D"/>
    <w:rsid w:val="00A7442F"/>
    <w:rsid w:val="00A7628F"/>
    <w:rsid w:val="00A76473"/>
    <w:rsid w:val="00A771B0"/>
    <w:rsid w:val="00A7748D"/>
    <w:rsid w:val="00A776A8"/>
    <w:rsid w:val="00A778E6"/>
    <w:rsid w:val="00A77C55"/>
    <w:rsid w:val="00A77F76"/>
    <w:rsid w:val="00A80583"/>
    <w:rsid w:val="00A80B95"/>
    <w:rsid w:val="00A8177F"/>
    <w:rsid w:val="00A83097"/>
    <w:rsid w:val="00A83ED1"/>
    <w:rsid w:val="00A849D0"/>
    <w:rsid w:val="00A85149"/>
    <w:rsid w:val="00A8559E"/>
    <w:rsid w:val="00A8586F"/>
    <w:rsid w:val="00A85DC8"/>
    <w:rsid w:val="00A85F03"/>
    <w:rsid w:val="00A86436"/>
    <w:rsid w:val="00A864F1"/>
    <w:rsid w:val="00A86620"/>
    <w:rsid w:val="00A87836"/>
    <w:rsid w:val="00A87E0B"/>
    <w:rsid w:val="00A87F1E"/>
    <w:rsid w:val="00A90610"/>
    <w:rsid w:val="00A907DF"/>
    <w:rsid w:val="00A90AEF"/>
    <w:rsid w:val="00A91665"/>
    <w:rsid w:val="00A918A0"/>
    <w:rsid w:val="00A91AE5"/>
    <w:rsid w:val="00A91C4A"/>
    <w:rsid w:val="00A91F92"/>
    <w:rsid w:val="00A9252C"/>
    <w:rsid w:val="00A92C66"/>
    <w:rsid w:val="00A92E38"/>
    <w:rsid w:val="00A9329F"/>
    <w:rsid w:val="00A936F8"/>
    <w:rsid w:val="00A93F77"/>
    <w:rsid w:val="00A9445D"/>
    <w:rsid w:val="00A94627"/>
    <w:rsid w:val="00A949F5"/>
    <w:rsid w:val="00A951DE"/>
    <w:rsid w:val="00A95751"/>
    <w:rsid w:val="00A958E5"/>
    <w:rsid w:val="00A95D1A"/>
    <w:rsid w:val="00A967B8"/>
    <w:rsid w:val="00A96AE0"/>
    <w:rsid w:val="00A97E79"/>
    <w:rsid w:val="00AA01AD"/>
    <w:rsid w:val="00AA02E1"/>
    <w:rsid w:val="00AA0429"/>
    <w:rsid w:val="00AA12C0"/>
    <w:rsid w:val="00AA1572"/>
    <w:rsid w:val="00AA2104"/>
    <w:rsid w:val="00AA23F0"/>
    <w:rsid w:val="00AA2AF0"/>
    <w:rsid w:val="00AA2D90"/>
    <w:rsid w:val="00AA35A5"/>
    <w:rsid w:val="00AA392A"/>
    <w:rsid w:val="00AA3965"/>
    <w:rsid w:val="00AA44D4"/>
    <w:rsid w:val="00AA4615"/>
    <w:rsid w:val="00AA4B6F"/>
    <w:rsid w:val="00AA4C0D"/>
    <w:rsid w:val="00AA4C9A"/>
    <w:rsid w:val="00AA504B"/>
    <w:rsid w:val="00AA578C"/>
    <w:rsid w:val="00AA5F9E"/>
    <w:rsid w:val="00AA6445"/>
    <w:rsid w:val="00AA6CE4"/>
    <w:rsid w:val="00AA6DB3"/>
    <w:rsid w:val="00AB0A54"/>
    <w:rsid w:val="00AB1057"/>
    <w:rsid w:val="00AB12A8"/>
    <w:rsid w:val="00AB13B7"/>
    <w:rsid w:val="00AB1555"/>
    <w:rsid w:val="00AB1F65"/>
    <w:rsid w:val="00AB2A02"/>
    <w:rsid w:val="00AB3E8C"/>
    <w:rsid w:val="00AB4327"/>
    <w:rsid w:val="00AB477C"/>
    <w:rsid w:val="00AB5492"/>
    <w:rsid w:val="00AB56DE"/>
    <w:rsid w:val="00AB616E"/>
    <w:rsid w:val="00AB6AE1"/>
    <w:rsid w:val="00AB6C3A"/>
    <w:rsid w:val="00AB7E99"/>
    <w:rsid w:val="00AC0951"/>
    <w:rsid w:val="00AC0B51"/>
    <w:rsid w:val="00AC129B"/>
    <w:rsid w:val="00AC1CB9"/>
    <w:rsid w:val="00AC1D8E"/>
    <w:rsid w:val="00AC258D"/>
    <w:rsid w:val="00AC26B3"/>
    <w:rsid w:val="00AC3952"/>
    <w:rsid w:val="00AC3E8B"/>
    <w:rsid w:val="00AC45A6"/>
    <w:rsid w:val="00AC4A55"/>
    <w:rsid w:val="00AC4D5F"/>
    <w:rsid w:val="00AC51F1"/>
    <w:rsid w:val="00AC5430"/>
    <w:rsid w:val="00AC5EB5"/>
    <w:rsid w:val="00AC6072"/>
    <w:rsid w:val="00AC62C4"/>
    <w:rsid w:val="00AC6A01"/>
    <w:rsid w:val="00AC6A54"/>
    <w:rsid w:val="00AC6B49"/>
    <w:rsid w:val="00AC6B54"/>
    <w:rsid w:val="00AC6C4F"/>
    <w:rsid w:val="00AC7056"/>
    <w:rsid w:val="00AC73AF"/>
    <w:rsid w:val="00AC7AB5"/>
    <w:rsid w:val="00AD081F"/>
    <w:rsid w:val="00AD0BB8"/>
    <w:rsid w:val="00AD11F5"/>
    <w:rsid w:val="00AD14B5"/>
    <w:rsid w:val="00AD1577"/>
    <w:rsid w:val="00AD1CEE"/>
    <w:rsid w:val="00AD21D6"/>
    <w:rsid w:val="00AD280C"/>
    <w:rsid w:val="00AD2C93"/>
    <w:rsid w:val="00AD2F10"/>
    <w:rsid w:val="00AD394B"/>
    <w:rsid w:val="00AD3CA6"/>
    <w:rsid w:val="00AD4360"/>
    <w:rsid w:val="00AD4F37"/>
    <w:rsid w:val="00AD5171"/>
    <w:rsid w:val="00AD51DD"/>
    <w:rsid w:val="00AD5592"/>
    <w:rsid w:val="00AD5ED3"/>
    <w:rsid w:val="00AD5F7C"/>
    <w:rsid w:val="00AD63E9"/>
    <w:rsid w:val="00AD73D3"/>
    <w:rsid w:val="00AD745D"/>
    <w:rsid w:val="00AD748B"/>
    <w:rsid w:val="00AD7BB6"/>
    <w:rsid w:val="00AE2156"/>
    <w:rsid w:val="00AE237C"/>
    <w:rsid w:val="00AE2BC6"/>
    <w:rsid w:val="00AE3195"/>
    <w:rsid w:val="00AE325E"/>
    <w:rsid w:val="00AE4087"/>
    <w:rsid w:val="00AE43C5"/>
    <w:rsid w:val="00AE59F4"/>
    <w:rsid w:val="00AE5CF2"/>
    <w:rsid w:val="00AE6ED5"/>
    <w:rsid w:val="00AF0AE3"/>
    <w:rsid w:val="00AF17EA"/>
    <w:rsid w:val="00AF1D9E"/>
    <w:rsid w:val="00AF1DBE"/>
    <w:rsid w:val="00AF2096"/>
    <w:rsid w:val="00AF237E"/>
    <w:rsid w:val="00AF2B9C"/>
    <w:rsid w:val="00AF3387"/>
    <w:rsid w:val="00AF381D"/>
    <w:rsid w:val="00AF44CB"/>
    <w:rsid w:val="00AF5007"/>
    <w:rsid w:val="00AF50AB"/>
    <w:rsid w:val="00AF5248"/>
    <w:rsid w:val="00AF5533"/>
    <w:rsid w:val="00AF5ED2"/>
    <w:rsid w:val="00AF6017"/>
    <w:rsid w:val="00AF6575"/>
    <w:rsid w:val="00B00685"/>
    <w:rsid w:val="00B01061"/>
    <w:rsid w:val="00B01448"/>
    <w:rsid w:val="00B0153B"/>
    <w:rsid w:val="00B01C7B"/>
    <w:rsid w:val="00B027F2"/>
    <w:rsid w:val="00B03292"/>
    <w:rsid w:val="00B03340"/>
    <w:rsid w:val="00B03563"/>
    <w:rsid w:val="00B0390A"/>
    <w:rsid w:val="00B03ECC"/>
    <w:rsid w:val="00B04957"/>
    <w:rsid w:val="00B0497F"/>
    <w:rsid w:val="00B04B13"/>
    <w:rsid w:val="00B04E8A"/>
    <w:rsid w:val="00B04FA9"/>
    <w:rsid w:val="00B055BF"/>
    <w:rsid w:val="00B05713"/>
    <w:rsid w:val="00B05CA1"/>
    <w:rsid w:val="00B05D11"/>
    <w:rsid w:val="00B05F77"/>
    <w:rsid w:val="00B07B17"/>
    <w:rsid w:val="00B10028"/>
    <w:rsid w:val="00B105B0"/>
    <w:rsid w:val="00B10B0A"/>
    <w:rsid w:val="00B11691"/>
    <w:rsid w:val="00B11E2D"/>
    <w:rsid w:val="00B12DB8"/>
    <w:rsid w:val="00B12FD4"/>
    <w:rsid w:val="00B13419"/>
    <w:rsid w:val="00B135DB"/>
    <w:rsid w:val="00B13929"/>
    <w:rsid w:val="00B13D3B"/>
    <w:rsid w:val="00B13FC0"/>
    <w:rsid w:val="00B1427C"/>
    <w:rsid w:val="00B145BD"/>
    <w:rsid w:val="00B14623"/>
    <w:rsid w:val="00B146E4"/>
    <w:rsid w:val="00B147EE"/>
    <w:rsid w:val="00B14A0E"/>
    <w:rsid w:val="00B14B4B"/>
    <w:rsid w:val="00B14BD2"/>
    <w:rsid w:val="00B14C7C"/>
    <w:rsid w:val="00B15172"/>
    <w:rsid w:val="00B1559F"/>
    <w:rsid w:val="00B1594D"/>
    <w:rsid w:val="00B15A3F"/>
    <w:rsid w:val="00B16731"/>
    <w:rsid w:val="00B16B4C"/>
    <w:rsid w:val="00B16F41"/>
    <w:rsid w:val="00B220F1"/>
    <w:rsid w:val="00B22D03"/>
    <w:rsid w:val="00B22FED"/>
    <w:rsid w:val="00B2363C"/>
    <w:rsid w:val="00B23B67"/>
    <w:rsid w:val="00B244E3"/>
    <w:rsid w:val="00B25E66"/>
    <w:rsid w:val="00B25EF9"/>
    <w:rsid w:val="00B25FB8"/>
    <w:rsid w:val="00B262E8"/>
    <w:rsid w:val="00B27102"/>
    <w:rsid w:val="00B27492"/>
    <w:rsid w:val="00B278E2"/>
    <w:rsid w:val="00B27C12"/>
    <w:rsid w:val="00B27CC8"/>
    <w:rsid w:val="00B30023"/>
    <w:rsid w:val="00B30028"/>
    <w:rsid w:val="00B300B0"/>
    <w:rsid w:val="00B303AE"/>
    <w:rsid w:val="00B30E01"/>
    <w:rsid w:val="00B3156E"/>
    <w:rsid w:val="00B31A3A"/>
    <w:rsid w:val="00B31B2E"/>
    <w:rsid w:val="00B31C9B"/>
    <w:rsid w:val="00B329A0"/>
    <w:rsid w:val="00B33C7A"/>
    <w:rsid w:val="00B33E77"/>
    <w:rsid w:val="00B3440E"/>
    <w:rsid w:val="00B34690"/>
    <w:rsid w:val="00B34B5D"/>
    <w:rsid w:val="00B34BF6"/>
    <w:rsid w:val="00B35972"/>
    <w:rsid w:val="00B35FAA"/>
    <w:rsid w:val="00B361B7"/>
    <w:rsid w:val="00B36495"/>
    <w:rsid w:val="00B366F1"/>
    <w:rsid w:val="00B37DFA"/>
    <w:rsid w:val="00B40877"/>
    <w:rsid w:val="00B40929"/>
    <w:rsid w:val="00B40F74"/>
    <w:rsid w:val="00B4115F"/>
    <w:rsid w:val="00B412B2"/>
    <w:rsid w:val="00B423D2"/>
    <w:rsid w:val="00B4381A"/>
    <w:rsid w:val="00B43C32"/>
    <w:rsid w:val="00B43EE6"/>
    <w:rsid w:val="00B44195"/>
    <w:rsid w:val="00B44810"/>
    <w:rsid w:val="00B4505C"/>
    <w:rsid w:val="00B457A3"/>
    <w:rsid w:val="00B45F55"/>
    <w:rsid w:val="00B46966"/>
    <w:rsid w:val="00B47C5A"/>
    <w:rsid w:val="00B50AFE"/>
    <w:rsid w:val="00B50DD7"/>
    <w:rsid w:val="00B50DED"/>
    <w:rsid w:val="00B51C42"/>
    <w:rsid w:val="00B51CB7"/>
    <w:rsid w:val="00B52AF5"/>
    <w:rsid w:val="00B52BDD"/>
    <w:rsid w:val="00B52C22"/>
    <w:rsid w:val="00B53432"/>
    <w:rsid w:val="00B54220"/>
    <w:rsid w:val="00B5432A"/>
    <w:rsid w:val="00B54B23"/>
    <w:rsid w:val="00B5521F"/>
    <w:rsid w:val="00B5530B"/>
    <w:rsid w:val="00B55562"/>
    <w:rsid w:val="00B55AB3"/>
    <w:rsid w:val="00B5654D"/>
    <w:rsid w:val="00B5675C"/>
    <w:rsid w:val="00B56E2B"/>
    <w:rsid w:val="00B56FB9"/>
    <w:rsid w:val="00B57AA3"/>
    <w:rsid w:val="00B57AC1"/>
    <w:rsid w:val="00B57D08"/>
    <w:rsid w:val="00B6134A"/>
    <w:rsid w:val="00B6180E"/>
    <w:rsid w:val="00B61DF8"/>
    <w:rsid w:val="00B6259B"/>
    <w:rsid w:val="00B62B6C"/>
    <w:rsid w:val="00B634A3"/>
    <w:rsid w:val="00B63A8F"/>
    <w:rsid w:val="00B63C0C"/>
    <w:rsid w:val="00B643D2"/>
    <w:rsid w:val="00B649C8"/>
    <w:rsid w:val="00B64B3A"/>
    <w:rsid w:val="00B650C8"/>
    <w:rsid w:val="00B65ACA"/>
    <w:rsid w:val="00B65C94"/>
    <w:rsid w:val="00B6691C"/>
    <w:rsid w:val="00B673F4"/>
    <w:rsid w:val="00B675D6"/>
    <w:rsid w:val="00B67A6B"/>
    <w:rsid w:val="00B67C0C"/>
    <w:rsid w:val="00B67EC8"/>
    <w:rsid w:val="00B70B25"/>
    <w:rsid w:val="00B71847"/>
    <w:rsid w:val="00B71C71"/>
    <w:rsid w:val="00B71EB2"/>
    <w:rsid w:val="00B72719"/>
    <w:rsid w:val="00B73279"/>
    <w:rsid w:val="00B73923"/>
    <w:rsid w:val="00B73A6D"/>
    <w:rsid w:val="00B73BEF"/>
    <w:rsid w:val="00B73DD3"/>
    <w:rsid w:val="00B73E1B"/>
    <w:rsid w:val="00B7414E"/>
    <w:rsid w:val="00B74187"/>
    <w:rsid w:val="00B743C0"/>
    <w:rsid w:val="00B743DA"/>
    <w:rsid w:val="00B744F9"/>
    <w:rsid w:val="00B747AE"/>
    <w:rsid w:val="00B74819"/>
    <w:rsid w:val="00B74B1D"/>
    <w:rsid w:val="00B7593E"/>
    <w:rsid w:val="00B76044"/>
    <w:rsid w:val="00B76117"/>
    <w:rsid w:val="00B765A7"/>
    <w:rsid w:val="00B76F83"/>
    <w:rsid w:val="00B7737D"/>
    <w:rsid w:val="00B77EFA"/>
    <w:rsid w:val="00B77F94"/>
    <w:rsid w:val="00B80136"/>
    <w:rsid w:val="00B80E02"/>
    <w:rsid w:val="00B815F8"/>
    <w:rsid w:val="00B817B6"/>
    <w:rsid w:val="00B81F93"/>
    <w:rsid w:val="00B8211A"/>
    <w:rsid w:val="00B8232E"/>
    <w:rsid w:val="00B83077"/>
    <w:rsid w:val="00B83FF7"/>
    <w:rsid w:val="00B8660D"/>
    <w:rsid w:val="00B867C6"/>
    <w:rsid w:val="00B867F4"/>
    <w:rsid w:val="00B86D57"/>
    <w:rsid w:val="00B8736E"/>
    <w:rsid w:val="00B87782"/>
    <w:rsid w:val="00B87C07"/>
    <w:rsid w:val="00B908FD"/>
    <w:rsid w:val="00B90A32"/>
    <w:rsid w:val="00B9138E"/>
    <w:rsid w:val="00B914BE"/>
    <w:rsid w:val="00B91645"/>
    <w:rsid w:val="00B91D93"/>
    <w:rsid w:val="00B91DE4"/>
    <w:rsid w:val="00B925AF"/>
    <w:rsid w:val="00B92745"/>
    <w:rsid w:val="00B92985"/>
    <w:rsid w:val="00B9366D"/>
    <w:rsid w:val="00B93680"/>
    <w:rsid w:val="00B93B26"/>
    <w:rsid w:val="00B93D63"/>
    <w:rsid w:val="00B94303"/>
    <w:rsid w:val="00B94469"/>
    <w:rsid w:val="00B94941"/>
    <w:rsid w:val="00B955D2"/>
    <w:rsid w:val="00B95A9E"/>
    <w:rsid w:val="00B95AEC"/>
    <w:rsid w:val="00B968D1"/>
    <w:rsid w:val="00B971FE"/>
    <w:rsid w:val="00B9786C"/>
    <w:rsid w:val="00BA0E41"/>
    <w:rsid w:val="00BA1CC1"/>
    <w:rsid w:val="00BA1EE6"/>
    <w:rsid w:val="00BA2013"/>
    <w:rsid w:val="00BA26D6"/>
    <w:rsid w:val="00BA3E5E"/>
    <w:rsid w:val="00BA4433"/>
    <w:rsid w:val="00BA4A35"/>
    <w:rsid w:val="00BA4DC4"/>
    <w:rsid w:val="00BA5770"/>
    <w:rsid w:val="00BA7019"/>
    <w:rsid w:val="00BA763C"/>
    <w:rsid w:val="00BA7A2B"/>
    <w:rsid w:val="00BB04E6"/>
    <w:rsid w:val="00BB0D0C"/>
    <w:rsid w:val="00BB15F8"/>
    <w:rsid w:val="00BB2DF1"/>
    <w:rsid w:val="00BB3B38"/>
    <w:rsid w:val="00BB3BCB"/>
    <w:rsid w:val="00BB4E6A"/>
    <w:rsid w:val="00BB5306"/>
    <w:rsid w:val="00BB58E2"/>
    <w:rsid w:val="00BB6A20"/>
    <w:rsid w:val="00BB6BBF"/>
    <w:rsid w:val="00BB6FB3"/>
    <w:rsid w:val="00BB7181"/>
    <w:rsid w:val="00BB79D3"/>
    <w:rsid w:val="00BB7C4D"/>
    <w:rsid w:val="00BB7FDB"/>
    <w:rsid w:val="00BC054B"/>
    <w:rsid w:val="00BC0748"/>
    <w:rsid w:val="00BC0E30"/>
    <w:rsid w:val="00BC1512"/>
    <w:rsid w:val="00BC163E"/>
    <w:rsid w:val="00BC2D8F"/>
    <w:rsid w:val="00BC31DA"/>
    <w:rsid w:val="00BC3B96"/>
    <w:rsid w:val="00BC3DB8"/>
    <w:rsid w:val="00BC3E35"/>
    <w:rsid w:val="00BC3EED"/>
    <w:rsid w:val="00BC408F"/>
    <w:rsid w:val="00BC44C6"/>
    <w:rsid w:val="00BC4709"/>
    <w:rsid w:val="00BC56D7"/>
    <w:rsid w:val="00BC6651"/>
    <w:rsid w:val="00BC66E0"/>
    <w:rsid w:val="00BC6A21"/>
    <w:rsid w:val="00BC6B79"/>
    <w:rsid w:val="00BC72DA"/>
    <w:rsid w:val="00BD02B0"/>
    <w:rsid w:val="00BD0749"/>
    <w:rsid w:val="00BD0915"/>
    <w:rsid w:val="00BD12D7"/>
    <w:rsid w:val="00BD1BFB"/>
    <w:rsid w:val="00BD1D9E"/>
    <w:rsid w:val="00BD2453"/>
    <w:rsid w:val="00BD27F3"/>
    <w:rsid w:val="00BD2A49"/>
    <w:rsid w:val="00BD3028"/>
    <w:rsid w:val="00BD363A"/>
    <w:rsid w:val="00BD38C9"/>
    <w:rsid w:val="00BD4577"/>
    <w:rsid w:val="00BD467A"/>
    <w:rsid w:val="00BD501D"/>
    <w:rsid w:val="00BD5261"/>
    <w:rsid w:val="00BD6D0D"/>
    <w:rsid w:val="00BD6D33"/>
    <w:rsid w:val="00BD7DDA"/>
    <w:rsid w:val="00BE0B88"/>
    <w:rsid w:val="00BE115E"/>
    <w:rsid w:val="00BE1DC2"/>
    <w:rsid w:val="00BE29CB"/>
    <w:rsid w:val="00BE2A4B"/>
    <w:rsid w:val="00BE319B"/>
    <w:rsid w:val="00BE32A9"/>
    <w:rsid w:val="00BE3B38"/>
    <w:rsid w:val="00BE3B60"/>
    <w:rsid w:val="00BE3E76"/>
    <w:rsid w:val="00BE4197"/>
    <w:rsid w:val="00BE4475"/>
    <w:rsid w:val="00BE474D"/>
    <w:rsid w:val="00BE53F7"/>
    <w:rsid w:val="00BE567C"/>
    <w:rsid w:val="00BE7FD4"/>
    <w:rsid w:val="00BF08F5"/>
    <w:rsid w:val="00BF09D0"/>
    <w:rsid w:val="00BF0C33"/>
    <w:rsid w:val="00BF0D5B"/>
    <w:rsid w:val="00BF0DA6"/>
    <w:rsid w:val="00BF0E4C"/>
    <w:rsid w:val="00BF0F46"/>
    <w:rsid w:val="00BF1831"/>
    <w:rsid w:val="00BF18B3"/>
    <w:rsid w:val="00BF1B8E"/>
    <w:rsid w:val="00BF218A"/>
    <w:rsid w:val="00BF25A9"/>
    <w:rsid w:val="00BF2F17"/>
    <w:rsid w:val="00BF3B39"/>
    <w:rsid w:val="00BF3EB6"/>
    <w:rsid w:val="00BF3FC8"/>
    <w:rsid w:val="00BF43AB"/>
    <w:rsid w:val="00BF45E9"/>
    <w:rsid w:val="00BF460F"/>
    <w:rsid w:val="00BF4E54"/>
    <w:rsid w:val="00BF4ED9"/>
    <w:rsid w:val="00BF5380"/>
    <w:rsid w:val="00BF5766"/>
    <w:rsid w:val="00BF6259"/>
    <w:rsid w:val="00BF7D03"/>
    <w:rsid w:val="00BF7EC9"/>
    <w:rsid w:val="00C0195D"/>
    <w:rsid w:val="00C01B7D"/>
    <w:rsid w:val="00C02205"/>
    <w:rsid w:val="00C02274"/>
    <w:rsid w:val="00C02470"/>
    <w:rsid w:val="00C0274E"/>
    <w:rsid w:val="00C02E15"/>
    <w:rsid w:val="00C02EA1"/>
    <w:rsid w:val="00C03353"/>
    <w:rsid w:val="00C04719"/>
    <w:rsid w:val="00C04CC5"/>
    <w:rsid w:val="00C05354"/>
    <w:rsid w:val="00C0558D"/>
    <w:rsid w:val="00C05636"/>
    <w:rsid w:val="00C05F47"/>
    <w:rsid w:val="00C06599"/>
    <w:rsid w:val="00C065ED"/>
    <w:rsid w:val="00C0676D"/>
    <w:rsid w:val="00C06BFE"/>
    <w:rsid w:val="00C06C43"/>
    <w:rsid w:val="00C06C47"/>
    <w:rsid w:val="00C07425"/>
    <w:rsid w:val="00C074FE"/>
    <w:rsid w:val="00C07DB5"/>
    <w:rsid w:val="00C114AC"/>
    <w:rsid w:val="00C11884"/>
    <w:rsid w:val="00C1213D"/>
    <w:rsid w:val="00C1213F"/>
    <w:rsid w:val="00C1242B"/>
    <w:rsid w:val="00C129AD"/>
    <w:rsid w:val="00C12E63"/>
    <w:rsid w:val="00C13394"/>
    <w:rsid w:val="00C13B0E"/>
    <w:rsid w:val="00C13F57"/>
    <w:rsid w:val="00C143C5"/>
    <w:rsid w:val="00C14606"/>
    <w:rsid w:val="00C14905"/>
    <w:rsid w:val="00C155D1"/>
    <w:rsid w:val="00C15735"/>
    <w:rsid w:val="00C15957"/>
    <w:rsid w:val="00C15EEB"/>
    <w:rsid w:val="00C176E8"/>
    <w:rsid w:val="00C17739"/>
    <w:rsid w:val="00C17B1F"/>
    <w:rsid w:val="00C17CAC"/>
    <w:rsid w:val="00C17E07"/>
    <w:rsid w:val="00C17E0A"/>
    <w:rsid w:val="00C20A4B"/>
    <w:rsid w:val="00C20B61"/>
    <w:rsid w:val="00C21152"/>
    <w:rsid w:val="00C21C3C"/>
    <w:rsid w:val="00C22230"/>
    <w:rsid w:val="00C22405"/>
    <w:rsid w:val="00C22846"/>
    <w:rsid w:val="00C22976"/>
    <w:rsid w:val="00C2328A"/>
    <w:rsid w:val="00C2358B"/>
    <w:rsid w:val="00C236B8"/>
    <w:rsid w:val="00C24D5C"/>
    <w:rsid w:val="00C24EBF"/>
    <w:rsid w:val="00C24ED0"/>
    <w:rsid w:val="00C25148"/>
    <w:rsid w:val="00C2552D"/>
    <w:rsid w:val="00C25543"/>
    <w:rsid w:val="00C25B9A"/>
    <w:rsid w:val="00C25FF3"/>
    <w:rsid w:val="00C2601A"/>
    <w:rsid w:val="00C2677A"/>
    <w:rsid w:val="00C26D5F"/>
    <w:rsid w:val="00C26E09"/>
    <w:rsid w:val="00C27307"/>
    <w:rsid w:val="00C30C47"/>
    <w:rsid w:val="00C30DB2"/>
    <w:rsid w:val="00C31DC7"/>
    <w:rsid w:val="00C32177"/>
    <w:rsid w:val="00C326E0"/>
    <w:rsid w:val="00C32A1F"/>
    <w:rsid w:val="00C334EB"/>
    <w:rsid w:val="00C340DB"/>
    <w:rsid w:val="00C34870"/>
    <w:rsid w:val="00C34FCE"/>
    <w:rsid w:val="00C35204"/>
    <w:rsid w:val="00C35AF4"/>
    <w:rsid w:val="00C36458"/>
    <w:rsid w:val="00C368A7"/>
    <w:rsid w:val="00C36916"/>
    <w:rsid w:val="00C37394"/>
    <w:rsid w:val="00C37C6E"/>
    <w:rsid w:val="00C37D29"/>
    <w:rsid w:val="00C40171"/>
    <w:rsid w:val="00C40DA3"/>
    <w:rsid w:val="00C41204"/>
    <w:rsid w:val="00C415EA"/>
    <w:rsid w:val="00C41DC6"/>
    <w:rsid w:val="00C421AC"/>
    <w:rsid w:val="00C4268E"/>
    <w:rsid w:val="00C429F2"/>
    <w:rsid w:val="00C42A8E"/>
    <w:rsid w:val="00C42AB3"/>
    <w:rsid w:val="00C43291"/>
    <w:rsid w:val="00C447E6"/>
    <w:rsid w:val="00C45280"/>
    <w:rsid w:val="00C45317"/>
    <w:rsid w:val="00C453ED"/>
    <w:rsid w:val="00C4555A"/>
    <w:rsid w:val="00C45D7E"/>
    <w:rsid w:val="00C46113"/>
    <w:rsid w:val="00C4651B"/>
    <w:rsid w:val="00C470C2"/>
    <w:rsid w:val="00C4760B"/>
    <w:rsid w:val="00C47A5A"/>
    <w:rsid w:val="00C47E8F"/>
    <w:rsid w:val="00C501A4"/>
    <w:rsid w:val="00C50F88"/>
    <w:rsid w:val="00C51468"/>
    <w:rsid w:val="00C51C7C"/>
    <w:rsid w:val="00C521BB"/>
    <w:rsid w:val="00C52478"/>
    <w:rsid w:val="00C5249D"/>
    <w:rsid w:val="00C5266A"/>
    <w:rsid w:val="00C52BE1"/>
    <w:rsid w:val="00C53030"/>
    <w:rsid w:val="00C530B7"/>
    <w:rsid w:val="00C5473C"/>
    <w:rsid w:val="00C54CBD"/>
    <w:rsid w:val="00C54D5D"/>
    <w:rsid w:val="00C555AC"/>
    <w:rsid w:val="00C564C0"/>
    <w:rsid w:val="00C564C6"/>
    <w:rsid w:val="00C567EB"/>
    <w:rsid w:val="00C56E01"/>
    <w:rsid w:val="00C57526"/>
    <w:rsid w:val="00C60166"/>
    <w:rsid w:val="00C602C7"/>
    <w:rsid w:val="00C60A13"/>
    <w:rsid w:val="00C60A59"/>
    <w:rsid w:val="00C60C8C"/>
    <w:rsid w:val="00C614AB"/>
    <w:rsid w:val="00C62145"/>
    <w:rsid w:val="00C62211"/>
    <w:rsid w:val="00C62A83"/>
    <w:rsid w:val="00C632A1"/>
    <w:rsid w:val="00C63DAB"/>
    <w:rsid w:val="00C640A8"/>
    <w:rsid w:val="00C645B9"/>
    <w:rsid w:val="00C64D0C"/>
    <w:rsid w:val="00C65384"/>
    <w:rsid w:val="00C65763"/>
    <w:rsid w:val="00C65DF2"/>
    <w:rsid w:val="00C66D78"/>
    <w:rsid w:val="00C66D7D"/>
    <w:rsid w:val="00C6714D"/>
    <w:rsid w:val="00C67928"/>
    <w:rsid w:val="00C67AA1"/>
    <w:rsid w:val="00C70E46"/>
    <w:rsid w:val="00C713AB"/>
    <w:rsid w:val="00C713E7"/>
    <w:rsid w:val="00C72498"/>
    <w:rsid w:val="00C72632"/>
    <w:rsid w:val="00C72E59"/>
    <w:rsid w:val="00C7331E"/>
    <w:rsid w:val="00C73830"/>
    <w:rsid w:val="00C73BC3"/>
    <w:rsid w:val="00C74D74"/>
    <w:rsid w:val="00C75457"/>
    <w:rsid w:val="00C758B3"/>
    <w:rsid w:val="00C75C78"/>
    <w:rsid w:val="00C75E8C"/>
    <w:rsid w:val="00C7605F"/>
    <w:rsid w:val="00C7608C"/>
    <w:rsid w:val="00C76D92"/>
    <w:rsid w:val="00C77B7B"/>
    <w:rsid w:val="00C800E5"/>
    <w:rsid w:val="00C80434"/>
    <w:rsid w:val="00C8081F"/>
    <w:rsid w:val="00C80A58"/>
    <w:rsid w:val="00C80DF2"/>
    <w:rsid w:val="00C815A4"/>
    <w:rsid w:val="00C82B77"/>
    <w:rsid w:val="00C8385E"/>
    <w:rsid w:val="00C846B5"/>
    <w:rsid w:val="00C846BB"/>
    <w:rsid w:val="00C847DB"/>
    <w:rsid w:val="00C84D76"/>
    <w:rsid w:val="00C84F3E"/>
    <w:rsid w:val="00C85B18"/>
    <w:rsid w:val="00C85E67"/>
    <w:rsid w:val="00C866AE"/>
    <w:rsid w:val="00C86730"/>
    <w:rsid w:val="00C86ADC"/>
    <w:rsid w:val="00C86BBE"/>
    <w:rsid w:val="00C86FAF"/>
    <w:rsid w:val="00C8743A"/>
    <w:rsid w:val="00C8762A"/>
    <w:rsid w:val="00C87B63"/>
    <w:rsid w:val="00C87BFD"/>
    <w:rsid w:val="00C905B0"/>
    <w:rsid w:val="00C907A6"/>
    <w:rsid w:val="00C91182"/>
    <w:rsid w:val="00C9123F"/>
    <w:rsid w:val="00C93176"/>
    <w:rsid w:val="00C936EA"/>
    <w:rsid w:val="00C93DF5"/>
    <w:rsid w:val="00C9496B"/>
    <w:rsid w:val="00C94CF5"/>
    <w:rsid w:val="00C94F5B"/>
    <w:rsid w:val="00C95730"/>
    <w:rsid w:val="00C95779"/>
    <w:rsid w:val="00C9595E"/>
    <w:rsid w:val="00C95A0D"/>
    <w:rsid w:val="00C96181"/>
    <w:rsid w:val="00C963E3"/>
    <w:rsid w:val="00C967CD"/>
    <w:rsid w:val="00C96FD7"/>
    <w:rsid w:val="00C97621"/>
    <w:rsid w:val="00C97A62"/>
    <w:rsid w:val="00C97DF8"/>
    <w:rsid w:val="00CA0AC1"/>
    <w:rsid w:val="00CA1628"/>
    <w:rsid w:val="00CA1D73"/>
    <w:rsid w:val="00CA1FE4"/>
    <w:rsid w:val="00CA2D2B"/>
    <w:rsid w:val="00CA2FBF"/>
    <w:rsid w:val="00CA2FE1"/>
    <w:rsid w:val="00CA30EE"/>
    <w:rsid w:val="00CA335B"/>
    <w:rsid w:val="00CA3436"/>
    <w:rsid w:val="00CA3C18"/>
    <w:rsid w:val="00CA3C5D"/>
    <w:rsid w:val="00CA43FF"/>
    <w:rsid w:val="00CA544C"/>
    <w:rsid w:val="00CA5BEA"/>
    <w:rsid w:val="00CA6AEE"/>
    <w:rsid w:val="00CA771C"/>
    <w:rsid w:val="00CB0331"/>
    <w:rsid w:val="00CB042A"/>
    <w:rsid w:val="00CB0E61"/>
    <w:rsid w:val="00CB105B"/>
    <w:rsid w:val="00CB132C"/>
    <w:rsid w:val="00CB179B"/>
    <w:rsid w:val="00CB187D"/>
    <w:rsid w:val="00CB1C2B"/>
    <w:rsid w:val="00CB1CF0"/>
    <w:rsid w:val="00CB22B4"/>
    <w:rsid w:val="00CB2CC6"/>
    <w:rsid w:val="00CB4EC5"/>
    <w:rsid w:val="00CB4F02"/>
    <w:rsid w:val="00CB4F2D"/>
    <w:rsid w:val="00CB5135"/>
    <w:rsid w:val="00CB5A5C"/>
    <w:rsid w:val="00CB5EC3"/>
    <w:rsid w:val="00CB601E"/>
    <w:rsid w:val="00CB690C"/>
    <w:rsid w:val="00CB6966"/>
    <w:rsid w:val="00CB6AE6"/>
    <w:rsid w:val="00CB77EF"/>
    <w:rsid w:val="00CB7807"/>
    <w:rsid w:val="00CC0251"/>
    <w:rsid w:val="00CC0369"/>
    <w:rsid w:val="00CC12A6"/>
    <w:rsid w:val="00CC2008"/>
    <w:rsid w:val="00CC2333"/>
    <w:rsid w:val="00CC2903"/>
    <w:rsid w:val="00CC2CDC"/>
    <w:rsid w:val="00CC31FB"/>
    <w:rsid w:val="00CC3C72"/>
    <w:rsid w:val="00CC4A35"/>
    <w:rsid w:val="00CC4DC2"/>
    <w:rsid w:val="00CC5A92"/>
    <w:rsid w:val="00CC60D0"/>
    <w:rsid w:val="00CC6AC2"/>
    <w:rsid w:val="00CC6D18"/>
    <w:rsid w:val="00CC76FB"/>
    <w:rsid w:val="00CC7968"/>
    <w:rsid w:val="00CC7A40"/>
    <w:rsid w:val="00CC7ADF"/>
    <w:rsid w:val="00CC7D9A"/>
    <w:rsid w:val="00CC7F58"/>
    <w:rsid w:val="00CD0C47"/>
    <w:rsid w:val="00CD126D"/>
    <w:rsid w:val="00CD15A8"/>
    <w:rsid w:val="00CD1C75"/>
    <w:rsid w:val="00CD2598"/>
    <w:rsid w:val="00CD2723"/>
    <w:rsid w:val="00CD28E5"/>
    <w:rsid w:val="00CD29DA"/>
    <w:rsid w:val="00CD2AE1"/>
    <w:rsid w:val="00CD33EF"/>
    <w:rsid w:val="00CD3CBB"/>
    <w:rsid w:val="00CD496D"/>
    <w:rsid w:val="00CD548E"/>
    <w:rsid w:val="00CD5989"/>
    <w:rsid w:val="00CD5D25"/>
    <w:rsid w:val="00CD6456"/>
    <w:rsid w:val="00CD651B"/>
    <w:rsid w:val="00CD6673"/>
    <w:rsid w:val="00CD7108"/>
    <w:rsid w:val="00CD74A2"/>
    <w:rsid w:val="00CD775D"/>
    <w:rsid w:val="00CE0029"/>
    <w:rsid w:val="00CE0CE7"/>
    <w:rsid w:val="00CE15BB"/>
    <w:rsid w:val="00CE181E"/>
    <w:rsid w:val="00CE20B1"/>
    <w:rsid w:val="00CE2178"/>
    <w:rsid w:val="00CE3587"/>
    <w:rsid w:val="00CE38E2"/>
    <w:rsid w:val="00CE3F63"/>
    <w:rsid w:val="00CE444F"/>
    <w:rsid w:val="00CE5120"/>
    <w:rsid w:val="00CE54A3"/>
    <w:rsid w:val="00CE5711"/>
    <w:rsid w:val="00CE63CC"/>
    <w:rsid w:val="00CE6958"/>
    <w:rsid w:val="00CE6BCD"/>
    <w:rsid w:val="00CE7A17"/>
    <w:rsid w:val="00CE7F34"/>
    <w:rsid w:val="00CF00BC"/>
    <w:rsid w:val="00CF0197"/>
    <w:rsid w:val="00CF0A2C"/>
    <w:rsid w:val="00CF0AFB"/>
    <w:rsid w:val="00CF15A3"/>
    <w:rsid w:val="00CF165A"/>
    <w:rsid w:val="00CF1743"/>
    <w:rsid w:val="00CF3A77"/>
    <w:rsid w:val="00CF3B11"/>
    <w:rsid w:val="00CF4230"/>
    <w:rsid w:val="00CF48B7"/>
    <w:rsid w:val="00CF4CB0"/>
    <w:rsid w:val="00CF4CED"/>
    <w:rsid w:val="00CF4EF0"/>
    <w:rsid w:val="00CF5610"/>
    <w:rsid w:val="00CF570B"/>
    <w:rsid w:val="00CF5E53"/>
    <w:rsid w:val="00CF64C6"/>
    <w:rsid w:val="00CF64D9"/>
    <w:rsid w:val="00CF686D"/>
    <w:rsid w:val="00CF69FC"/>
    <w:rsid w:val="00CF6E37"/>
    <w:rsid w:val="00CF6F97"/>
    <w:rsid w:val="00CF70CF"/>
    <w:rsid w:val="00CF73F2"/>
    <w:rsid w:val="00CF770C"/>
    <w:rsid w:val="00D01DF8"/>
    <w:rsid w:val="00D02020"/>
    <w:rsid w:val="00D021FC"/>
    <w:rsid w:val="00D02873"/>
    <w:rsid w:val="00D02BCF"/>
    <w:rsid w:val="00D02DEB"/>
    <w:rsid w:val="00D02E6F"/>
    <w:rsid w:val="00D02FC1"/>
    <w:rsid w:val="00D03CBB"/>
    <w:rsid w:val="00D03D20"/>
    <w:rsid w:val="00D05171"/>
    <w:rsid w:val="00D0534A"/>
    <w:rsid w:val="00D05AE9"/>
    <w:rsid w:val="00D05E84"/>
    <w:rsid w:val="00D063F9"/>
    <w:rsid w:val="00D07174"/>
    <w:rsid w:val="00D0784D"/>
    <w:rsid w:val="00D07B18"/>
    <w:rsid w:val="00D07B84"/>
    <w:rsid w:val="00D10B56"/>
    <w:rsid w:val="00D10D39"/>
    <w:rsid w:val="00D10D74"/>
    <w:rsid w:val="00D10F7F"/>
    <w:rsid w:val="00D11072"/>
    <w:rsid w:val="00D111BA"/>
    <w:rsid w:val="00D12E88"/>
    <w:rsid w:val="00D1314F"/>
    <w:rsid w:val="00D1318B"/>
    <w:rsid w:val="00D134B0"/>
    <w:rsid w:val="00D136FD"/>
    <w:rsid w:val="00D137F8"/>
    <w:rsid w:val="00D13E17"/>
    <w:rsid w:val="00D14C7B"/>
    <w:rsid w:val="00D1596F"/>
    <w:rsid w:val="00D1641C"/>
    <w:rsid w:val="00D164F7"/>
    <w:rsid w:val="00D16C2A"/>
    <w:rsid w:val="00D16DAA"/>
    <w:rsid w:val="00D16DBF"/>
    <w:rsid w:val="00D16F39"/>
    <w:rsid w:val="00D1786D"/>
    <w:rsid w:val="00D17A9C"/>
    <w:rsid w:val="00D17AC7"/>
    <w:rsid w:val="00D2146E"/>
    <w:rsid w:val="00D219E0"/>
    <w:rsid w:val="00D22002"/>
    <w:rsid w:val="00D22395"/>
    <w:rsid w:val="00D22712"/>
    <w:rsid w:val="00D2300B"/>
    <w:rsid w:val="00D233E3"/>
    <w:rsid w:val="00D23620"/>
    <w:rsid w:val="00D2402C"/>
    <w:rsid w:val="00D2463F"/>
    <w:rsid w:val="00D246AB"/>
    <w:rsid w:val="00D24CFE"/>
    <w:rsid w:val="00D24D1C"/>
    <w:rsid w:val="00D25017"/>
    <w:rsid w:val="00D25253"/>
    <w:rsid w:val="00D25D9E"/>
    <w:rsid w:val="00D26533"/>
    <w:rsid w:val="00D30A29"/>
    <w:rsid w:val="00D31363"/>
    <w:rsid w:val="00D31A74"/>
    <w:rsid w:val="00D32156"/>
    <w:rsid w:val="00D3231E"/>
    <w:rsid w:val="00D3257A"/>
    <w:rsid w:val="00D326F1"/>
    <w:rsid w:val="00D32E44"/>
    <w:rsid w:val="00D33173"/>
    <w:rsid w:val="00D33328"/>
    <w:rsid w:val="00D33506"/>
    <w:rsid w:val="00D346E3"/>
    <w:rsid w:val="00D3479E"/>
    <w:rsid w:val="00D353BC"/>
    <w:rsid w:val="00D35577"/>
    <w:rsid w:val="00D357C8"/>
    <w:rsid w:val="00D36F80"/>
    <w:rsid w:val="00D37062"/>
    <w:rsid w:val="00D373DC"/>
    <w:rsid w:val="00D375D6"/>
    <w:rsid w:val="00D3765E"/>
    <w:rsid w:val="00D37E20"/>
    <w:rsid w:val="00D37F84"/>
    <w:rsid w:val="00D401D2"/>
    <w:rsid w:val="00D403C2"/>
    <w:rsid w:val="00D4045C"/>
    <w:rsid w:val="00D405FB"/>
    <w:rsid w:val="00D40AF2"/>
    <w:rsid w:val="00D40C51"/>
    <w:rsid w:val="00D415D3"/>
    <w:rsid w:val="00D41770"/>
    <w:rsid w:val="00D41F88"/>
    <w:rsid w:val="00D420E7"/>
    <w:rsid w:val="00D4234E"/>
    <w:rsid w:val="00D42759"/>
    <w:rsid w:val="00D4374D"/>
    <w:rsid w:val="00D43894"/>
    <w:rsid w:val="00D43CF4"/>
    <w:rsid w:val="00D45237"/>
    <w:rsid w:val="00D45755"/>
    <w:rsid w:val="00D47053"/>
    <w:rsid w:val="00D477B0"/>
    <w:rsid w:val="00D47A06"/>
    <w:rsid w:val="00D50EC9"/>
    <w:rsid w:val="00D511CE"/>
    <w:rsid w:val="00D51428"/>
    <w:rsid w:val="00D52266"/>
    <w:rsid w:val="00D529CC"/>
    <w:rsid w:val="00D52F90"/>
    <w:rsid w:val="00D535A1"/>
    <w:rsid w:val="00D53A30"/>
    <w:rsid w:val="00D54048"/>
    <w:rsid w:val="00D54729"/>
    <w:rsid w:val="00D54F51"/>
    <w:rsid w:val="00D55067"/>
    <w:rsid w:val="00D556BF"/>
    <w:rsid w:val="00D55888"/>
    <w:rsid w:val="00D55EFA"/>
    <w:rsid w:val="00D55FE3"/>
    <w:rsid w:val="00D56236"/>
    <w:rsid w:val="00D57402"/>
    <w:rsid w:val="00D577C8"/>
    <w:rsid w:val="00D57AF2"/>
    <w:rsid w:val="00D57C3A"/>
    <w:rsid w:val="00D57CC2"/>
    <w:rsid w:val="00D6154E"/>
    <w:rsid w:val="00D61CBB"/>
    <w:rsid w:val="00D621C2"/>
    <w:rsid w:val="00D6265A"/>
    <w:rsid w:val="00D6280B"/>
    <w:rsid w:val="00D63889"/>
    <w:rsid w:val="00D63A3C"/>
    <w:rsid w:val="00D63CC9"/>
    <w:rsid w:val="00D63D81"/>
    <w:rsid w:val="00D64D1A"/>
    <w:rsid w:val="00D65C99"/>
    <w:rsid w:val="00D66005"/>
    <w:rsid w:val="00D662D8"/>
    <w:rsid w:val="00D663ED"/>
    <w:rsid w:val="00D6669D"/>
    <w:rsid w:val="00D67337"/>
    <w:rsid w:val="00D70552"/>
    <w:rsid w:val="00D70DBC"/>
    <w:rsid w:val="00D712B0"/>
    <w:rsid w:val="00D71AC6"/>
    <w:rsid w:val="00D7281D"/>
    <w:rsid w:val="00D72836"/>
    <w:rsid w:val="00D72BBC"/>
    <w:rsid w:val="00D72C77"/>
    <w:rsid w:val="00D74E04"/>
    <w:rsid w:val="00D753E4"/>
    <w:rsid w:val="00D75CA2"/>
    <w:rsid w:val="00D75FA4"/>
    <w:rsid w:val="00D7649F"/>
    <w:rsid w:val="00D767ED"/>
    <w:rsid w:val="00D76935"/>
    <w:rsid w:val="00D76A47"/>
    <w:rsid w:val="00D77092"/>
    <w:rsid w:val="00D772A7"/>
    <w:rsid w:val="00D77F3C"/>
    <w:rsid w:val="00D8074E"/>
    <w:rsid w:val="00D81B25"/>
    <w:rsid w:val="00D820B2"/>
    <w:rsid w:val="00D820D0"/>
    <w:rsid w:val="00D8212A"/>
    <w:rsid w:val="00D830B7"/>
    <w:rsid w:val="00D83EC6"/>
    <w:rsid w:val="00D843EB"/>
    <w:rsid w:val="00D8444B"/>
    <w:rsid w:val="00D84E46"/>
    <w:rsid w:val="00D84E79"/>
    <w:rsid w:val="00D85546"/>
    <w:rsid w:val="00D86235"/>
    <w:rsid w:val="00D8632A"/>
    <w:rsid w:val="00D863AC"/>
    <w:rsid w:val="00D86979"/>
    <w:rsid w:val="00D86C7A"/>
    <w:rsid w:val="00D86D46"/>
    <w:rsid w:val="00D87D63"/>
    <w:rsid w:val="00D903E4"/>
    <w:rsid w:val="00D90A55"/>
    <w:rsid w:val="00D90B8C"/>
    <w:rsid w:val="00D917F7"/>
    <w:rsid w:val="00D9274A"/>
    <w:rsid w:val="00D92BF8"/>
    <w:rsid w:val="00D92DC7"/>
    <w:rsid w:val="00D9313C"/>
    <w:rsid w:val="00D93258"/>
    <w:rsid w:val="00D9387E"/>
    <w:rsid w:val="00D94B80"/>
    <w:rsid w:val="00D952CF"/>
    <w:rsid w:val="00D95F76"/>
    <w:rsid w:val="00D96401"/>
    <w:rsid w:val="00D973E6"/>
    <w:rsid w:val="00D9743E"/>
    <w:rsid w:val="00D975D4"/>
    <w:rsid w:val="00D97C84"/>
    <w:rsid w:val="00DA0380"/>
    <w:rsid w:val="00DA0649"/>
    <w:rsid w:val="00DA0AF8"/>
    <w:rsid w:val="00DA11D6"/>
    <w:rsid w:val="00DA15B1"/>
    <w:rsid w:val="00DA1EB3"/>
    <w:rsid w:val="00DA27A4"/>
    <w:rsid w:val="00DA2EAD"/>
    <w:rsid w:val="00DA3227"/>
    <w:rsid w:val="00DA3873"/>
    <w:rsid w:val="00DA3DC5"/>
    <w:rsid w:val="00DA4570"/>
    <w:rsid w:val="00DA4B65"/>
    <w:rsid w:val="00DA4D6E"/>
    <w:rsid w:val="00DA4E61"/>
    <w:rsid w:val="00DA53F3"/>
    <w:rsid w:val="00DA5D1F"/>
    <w:rsid w:val="00DA5DD0"/>
    <w:rsid w:val="00DA66AC"/>
    <w:rsid w:val="00DA772C"/>
    <w:rsid w:val="00DA7877"/>
    <w:rsid w:val="00DA7B31"/>
    <w:rsid w:val="00DB0002"/>
    <w:rsid w:val="00DB03D1"/>
    <w:rsid w:val="00DB0996"/>
    <w:rsid w:val="00DB137B"/>
    <w:rsid w:val="00DB21C2"/>
    <w:rsid w:val="00DB2340"/>
    <w:rsid w:val="00DB2C55"/>
    <w:rsid w:val="00DB4413"/>
    <w:rsid w:val="00DB452B"/>
    <w:rsid w:val="00DB4BBD"/>
    <w:rsid w:val="00DB61F4"/>
    <w:rsid w:val="00DB625E"/>
    <w:rsid w:val="00DB6B8F"/>
    <w:rsid w:val="00DB6F01"/>
    <w:rsid w:val="00DB6F8C"/>
    <w:rsid w:val="00DB7602"/>
    <w:rsid w:val="00DC128C"/>
    <w:rsid w:val="00DC16EF"/>
    <w:rsid w:val="00DC19BC"/>
    <w:rsid w:val="00DC1DFD"/>
    <w:rsid w:val="00DC2029"/>
    <w:rsid w:val="00DC2ADC"/>
    <w:rsid w:val="00DC2FAE"/>
    <w:rsid w:val="00DC3051"/>
    <w:rsid w:val="00DC4047"/>
    <w:rsid w:val="00DC4BE7"/>
    <w:rsid w:val="00DC522A"/>
    <w:rsid w:val="00DC5629"/>
    <w:rsid w:val="00DC5CCD"/>
    <w:rsid w:val="00DC5E0F"/>
    <w:rsid w:val="00DC5E7F"/>
    <w:rsid w:val="00DC628A"/>
    <w:rsid w:val="00DC6419"/>
    <w:rsid w:val="00DC71FD"/>
    <w:rsid w:val="00DC75DD"/>
    <w:rsid w:val="00DC7609"/>
    <w:rsid w:val="00DD0134"/>
    <w:rsid w:val="00DD04F6"/>
    <w:rsid w:val="00DD0BB0"/>
    <w:rsid w:val="00DD1A04"/>
    <w:rsid w:val="00DD269F"/>
    <w:rsid w:val="00DD2B27"/>
    <w:rsid w:val="00DD3019"/>
    <w:rsid w:val="00DD331A"/>
    <w:rsid w:val="00DD3E33"/>
    <w:rsid w:val="00DD43E6"/>
    <w:rsid w:val="00DD4D75"/>
    <w:rsid w:val="00DD5591"/>
    <w:rsid w:val="00DD5D76"/>
    <w:rsid w:val="00DD7035"/>
    <w:rsid w:val="00DD7065"/>
    <w:rsid w:val="00DD7318"/>
    <w:rsid w:val="00DE0307"/>
    <w:rsid w:val="00DE15D7"/>
    <w:rsid w:val="00DE1A78"/>
    <w:rsid w:val="00DE220B"/>
    <w:rsid w:val="00DE2905"/>
    <w:rsid w:val="00DE32EB"/>
    <w:rsid w:val="00DE39D7"/>
    <w:rsid w:val="00DE3AD7"/>
    <w:rsid w:val="00DE50B1"/>
    <w:rsid w:val="00DE5D59"/>
    <w:rsid w:val="00DE5E25"/>
    <w:rsid w:val="00DE6936"/>
    <w:rsid w:val="00DE6EB5"/>
    <w:rsid w:val="00DE72EE"/>
    <w:rsid w:val="00DE738D"/>
    <w:rsid w:val="00DE7564"/>
    <w:rsid w:val="00DE79B2"/>
    <w:rsid w:val="00DF0B5B"/>
    <w:rsid w:val="00DF2E41"/>
    <w:rsid w:val="00DF386D"/>
    <w:rsid w:val="00DF4000"/>
    <w:rsid w:val="00DF402F"/>
    <w:rsid w:val="00DF494D"/>
    <w:rsid w:val="00DF4CD0"/>
    <w:rsid w:val="00DF546D"/>
    <w:rsid w:val="00DF63CE"/>
    <w:rsid w:val="00DF63FE"/>
    <w:rsid w:val="00DF6745"/>
    <w:rsid w:val="00DF6DE7"/>
    <w:rsid w:val="00DF7A1C"/>
    <w:rsid w:val="00DF7A48"/>
    <w:rsid w:val="00DF7A7B"/>
    <w:rsid w:val="00DF7E73"/>
    <w:rsid w:val="00DF7EA7"/>
    <w:rsid w:val="00E0004A"/>
    <w:rsid w:val="00E00228"/>
    <w:rsid w:val="00E003E1"/>
    <w:rsid w:val="00E0072F"/>
    <w:rsid w:val="00E0103C"/>
    <w:rsid w:val="00E01E18"/>
    <w:rsid w:val="00E0252E"/>
    <w:rsid w:val="00E025FA"/>
    <w:rsid w:val="00E02972"/>
    <w:rsid w:val="00E02BB3"/>
    <w:rsid w:val="00E02DB9"/>
    <w:rsid w:val="00E03010"/>
    <w:rsid w:val="00E03B8E"/>
    <w:rsid w:val="00E0417C"/>
    <w:rsid w:val="00E044AC"/>
    <w:rsid w:val="00E045A9"/>
    <w:rsid w:val="00E04A79"/>
    <w:rsid w:val="00E04EF4"/>
    <w:rsid w:val="00E054F3"/>
    <w:rsid w:val="00E05B8C"/>
    <w:rsid w:val="00E065E7"/>
    <w:rsid w:val="00E072FE"/>
    <w:rsid w:val="00E074CF"/>
    <w:rsid w:val="00E07C00"/>
    <w:rsid w:val="00E10822"/>
    <w:rsid w:val="00E10E9E"/>
    <w:rsid w:val="00E1126B"/>
    <w:rsid w:val="00E117A8"/>
    <w:rsid w:val="00E11D33"/>
    <w:rsid w:val="00E122B9"/>
    <w:rsid w:val="00E12AC6"/>
    <w:rsid w:val="00E1317C"/>
    <w:rsid w:val="00E133E4"/>
    <w:rsid w:val="00E138D3"/>
    <w:rsid w:val="00E13AAA"/>
    <w:rsid w:val="00E13B90"/>
    <w:rsid w:val="00E13FD6"/>
    <w:rsid w:val="00E14BDC"/>
    <w:rsid w:val="00E1549F"/>
    <w:rsid w:val="00E15594"/>
    <w:rsid w:val="00E156CE"/>
    <w:rsid w:val="00E15910"/>
    <w:rsid w:val="00E15C59"/>
    <w:rsid w:val="00E16149"/>
    <w:rsid w:val="00E165C6"/>
    <w:rsid w:val="00E16710"/>
    <w:rsid w:val="00E16A1F"/>
    <w:rsid w:val="00E16BB0"/>
    <w:rsid w:val="00E174BA"/>
    <w:rsid w:val="00E17E2B"/>
    <w:rsid w:val="00E17F2C"/>
    <w:rsid w:val="00E2032A"/>
    <w:rsid w:val="00E206FB"/>
    <w:rsid w:val="00E20D38"/>
    <w:rsid w:val="00E2152B"/>
    <w:rsid w:val="00E21564"/>
    <w:rsid w:val="00E22295"/>
    <w:rsid w:val="00E227E5"/>
    <w:rsid w:val="00E234B6"/>
    <w:rsid w:val="00E2366E"/>
    <w:rsid w:val="00E238B6"/>
    <w:rsid w:val="00E23DC9"/>
    <w:rsid w:val="00E2420B"/>
    <w:rsid w:val="00E25A4A"/>
    <w:rsid w:val="00E26182"/>
    <w:rsid w:val="00E26BBC"/>
    <w:rsid w:val="00E26E1A"/>
    <w:rsid w:val="00E26FEA"/>
    <w:rsid w:val="00E27867"/>
    <w:rsid w:val="00E27D1C"/>
    <w:rsid w:val="00E27F8B"/>
    <w:rsid w:val="00E30573"/>
    <w:rsid w:val="00E3103F"/>
    <w:rsid w:val="00E32550"/>
    <w:rsid w:val="00E32B95"/>
    <w:rsid w:val="00E32EC4"/>
    <w:rsid w:val="00E33A4A"/>
    <w:rsid w:val="00E35BA2"/>
    <w:rsid w:val="00E3661C"/>
    <w:rsid w:val="00E367CE"/>
    <w:rsid w:val="00E36B99"/>
    <w:rsid w:val="00E37294"/>
    <w:rsid w:val="00E377B3"/>
    <w:rsid w:val="00E37B6C"/>
    <w:rsid w:val="00E37E3E"/>
    <w:rsid w:val="00E4034A"/>
    <w:rsid w:val="00E4083C"/>
    <w:rsid w:val="00E40D90"/>
    <w:rsid w:val="00E40E6A"/>
    <w:rsid w:val="00E41260"/>
    <w:rsid w:val="00E415B1"/>
    <w:rsid w:val="00E41935"/>
    <w:rsid w:val="00E41FEC"/>
    <w:rsid w:val="00E43F0E"/>
    <w:rsid w:val="00E44432"/>
    <w:rsid w:val="00E44E5A"/>
    <w:rsid w:val="00E45852"/>
    <w:rsid w:val="00E45B84"/>
    <w:rsid w:val="00E46183"/>
    <w:rsid w:val="00E46F7F"/>
    <w:rsid w:val="00E475BA"/>
    <w:rsid w:val="00E504A5"/>
    <w:rsid w:val="00E504D1"/>
    <w:rsid w:val="00E51D5F"/>
    <w:rsid w:val="00E51F34"/>
    <w:rsid w:val="00E5207B"/>
    <w:rsid w:val="00E527B5"/>
    <w:rsid w:val="00E52C10"/>
    <w:rsid w:val="00E52EBD"/>
    <w:rsid w:val="00E52F5F"/>
    <w:rsid w:val="00E53CAA"/>
    <w:rsid w:val="00E53D72"/>
    <w:rsid w:val="00E53F78"/>
    <w:rsid w:val="00E5435F"/>
    <w:rsid w:val="00E54367"/>
    <w:rsid w:val="00E543AB"/>
    <w:rsid w:val="00E54629"/>
    <w:rsid w:val="00E54782"/>
    <w:rsid w:val="00E548C7"/>
    <w:rsid w:val="00E54B9C"/>
    <w:rsid w:val="00E5586D"/>
    <w:rsid w:val="00E55B77"/>
    <w:rsid w:val="00E56EA5"/>
    <w:rsid w:val="00E57236"/>
    <w:rsid w:val="00E57D87"/>
    <w:rsid w:val="00E57FBB"/>
    <w:rsid w:val="00E6018E"/>
    <w:rsid w:val="00E6021D"/>
    <w:rsid w:val="00E60796"/>
    <w:rsid w:val="00E60818"/>
    <w:rsid w:val="00E615C9"/>
    <w:rsid w:val="00E618D7"/>
    <w:rsid w:val="00E61BBD"/>
    <w:rsid w:val="00E61C68"/>
    <w:rsid w:val="00E61DBE"/>
    <w:rsid w:val="00E61F04"/>
    <w:rsid w:val="00E62334"/>
    <w:rsid w:val="00E62B62"/>
    <w:rsid w:val="00E634AF"/>
    <w:rsid w:val="00E63514"/>
    <w:rsid w:val="00E636F7"/>
    <w:rsid w:val="00E63897"/>
    <w:rsid w:val="00E64292"/>
    <w:rsid w:val="00E64D43"/>
    <w:rsid w:val="00E6503D"/>
    <w:rsid w:val="00E6508E"/>
    <w:rsid w:val="00E65680"/>
    <w:rsid w:val="00E66F67"/>
    <w:rsid w:val="00E6705E"/>
    <w:rsid w:val="00E67559"/>
    <w:rsid w:val="00E67862"/>
    <w:rsid w:val="00E67867"/>
    <w:rsid w:val="00E67AF5"/>
    <w:rsid w:val="00E67E36"/>
    <w:rsid w:val="00E67E89"/>
    <w:rsid w:val="00E70226"/>
    <w:rsid w:val="00E704F9"/>
    <w:rsid w:val="00E70B25"/>
    <w:rsid w:val="00E712B5"/>
    <w:rsid w:val="00E7216B"/>
    <w:rsid w:val="00E72286"/>
    <w:rsid w:val="00E722B7"/>
    <w:rsid w:val="00E724C1"/>
    <w:rsid w:val="00E72DE1"/>
    <w:rsid w:val="00E73087"/>
    <w:rsid w:val="00E73346"/>
    <w:rsid w:val="00E734E8"/>
    <w:rsid w:val="00E73E1A"/>
    <w:rsid w:val="00E7463D"/>
    <w:rsid w:val="00E7537C"/>
    <w:rsid w:val="00E7543F"/>
    <w:rsid w:val="00E757F8"/>
    <w:rsid w:val="00E76852"/>
    <w:rsid w:val="00E76C39"/>
    <w:rsid w:val="00E76FFA"/>
    <w:rsid w:val="00E800CE"/>
    <w:rsid w:val="00E800F0"/>
    <w:rsid w:val="00E80416"/>
    <w:rsid w:val="00E8235F"/>
    <w:rsid w:val="00E823AB"/>
    <w:rsid w:val="00E82518"/>
    <w:rsid w:val="00E832EE"/>
    <w:rsid w:val="00E833BC"/>
    <w:rsid w:val="00E83870"/>
    <w:rsid w:val="00E849DF"/>
    <w:rsid w:val="00E84B8F"/>
    <w:rsid w:val="00E8518C"/>
    <w:rsid w:val="00E85A03"/>
    <w:rsid w:val="00E86210"/>
    <w:rsid w:val="00E86498"/>
    <w:rsid w:val="00E86957"/>
    <w:rsid w:val="00E86C0B"/>
    <w:rsid w:val="00E87238"/>
    <w:rsid w:val="00E8728B"/>
    <w:rsid w:val="00E87512"/>
    <w:rsid w:val="00E87FAD"/>
    <w:rsid w:val="00E902C9"/>
    <w:rsid w:val="00E907F2"/>
    <w:rsid w:val="00E90D7F"/>
    <w:rsid w:val="00E91090"/>
    <w:rsid w:val="00E91756"/>
    <w:rsid w:val="00E91880"/>
    <w:rsid w:val="00E92086"/>
    <w:rsid w:val="00E92402"/>
    <w:rsid w:val="00E924A2"/>
    <w:rsid w:val="00E928F5"/>
    <w:rsid w:val="00E92B76"/>
    <w:rsid w:val="00E93586"/>
    <w:rsid w:val="00E93ACC"/>
    <w:rsid w:val="00E93C69"/>
    <w:rsid w:val="00E93DDB"/>
    <w:rsid w:val="00E95091"/>
    <w:rsid w:val="00E95A81"/>
    <w:rsid w:val="00E96693"/>
    <w:rsid w:val="00E96A6C"/>
    <w:rsid w:val="00E96D40"/>
    <w:rsid w:val="00E97538"/>
    <w:rsid w:val="00E97D1A"/>
    <w:rsid w:val="00EA0E9E"/>
    <w:rsid w:val="00EA16B3"/>
    <w:rsid w:val="00EA1955"/>
    <w:rsid w:val="00EA2520"/>
    <w:rsid w:val="00EA2703"/>
    <w:rsid w:val="00EA2985"/>
    <w:rsid w:val="00EA344B"/>
    <w:rsid w:val="00EA416B"/>
    <w:rsid w:val="00EA4263"/>
    <w:rsid w:val="00EA4F2B"/>
    <w:rsid w:val="00EA4F38"/>
    <w:rsid w:val="00EA5098"/>
    <w:rsid w:val="00EA557C"/>
    <w:rsid w:val="00EA5898"/>
    <w:rsid w:val="00EA5B6A"/>
    <w:rsid w:val="00EA5B7B"/>
    <w:rsid w:val="00EA6553"/>
    <w:rsid w:val="00EA6695"/>
    <w:rsid w:val="00EA78CE"/>
    <w:rsid w:val="00EA7A3F"/>
    <w:rsid w:val="00EB01D4"/>
    <w:rsid w:val="00EB068D"/>
    <w:rsid w:val="00EB0AB2"/>
    <w:rsid w:val="00EB1525"/>
    <w:rsid w:val="00EB15AB"/>
    <w:rsid w:val="00EB1777"/>
    <w:rsid w:val="00EB1B1D"/>
    <w:rsid w:val="00EB1D79"/>
    <w:rsid w:val="00EB34E9"/>
    <w:rsid w:val="00EB389F"/>
    <w:rsid w:val="00EB3987"/>
    <w:rsid w:val="00EB398E"/>
    <w:rsid w:val="00EB438C"/>
    <w:rsid w:val="00EB47EE"/>
    <w:rsid w:val="00EB4819"/>
    <w:rsid w:val="00EB53A8"/>
    <w:rsid w:val="00EB548F"/>
    <w:rsid w:val="00EB5837"/>
    <w:rsid w:val="00EB58D4"/>
    <w:rsid w:val="00EB5B3E"/>
    <w:rsid w:val="00EB5DFC"/>
    <w:rsid w:val="00EB5E54"/>
    <w:rsid w:val="00EB61E1"/>
    <w:rsid w:val="00EB6621"/>
    <w:rsid w:val="00EB6CA5"/>
    <w:rsid w:val="00EB7585"/>
    <w:rsid w:val="00EB77DB"/>
    <w:rsid w:val="00EC04C6"/>
    <w:rsid w:val="00EC0C2C"/>
    <w:rsid w:val="00EC20DA"/>
    <w:rsid w:val="00EC29A0"/>
    <w:rsid w:val="00EC2DF0"/>
    <w:rsid w:val="00EC335A"/>
    <w:rsid w:val="00EC38F3"/>
    <w:rsid w:val="00EC4419"/>
    <w:rsid w:val="00EC44E9"/>
    <w:rsid w:val="00EC486F"/>
    <w:rsid w:val="00EC5EB4"/>
    <w:rsid w:val="00EC616E"/>
    <w:rsid w:val="00EC6461"/>
    <w:rsid w:val="00EC6674"/>
    <w:rsid w:val="00EC6BDE"/>
    <w:rsid w:val="00EC7B07"/>
    <w:rsid w:val="00ED0A03"/>
    <w:rsid w:val="00ED17CC"/>
    <w:rsid w:val="00ED1BF7"/>
    <w:rsid w:val="00ED2111"/>
    <w:rsid w:val="00ED2F09"/>
    <w:rsid w:val="00ED30F3"/>
    <w:rsid w:val="00ED3566"/>
    <w:rsid w:val="00ED3720"/>
    <w:rsid w:val="00ED3868"/>
    <w:rsid w:val="00ED3A38"/>
    <w:rsid w:val="00ED4B97"/>
    <w:rsid w:val="00ED55DD"/>
    <w:rsid w:val="00ED7684"/>
    <w:rsid w:val="00ED7B8C"/>
    <w:rsid w:val="00ED7DE6"/>
    <w:rsid w:val="00EE000F"/>
    <w:rsid w:val="00EE0145"/>
    <w:rsid w:val="00EE0413"/>
    <w:rsid w:val="00EE1123"/>
    <w:rsid w:val="00EE113F"/>
    <w:rsid w:val="00EE1ACB"/>
    <w:rsid w:val="00EE29E9"/>
    <w:rsid w:val="00EE2CB6"/>
    <w:rsid w:val="00EE385C"/>
    <w:rsid w:val="00EE38A3"/>
    <w:rsid w:val="00EE43CD"/>
    <w:rsid w:val="00EE4454"/>
    <w:rsid w:val="00EE4C60"/>
    <w:rsid w:val="00EE5788"/>
    <w:rsid w:val="00EE5895"/>
    <w:rsid w:val="00EE62F3"/>
    <w:rsid w:val="00EE6BF7"/>
    <w:rsid w:val="00EE70DF"/>
    <w:rsid w:val="00EE7EA1"/>
    <w:rsid w:val="00EF093F"/>
    <w:rsid w:val="00EF0EFD"/>
    <w:rsid w:val="00EF1591"/>
    <w:rsid w:val="00EF18DA"/>
    <w:rsid w:val="00EF18ED"/>
    <w:rsid w:val="00EF1C16"/>
    <w:rsid w:val="00EF20B9"/>
    <w:rsid w:val="00EF2176"/>
    <w:rsid w:val="00EF219D"/>
    <w:rsid w:val="00EF2DAD"/>
    <w:rsid w:val="00EF3AA0"/>
    <w:rsid w:val="00EF3C57"/>
    <w:rsid w:val="00EF3E06"/>
    <w:rsid w:val="00EF44AD"/>
    <w:rsid w:val="00EF4C3E"/>
    <w:rsid w:val="00EF4CB5"/>
    <w:rsid w:val="00EF4F75"/>
    <w:rsid w:val="00EF5281"/>
    <w:rsid w:val="00EF5719"/>
    <w:rsid w:val="00EF5C27"/>
    <w:rsid w:val="00EF650C"/>
    <w:rsid w:val="00EF679E"/>
    <w:rsid w:val="00EF6D0B"/>
    <w:rsid w:val="00F0024F"/>
    <w:rsid w:val="00F003DF"/>
    <w:rsid w:val="00F0063B"/>
    <w:rsid w:val="00F008F6"/>
    <w:rsid w:val="00F00EB1"/>
    <w:rsid w:val="00F02139"/>
    <w:rsid w:val="00F0232F"/>
    <w:rsid w:val="00F02B91"/>
    <w:rsid w:val="00F02EFA"/>
    <w:rsid w:val="00F03D88"/>
    <w:rsid w:val="00F03FB4"/>
    <w:rsid w:val="00F04348"/>
    <w:rsid w:val="00F044E4"/>
    <w:rsid w:val="00F048AA"/>
    <w:rsid w:val="00F04D3D"/>
    <w:rsid w:val="00F05C86"/>
    <w:rsid w:val="00F062CD"/>
    <w:rsid w:val="00F063E6"/>
    <w:rsid w:val="00F06C86"/>
    <w:rsid w:val="00F06CAC"/>
    <w:rsid w:val="00F06ECE"/>
    <w:rsid w:val="00F070E8"/>
    <w:rsid w:val="00F07147"/>
    <w:rsid w:val="00F0717E"/>
    <w:rsid w:val="00F07369"/>
    <w:rsid w:val="00F07417"/>
    <w:rsid w:val="00F076D0"/>
    <w:rsid w:val="00F07A44"/>
    <w:rsid w:val="00F1011F"/>
    <w:rsid w:val="00F124AC"/>
    <w:rsid w:val="00F12B0B"/>
    <w:rsid w:val="00F13143"/>
    <w:rsid w:val="00F13656"/>
    <w:rsid w:val="00F13A62"/>
    <w:rsid w:val="00F13B21"/>
    <w:rsid w:val="00F13E51"/>
    <w:rsid w:val="00F1404D"/>
    <w:rsid w:val="00F14931"/>
    <w:rsid w:val="00F14CAF"/>
    <w:rsid w:val="00F14E43"/>
    <w:rsid w:val="00F15648"/>
    <w:rsid w:val="00F15964"/>
    <w:rsid w:val="00F16475"/>
    <w:rsid w:val="00F16E25"/>
    <w:rsid w:val="00F171C3"/>
    <w:rsid w:val="00F17387"/>
    <w:rsid w:val="00F17C7E"/>
    <w:rsid w:val="00F17DC8"/>
    <w:rsid w:val="00F200F3"/>
    <w:rsid w:val="00F20504"/>
    <w:rsid w:val="00F22168"/>
    <w:rsid w:val="00F2272F"/>
    <w:rsid w:val="00F2275A"/>
    <w:rsid w:val="00F2300F"/>
    <w:rsid w:val="00F235CA"/>
    <w:rsid w:val="00F23D53"/>
    <w:rsid w:val="00F24128"/>
    <w:rsid w:val="00F24F0A"/>
    <w:rsid w:val="00F251B0"/>
    <w:rsid w:val="00F25652"/>
    <w:rsid w:val="00F25903"/>
    <w:rsid w:val="00F25E9F"/>
    <w:rsid w:val="00F26377"/>
    <w:rsid w:val="00F264CC"/>
    <w:rsid w:val="00F26A8A"/>
    <w:rsid w:val="00F27320"/>
    <w:rsid w:val="00F27AAA"/>
    <w:rsid w:val="00F30250"/>
    <w:rsid w:val="00F30FFD"/>
    <w:rsid w:val="00F31658"/>
    <w:rsid w:val="00F3178C"/>
    <w:rsid w:val="00F31F43"/>
    <w:rsid w:val="00F32D2C"/>
    <w:rsid w:val="00F337F1"/>
    <w:rsid w:val="00F33BF4"/>
    <w:rsid w:val="00F33D6C"/>
    <w:rsid w:val="00F340C3"/>
    <w:rsid w:val="00F3416C"/>
    <w:rsid w:val="00F341E9"/>
    <w:rsid w:val="00F3425E"/>
    <w:rsid w:val="00F348BD"/>
    <w:rsid w:val="00F34BA4"/>
    <w:rsid w:val="00F34F55"/>
    <w:rsid w:val="00F3519F"/>
    <w:rsid w:val="00F356CD"/>
    <w:rsid w:val="00F356D7"/>
    <w:rsid w:val="00F35B49"/>
    <w:rsid w:val="00F3620A"/>
    <w:rsid w:val="00F36CD0"/>
    <w:rsid w:val="00F36F73"/>
    <w:rsid w:val="00F37706"/>
    <w:rsid w:val="00F4064E"/>
    <w:rsid w:val="00F40BB3"/>
    <w:rsid w:val="00F4105B"/>
    <w:rsid w:val="00F412DD"/>
    <w:rsid w:val="00F413FE"/>
    <w:rsid w:val="00F419F3"/>
    <w:rsid w:val="00F41C89"/>
    <w:rsid w:val="00F41E82"/>
    <w:rsid w:val="00F42115"/>
    <w:rsid w:val="00F42B8C"/>
    <w:rsid w:val="00F42C51"/>
    <w:rsid w:val="00F42E92"/>
    <w:rsid w:val="00F43988"/>
    <w:rsid w:val="00F447E9"/>
    <w:rsid w:val="00F44DBF"/>
    <w:rsid w:val="00F45033"/>
    <w:rsid w:val="00F450D1"/>
    <w:rsid w:val="00F451E7"/>
    <w:rsid w:val="00F459A4"/>
    <w:rsid w:val="00F46FF6"/>
    <w:rsid w:val="00F471FA"/>
    <w:rsid w:val="00F47DB2"/>
    <w:rsid w:val="00F501A6"/>
    <w:rsid w:val="00F512AC"/>
    <w:rsid w:val="00F51EE8"/>
    <w:rsid w:val="00F51F38"/>
    <w:rsid w:val="00F520F8"/>
    <w:rsid w:val="00F525FE"/>
    <w:rsid w:val="00F535D1"/>
    <w:rsid w:val="00F5404D"/>
    <w:rsid w:val="00F54DC3"/>
    <w:rsid w:val="00F54F57"/>
    <w:rsid w:val="00F55531"/>
    <w:rsid w:val="00F559E1"/>
    <w:rsid w:val="00F56A6D"/>
    <w:rsid w:val="00F56F0B"/>
    <w:rsid w:val="00F56F41"/>
    <w:rsid w:val="00F56F8C"/>
    <w:rsid w:val="00F57031"/>
    <w:rsid w:val="00F575B1"/>
    <w:rsid w:val="00F60504"/>
    <w:rsid w:val="00F60A4A"/>
    <w:rsid w:val="00F60BDA"/>
    <w:rsid w:val="00F60D37"/>
    <w:rsid w:val="00F6129B"/>
    <w:rsid w:val="00F6130E"/>
    <w:rsid w:val="00F61852"/>
    <w:rsid w:val="00F61B6A"/>
    <w:rsid w:val="00F61C7D"/>
    <w:rsid w:val="00F621F2"/>
    <w:rsid w:val="00F62A10"/>
    <w:rsid w:val="00F62DBE"/>
    <w:rsid w:val="00F62E76"/>
    <w:rsid w:val="00F6369B"/>
    <w:rsid w:val="00F63C0B"/>
    <w:rsid w:val="00F6498B"/>
    <w:rsid w:val="00F64E3C"/>
    <w:rsid w:val="00F65004"/>
    <w:rsid w:val="00F65800"/>
    <w:rsid w:val="00F661DB"/>
    <w:rsid w:val="00F670CE"/>
    <w:rsid w:val="00F6716F"/>
    <w:rsid w:val="00F674C0"/>
    <w:rsid w:val="00F67D60"/>
    <w:rsid w:val="00F67E7F"/>
    <w:rsid w:val="00F67F3F"/>
    <w:rsid w:val="00F70503"/>
    <w:rsid w:val="00F70544"/>
    <w:rsid w:val="00F70C94"/>
    <w:rsid w:val="00F70F24"/>
    <w:rsid w:val="00F710D1"/>
    <w:rsid w:val="00F715BF"/>
    <w:rsid w:val="00F71D08"/>
    <w:rsid w:val="00F725B3"/>
    <w:rsid w:val="00F726EF"/>
    <w:rsid w:val="00F72793"/>
    <w:rsid w:val="00F72811"/>
    <w:rsid w:val="00F7286A"/>
    <w:rsid w:val="00F7329C"/>
    <w:rsid w:val="00F73AB1"/>
    <w:rsid w:val="00F73BFE"/>
    <w:rsid w:val="00F7410E"/>
    <w:rsid w:val="00F742CB"/>
    <w:rsid w:val="00F74611"/>
    <w:rsid w:val="00F746B3"/>
    <w:rsid w:val="00F749E6"/>
    <w:rsid w:val="00F74E71"/>
    <w:rsid w:val="00F7515F"/>
    <w:rsid w:val="00F75A0E"/>
    <w:rsid w:val="00F762BA"/>
    <w:rsid w:val="00F764C0"/>
    <w:rsid w:val="00F76B4B"/>
    <w:rsid w:val="00F76CF0"/>
    <w:rsid w:val="00F76F5B"/>
    <w:rsid w:val="00F776CA"/>
    <w:rsid w:val="00F807CF"/>
    <w:rsid w:val="00F80AA7"/>
    <w:rsid w:val="00F80C98"/>
    <w:rsid w:val="00F80D68"/>
    <w:rsid w:val="00F8244A"/>
    <w:rsid w:val="00F82EB8"/>
    <w:rsid w:val="00F83802"/>
    <w:rsid w:val="00F83C1A"/>
    <w:rsid w:val="00F845E7"/>
    <w:rsid w:val="00F84665"/>
    <w:rsid w:val="00F847E7"/>
    <w:rsid w:val="00F85019"/>
    <w:rsid w:val="00F85492"/>
    <w:rsid w:val="00F8558A"/>
    <w:rsid w:val="00F855D5"/>
    <w:rsid w:val="00F863CE"/>
    <w:rsid w:val="00F865C8"/>
    <w:rsid w:val="00F86DE8"/>
    <w:rsid w:val="00F87A8D"/>
    <w:rsid w:val="00F90D4C"/>
    <w:rsid w:val="00F912B9"/>
    <w:rsid w:val="00F91F43"/>
    <w:rsid w:val="00F91FAF"/>
    <w:rsid w:val="00F927A6"/>
    <w:rsid w:val="00F92808"/>
    <w:rsid w:val="00F9283F"/>
    <w:rsid w:val="00F9395D"/>
    <w:rsid w:val="00F93DE5"/>
    <w:rsid w:val="00F93E1C"/>
    <w:rsid w:val="00F943E2"/>
    <w:rsid w:val="00F94CB1"/>
    <w:rsid w:val="00F94F63"/>
    <w:rsid w:val="00F95BE6"/>
    <w:rsid w:val="00F95D71"/>
    <w:rsid w:val="00F962AF"/>
    <w:rsid w:val="00F963AC"/>
    <w:rsid w:val="00F968C5"/>
    <w:rsid w:val="00F97E5E"/>
    <w:rsid w:val="00FA0012"/>
    <w:rsid w:val="00FA01D0"/>
    <w:rsid w:val="00FA1011"/>
    <w:rsid w:val="00FA125B"/>
    <w:rsid w:val="00FA13F0"/>
    <w:rsid w:val="00FA14F1"/>
    <w:rsid w:val="00FA152B"/>
    <w:rsid w:val="00FA1624"/>
    <w:rsid w:val="00FA17CB"/>
    <w:rsid w:val="00FA24A0"/>
    <w:rsid w:val="00FA2963"/>
    <w:rsid w:val="00FA2D0A"/>
    <w:rsid w:val="00FA36CB"/>
    <w:rsid w:val="00FA38C1"/>
    <w:rsid w:val="00FA3EFA"/>
    <w:rsid w:val="00FA46EB"/>
    <w:rsid w:val="00FA4BF6"/>
    <w:rsid w:val="00FA4BF9"/>
    <w:rsid w:val="00FA5050"/>
    <w:rsid w:val="00FA653A"/>
    <w:rsid w:val="00FA66A8"/>
    <w:rsid w:val="00FA70B0"/>
    <w:rsid w:val="00FA7417"/>
    <w:rsid w:val="00FA75CA"/>
    <w:rsid w:val="00FA7890"/>
    <w:rsid w:val="00FA7ECA"/>
    <w:rsid w:val="00FB0561"/>
    <w:rsid w:val="00FB0AF1"/>
    <w:rsid w:val="00FB19B9"/>
    <w:rsid w:val="00FB1B03"/>
    <w:rsid w:val="00FB1C38"/>
    <w:rsid w:val="00FB2884"/>
    <w:rsid w:val="00FB3067"/>
    <w:rsid w:val="00FB31B2"/>
    <w:rsid w:val="00FB34B2"/>
    <w:rsid w:val="00FB4451"/>
    <w:rsid w:val="00FB4495"/>
    <w:rsid w:val="00FB489D"/>
    <w:rsid w:val="00FB545B"/>
    <w:rsid w:val="00FB5710"/>
    <w:rsid w:val="00FB5864"/>
    <w:rsid w:val="00FB60B2"/>
    <w:rsid w:val="00FB6897"/>
    <w:rsid w:val="00FB7414"/>
    <w:rsid w:val="00FB7BF1"/>
    <w:rsid w:val="00FB7D8C"/>
    <w:rsid w:val="00FC0317"/>
    <w:rsid w:val="00FC087E"/>
    <w:rsid w:val="00FC0C4C"/>
    <w:rsid w:val="00FC1414"/>
    <w:rsid w:val="00FC1D66"/>
    <w:rsid w:val="00FC257F"/>
    <w:rsid w:val="00FC2745"/>
    <w:rsid w:val="00FC3565"/>
    <w:rsid w:val="00FC3AD1"/>
    <w:rsid w:val="00FC3F3D"/>
    <w:rsid w:val="00FC50A1"/>
    <w:rsid w:val="00FC5B68"/>
    <w:rsid w:val="00FC6D13"/>
    <w:rsid w:val="00FD04D4"/>
    <w:rsid w:val="00FD063E"/>
    <w:rsid w:val="00FD07AE"/>
    <w:rsid w:val="00FD1375"/>
    <w:rsid w:val="00FD171C"/>
    <w:rsid w:val="00FD177C"/>
    <w:rsid w:val="00FD183A"/>
    <w:rsid w:val="00FD2F07"/>
    <w:rsid w:val="00FD33D2"/>
    <w:rsid w:val="00FD3B21"/>
    <w:rsid w:val="00FD433C"/>
    <w:rsid w:val="00FD4DB9"/>
    <w:rsid w:val="00FD569D"/>
    <w:rsid w:val="00FD5BE6"/>
    <w:rsid w:val="00FD60ED"/>
    <w:rsid w:val="00FD685C"/>
    <w:rsid w:val="00FD7C86"/>
    <w:rsid w:val="00FD7FCD"/>
    <w:rsid w:val="00FE00CE"/>
    <w:rsid w:val="00FE0106"/>
    <w:rsid w:val="00FE0B74"/>
    <w:rsid w:val="00FE2571"/>
    <w:rsid w:val="00FE27FB"/>
    <w:rsid w:val="00FE29AD"/>
    <w:rsid w:val="00FE3A6C"/>
    <w:rsid w:val="00FE40CC"/>
    <w:rsid w:val="00FE44E0"/>
    <w:rsid w:val="00FE4728"/>
    <w:rsid w:val="00FE5182"/>
    <w:rsid w:val="00FE5426"/>
    <w:rsid w:val="00FE5787"/>
    <w:rsid w:val="00FE5C92"/>
    <w:rsid w:val="00FE5E74"/>
    <w:rsid w:val="00FE6070"/>
    <w:rsid w:val="00FE65D1"/>
    <w:rsid w:val="00FE6AE9"/>
    <w:rsid w:val="00FE6CE9"/>
    <w:rsid w:val="00FE6EB3"/>
    <w:rsid w:val="00FE713E"/>
    <w:rsid w:val="00FF0249"/>
    <w:rsid w:val="00FF0261"/>
    <w:rsid w:val="00FF07F1"/>
    <w:rsid w:val="00FF0ACF"/>
    <w:rsid w:val="00FF0D45"/>
    <w:rsid w:val="00FF0F8E"/>
    <w:rsid w:val="00FF1185"/>
    <w:rsid w:val="00FF1561"/>
    <w:rsid w:val="00FF1F01"/>
    <w:rsid w:val="00FF2031"/>
    <w:rsid w:val="00FF242F"/>
    <w:rsid w:val="00FF2A59"/>
    <w:rsid w:val="00FF37FB"/>
    <w:rsid w:val="00FF3E2B"/>
    <w:rsid w:val="00FF3F2A"/>
    <w:rsid w:val="00FF439F"/>
    <w:rsid w:val="00FF4FFD"/>
    <w:rsid w:val="00FF5CA0"/>
    <w:rsid w:val="00FF6117"/>
    <w:rsid w:val="00FF66AE"/>
    <w:rsid w:val="00FF670E"/>
    <w:rsid w:val="00FF6C18"/>
    <w:rsid w:val="00FF6D6A"/>
    <w:rsid w:val="00FF72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width-relative:margin;mso-height-relative:margin" fillcolor="white">
      <v:fill color="white"/>
      <v:textbox style="layout-flow:vertical-ideographic"/>
    </o:shapedefaults>
    <o:shapelayout v:ext="edit">
      <o:idmap v:ext="edit" data="1"/>
    </o:shapelayout>
  </w:shapeDefaults>
  <w:decimalSymbol w:val="."/>
  <w:listSeparator w:val=","/>
  <w15:chartTrackingRefBased/>
  <w15:docId w15:val="{F016B740-A207-402E-831F-0E675CAB5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footnote reference" w:qFormat="1"/>
    <w:lsdException w:name="List Bullet" w:uiPriority="99"/>
    <w:lsdException w:name="Title" w:qFormat="1"/>
    <w:lsdException w:name="Closing" w:uiPriority="99"/>
    <w:lsdException w:name="Body Text Indent" w:uiPriority="99"/>
    <w:lsdException w:name="Subtitle" w:qFormat="1"/>
    <w:lsdException w:name="Salutation" w:uiPriority="99"/>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42D2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6515E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6515E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6515E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標題 1 字元"/>
    <w:link w:val="1"/>
    <w:uiPriority w:val="9"/>
    <w:rsid w:val="006515E4"/>
    <w:rPr>
      <w:rFonts w:ascii="Cambria" w:hAnsi="Cambria"/>
      <w:b/>
      <w:bCs/>
      <w:snapToGrid w:val="0"/>
      <w:kern w:val="52"/>
      <w:sz w:val="52"/>
      <w:szCs w:val="52"/>
    </w:rPr>
  </w:style>
  <w:style w:type="character" w:customStyle="1" w:styleId="20">
    <w:name w:val="標題 2 字元"/>
    <w:link w:val="2"/>
    <w:uiPriority w:val="9"/>
    <w:semiHidden/>
    <w:rsid w:val="006515E4"/>
    <w:rPr>
      <w:rFonts w:ascii="Cambria" w:hAnsi="Cambria"/>
      <w:b/>
      <w:bCs/>
      <w:snapToGrid w:val="0"/>
      <w:kern w:val="2"/>
      <w:sz w:val="48"/>
      <w:szCs w:val="48"/>
    </w:rPr>
  </w:style>
  <w:style w:type="character" w:customStyle="1" w:styleId="30">
    <w:name w:val="標題 3 字元"/>
    <w:link w:val="3"/>
    <w:uiPriority w:val="9"/>
    <w:semiHidden/>
    <w:rsid w:val="006515E4"/>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515E4"/>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D535A1"/>
    <w:pPr>
      <w:ind w:left="849" w:hangingChars="100" w:hanging="283"/>
    </w:pPr>
    <w:rPr>
      <w:rFonts w:hAnsi="標楷體"/>
    </w:rPr>
  </w:style>
  <w:style w:type="character" w:customStyle="1" w:styleId="a5">
    <w:name w:val="(一)(二)(三) 字元"/>
    <w:link w:val="a4"/>
    <w:rsid w:val="00D535A1"/>
    <w:rPr>
      <w:rFonts w:ascii="標楷體" w:eastAsia="標楷體" w:hAnsi="標楷體"/>
      <w:snapToGrid w:val="0"/>
      <w:kern w:val="2"/>
      <w:sz w:val="28"/>
      <w:szCs w:val="28"/>
    </w:rPr>
  </w:style>
  <w:style w:type="paragraph" w:customStyle="1" w:styleId="a6">
    <w:name w:val="(一)下內文"/>
    <w:basedOn w:val="a4"/>
    <w:rsid w:val="004220EB"/>
    <w:pPr>
      <w:adjustRightInd w:val="0"/>
      <w:ind w:leftChars="300" w:firstLineChars="0" w:firstLine="0"/>
    </w:pPr>
  </w:style>
  <w:style w:type="paragraph" w:customStyle="1" w:styleId="123">
    <w:name w:val="1.2.3."/>
    <w:basedOn w:val="a6"/>
    <w:rsid w:val="00C97A62"/>
    <w:pPr>
      <w:adjustRightInd/>
      <w:ind w:left="1133" w:hangingChars="100" w:hanging="283"/>
    </w:pPr>
    <w:rPr>
      <w:rFonts w:ascii="華康細明體外字集" w:cs="標楷體"/>
      <w:color w:val="000000"/>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95411E"/>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95411E"/>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6515E4"/>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515E4"/>
    <w:rPr>
      <w:rFonts w:ascii="標楷體" w:eastAsia="標楷體"/>
      <w:snapToGrid w:val="0"/>
      <w:kern w:val="2"/>
      <w:sz w:val="24"/>
      <w:szCs w:val="28"/>
    </w:rPr>
  </w:style>
  <w:style w:type="paragraph" w:customStyle="1" w:styleId="21">
    <w:name w:val="(一)下內文縮2"/>
    <w:basedOn w:val="a"/>
    <w:link w:val="22"/>
    <w:qFormat/>
    <w:rsid w:val="00C97A62"/>
    <w:pPr>
      <w:adjustRightInd w:val="0"/>
      <w:ind w:leftChars="300" w:left="300"/>
    </w:pPr>
  </w:style>
  <w:style w:type="character" w:customStyle="1" w:styleId="22">
    <w:name w:val="(一)下內文縮2 字元"/>
    <w:link w:val="21"/>
    <w:rsid w:val="00C97A62"/>
    <w:rPr>
      <w:rFonts w:ascii="標楷體" w:eastAsia="標楷體"/>
      <w:snapToGrid w:val="0"/>
      <w:kern w:val="2"/>
      <w:sz w:val="28"/>
      <w:szCs w:val="28"/>
    </w:rPr>
  </w:style>
  <w:style w:type="paragraph" w:styleId="11">
    <w:name w:val="toc 1"/>
    <w:basedOn w:val="a"/>
    <w:next w:val="a"/>
    <w:autoRedefine/>
    <w:uiPriority w:val="39"/>
    <w:qFormat/>
    <w:rsid w:val="008E4E0D"/>
    <w:pPr>
      <w:tabs>
        <w:tab w:val="right" w:leader="hyphen" w:pos="8505"/>
      </w:tabs>
      <w:ind w:leftChars="0" w:left="487" w:rightChars="99" w:right="280" w:hangingChars="200" w:hanging="487"/>
    </w:pPr>
    <w:rPr>
      <w:b/>
      <w:sz w:val="24"/>
    </w:rPr>
  </w:style>
  <w:style w:type="paragraph" w:styleId="23">
    <w:name w:val="toc 2"/>
    <w:basedOn w:val="a"/>
    <w:next w:val="a"/>
    <w:autoRedefine/>
    <w:uiPriority w:val="39"/>
    <w:qFormat/>
    <w:rsid w:val="00B01448"/>
    <w:pPr>
      <w:tabs>
        <w:tab w:val="right" w:leader="hyphen" w:pos="8505"/>
      </w:tabs>
      <w:ind w:leftChars="0" w:left="487" w:rightChars="149" w:right="422" w:hangingChars="200" w:hanging="487"/>
    </w:pPr>
    <w:rPr>
      <w:noProof/>
      <w:sz w:val="24"/>
    </w:rPr>
  </w:style>
  <w:style w:type="character" w:styleId="ae">
    <w:name w:val="Hyperlink"/>
    <w:uiPriority w:val="99"/>
    <w:rsid w:val="008E4E0D"/>
    <w:rPr>
      <w:b/>
      <w:color w:val="0000FF"/>
      <w:u w:val="single"/>
    </w:rPr>
  </w:style>
  <w:style w:type="paragraph" w:styleId="af">
    <w:name w:val="footnote text"/>
    <w:basedOn w:val="a"/>
    <w:link w:val="af0"/>
    <w:unhideWhenUsed/>
    <w:rsid w:val="006515E4"/>
    <w:pPr>
      <w:snapToGrid w:val="0"/>
      <w:jc w:val="left"/>
    </w:pPr>
    <w:rPr>
      <w:sz w:val="20"/>
      <w:szCs w:val="20"/>
    </w:rPr>
  </w:style>
  <w:style w:type="character" w:customStyle="1" w:styleId="af0">
    <w:name w:val="註腳文字 字元"/>
    <w:link w:val="af"/>
    <w:rsid w:val="006515E4"/>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nhideWhenUsed/>
    <w:qFormat/>
    <w:rsid w:val="006515E4"/>
    <w:rPr>
      <w:vertAlign w:val="superscript"/>
    </w:rPr>
  </w:style>
  <w:style w:type="table" w:styleId="af2">
    <w:name w:val="Table Grid"/>
    <w:basedOn w:val="a1"/>
    <w:uiPriority w:val="59"/>
    <w:rsid w:val="006515E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unhideWhenUsed/>
    <w:rsid w:val="006515E4"/>
    <w:pPr>
      <w:tabs>
        <w:tab w:val="center" w:pos="4153"/>
        <w:tab w:val="right" w:pos="8306"/>
      </w:tabs>
      <w:snapToGrid w:val="0"/>
    </w:pPr>
    <w:rPr>
      <w:sz w:val="20"/>
      <w:szCs w:val="20"/>
    </w:rPr>
  </w:style>
  <w:style w:type="character" w:customStyle="1" w:styleId="af4">
    <w:name w:val="頁首 字元"/>
    <w:link w:val="af3"/>
    <w:uiPriority w:val="99"/>
    <w:rsid w:val="006515E4"/>
    <w:rPr>
      <w:rFonts w:ascii="標楷體" w:eastAsia="標楷體"/>
      <w:snapToGrid w:val="0"/>
      <w:kern w:val="2"/>
    </w:rPr>
  </w:style>
  <w:style w:type="paragraph" w:styleId="af5">
    <w:name w:val="footer"/>
    <w:basedOn w:val="a"/>
    <w:link w:val="af6"/>
    <w:uiPriority w:val="99"/>
    <w:unhideWhenUsed/>
    <w:rsid w:val="006515E4"/>
    <w:pPr>
      <w:tabs>
        <w:tab w:val="center" w:pos="4153"/>
        <w:tab w:val="right" w:pos="8306"/>
      </w:tabs>
      <w:snapToGrid w:val="0"/>
    </w:pPr>
    <w:rPr>
      <w:sz w:val="20"/>
      <w:szCs w:val="20"/>
    </w:rPr>
  </w:style>
  <w:style w:type="character" w:customStyle="1" w:styleId="af6">
    <w:name w:val="頁尾 字元"/>
    <w:link w:val="af5"/>
    <w:uiPriority w:val="99"/>
    <w:rsid w:val="006515E4"/>
    <w:rPr>
      <w:rFonts w:ascii="標楷體" w:eastAsia="標楷體"/>
      <w:snapToGrid w:val="0"/>
      <w:kern w:val="2"/>
    </w:rPr>
  </w:style>
  <w:style w:type="paragraph" w:customStyle="1" w:styleId="4">
    <w:name w:val="字元 字元4"/>
    <w:basedOn w:val="a"/>
    <w:semiHidden/>
    <w:rsid w:val="006515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
    <w:uiPriority w:val="39"/>
    <w:semiHidden/>
    <w:unhideWhenUsed/>
    <w:qFormat/>
    <w:rsid w:val="006515E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6515E4"/>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8">
    <w:name w:val="Balloon Text"/>
    <w:basedOn w:val="a"/>
    <w:link w:val="af9"/>
    <w:uiPriority w:val="99"/>
    <w:unhideWhenUsed/>
    <w:rsid w:val="006515E4"/>
    <w:pPr>
      <w:spacing w:line="240" w:lineRule="auto"/>
    </w:pPr>
    <w:rPr>
      <w:rFonts w:ascii="Cambria" w:eastAsia="新細明體" w:hAnsi="Cambria"/>
      <w:sz w:val="18"/>
      <w:szCs w:val="18"/>
    </w:rPr>
  </w:style>
  <w:style w:type="character" w:customStyle="1" w:styleId="af9">
    <w:name w:val="註解方塊文字 字元"/>
    <w:link w:val="af8"/>
    <w:uiPriority w:val="99"/>
    <w:rsid w:val="006515E4"/>
    <w:rPr>
      <w:rFonts w:ascii="Cambria" w:hAnsi="Cambria"/>
      <w:snapToGrid w:val="0"/>
      <w:kern w:val="2"/>
      <w:sz w:val="18"/>
      <w:szCs w:val="18"/>
    </w:rPr>
  </w:style>
  <w:style w:type="paragraph" w:customStyle="1" w:styleId="12">
    <w:name w:val=" 字元 字元1 字元 字元 字元 字元"/>
    <w:basedOn w:val="a"/>
    <w:semiHidden/>
    <w:rsid w:val="006515E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說明"/>
    <w:basedOn w:val="a"/>
    <w:rsid w:val="009857B6"/>
    <w:pPr>
      <w:spacing w:line="640" w:lineRule="exact"/>
      <w:ind w:leftChars="0" w:left="952" w:firstLineChars="0" w:hanging="952"/>
      <w:jc w:val="left"/>
    </w:pPr>
    <w:rPr>
      <w:rFonts w:ascii="Arial" w:hAnsi="Arial"/>
      <w:snapToGrid/>
      <w:sz w:val="32"/>
      <w:szCs w:val="24"/>
    </w:rPr>
  </w:style>
  <w:style w:type="paragraph" w:styleId="afb">
    <w:name w:val="List Bullet"/>
    <w:basedOn w:val="a"/>
    <w:uiPriority w:val="99"/>
    <w:unhideWhenUsed/>
    <w:rsid w:val="006515E4"/>
    <w:pPr>
      <w:tabs>
        <w:tab w:val="num" w:pos="361"/>
      </w:tabs>
      <w:ind w:left="361" w:hangingChars="200" w:hanging="360"/>
      <w:contextualSpacing/>
    </w:pPr>
  </w:style>
  <w:style w:type="paragraph" w:customStyle="1" w:styleId="24">
    <w:name w:val=" 字元 字元2"/>
    <w:basedOn w:val="a"/>
    <w:semiHidden/>
    <w:rsid w:val="002723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表格內文(14行高) 字元 字元"/>
    <w:basedOn w:val="a9"/>
    <w:link w:val="146"/>
    <w:rsid w:val="00DD3019"/>
    <w:pPr>
      <w:spacing w:line="280" w:lineRule="exact"/>
      <w:ind w:leftChars="0" w:left="0" w:firstLineChars="0" w:firstLine="0"/>
      <w:jc w:val="left"/>
    </w:pPr>
    <w:rPr>
      <w:sz w:val="24"/>
    </w:rPr>
  </w:style>
  <w:style w:type="character" w:customStyle="1" w:styleId="146">
    <w:name w:val="表格內文(14行高) 字元 字元 字元"/>
    <w:link w:val="145"/>
    <w:rsid w:val="00DD3019"/>
    <w:rPr>
      <w:rFonts w:ascii="標楷體" w:eastAsia="標楷體"/>
      <w:snapToGrid w:val="0"/>
      <w:kern w:val="2"/>
      <w:sz w:val="24"/>
      <w:szCs w:val="28"/>
    </w:rPr>
  </w:style>
  <w:style w:type="paragraph" w:customStyle="1" w:styleId="5">
    <w:name w:val=" 字元 字元5 字元"/>
    <w:basedOn w:val="a"/>
    <w:semiHidden/>
    <w:rsid w:val="00EE0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3">
    <w:name w:val="表格格線1"/>
    <w:basedOn w:val="a1"/>
    <w:next w:val="af2"/>
    <w:uiPriority w:val="59"/>
    <w:rsid w:val="004943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一"/>
    <w:basedOn w:val="a"/>
    <w:rsid w:val="00DC2029"/>
    <w:pPr>
      <w:spacing w:line="240" w:lineRule="auto"/>
      <w:ind w:leftChars="0" w:left="0" w:firstLineChars="0" w:firstLine="0"/>
      <w:jc w:val="left"/>
    </w:pPr>
    <w:rPr>
      <w:rFonts w:hAnsi="標楷體"/>
      <w:snapToGrid/>
      <w:sz w:val="32"/>
      <w:szCs w:val="32"/>
    </w:rPr>
  </w:style>
  <w:style w:type="table" w:customStyle="1" w:styleId="25">
    <w:name w:val="表格格線2"/>
    <w:basedOn w:val="a1"/>
    <w:next w:val="af2"/>
    <w:uiPriority w:val="59"/>
    <w:rsid w:val="006D46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2"/>
    <w:uiPriority w:val="59"/>
    <w:rsid w:val="00332A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FollowedHyperlink"/>
    <w:rsid w:val="0040024B"/>
    <w:rPr>
      <w:color w:val="954F72"/>
      <w:u w:val="single"/>
    </w:rPr>
  </w:style>
  <w:style w:type="table" w:customStyle="1" w:styleId="40">
    <w:name w:val="表格格線4"/>
    <w:basedOn w:val="a1"/>
    <w:next w:val="af2"/>
    <w:uiPriority w:val="59"/>
    <w:rsid w:val="00B049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rsid w:val="00C21152"/>
    <w:rPr>
      <w:sz w:val="18"/>
      <w:szCs w:val="18"/>
    </w:rPr>
  </w:style>
  <w:style w:type="paragraph" w:styleId="aff">
    <w:name w:val="annotation text"/>
    <w:basedOn w:val="a"/>
    <w:link w:val="aff0"/>
    <w:rsid w:val="00C21152"/>
    <w:pPr>
      <w:jc w:val="left"/>
    </w:pPr>
  </w:style>
  <w:style w:type="character" w:customStyle="1" w:styleId="aff0">
    <w:name w:val="註解文字 字元"/>
    <w:link w:val="aff"/>
    <w:rsid w:val="00C21152"/>
    <w:rPr>
      <w:rFonts w:ascii="標楷體" w:eastAsia="標楷體"/>
      <w:snapToGrid w:val="0"/>
      <w:kern w:val="2"/>
      <w:sz w:val="28"/>
      <w:szCs w:val="28"/>
    </w:rPr>
  </w:style>
  <w:style w:type="paragraph" w:styleId="aff1">
    <w:name w:val="annotation subject"/>
    <w:basedOn w:val="aff"/>
    <w:next w:val="aff"/>
    <w:link w:val="aff2"/>
    <w:rsid w:val="00C21152"/>
    <w:rPr>
      <w:b/>
      <w:bCs/>
    </w:rPr>
  </w:style>
  <w:style w:type="character" w:customStyle="1" w:styleId="aff2">
    <w:name w:val="註解主旨 字元"/>
    <w:link w:val="aff1"/>
    <w:rsid w:val="00C21152"/>
    <w:rPr>
      <w:rFonts w:ascii="標楷體" w:eastAsia="標楷體"/>
      <w:b/>
      <w:bCs/>
      <w:snapToGrid w:val="0"/>
      <w:kern w:val="2"/>
      <w:sz w:val="28"/>
      <w:szCs w:val="28"/>
    </w:rPr>
  </w:style>
  <w:style w:type="character" w:customStyle="1" w:styleId="1410">
    <w:name w:val="第二層(14號字) 字元1"/>
    <w:rsid w:val="003834ED"/>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0461">
      <w:bodyDiv w:val="1"/>
      <w:marLeft w:val="0"/>
      <w:marRight w:val="0"/>
      <w:marTop w:val="0"/>
      <w:marBottom w:val="0"/>
      <w:divBdr>
        <w:top w:val="none" w:sz="0" w:space="0" w:color="auto"/>
        <w:left w:val="none" w:sz="0" w:space="0" w:color="auto"/>
        <w:bottom w:val="none" w:sz="0" w:space="0" w:color="auto"/>
        <w:right w:val="none" w:sz="0" w:space="0" w:color="auto"/>
      </w:divBdr>
    </w:div>
    <w:div w:id="101075802">
      <w:bodyDiv w:val="1"/>
      <w:marLeft w:val="0"/>
      <w:marRight w:val="0"/>
      <w:marTop w:val="0"/>
      <w:marBottom w:val="0"/>
      <w:divBdr>
        <w:top w:val="none" w:sz="0" w:space="0" w:color="auto"/>
        <w:left w:val="none" w:sz="0" w:space="0" w:color="auto"/>
        <w:bottom w:val="none" w:sz="0" w:space="0" w:color="auto"/>
        <w:right w:val="none" w:sz="0" w:space="0" w:color="auto"/>
      </w:divBdr>
    </w:div>
    <w:div w:id="193423752">
      <w:bodyDiv w:val="1"/>
      <w:marLeft w:val="0"/>
      <w:marRight w:val="0"/>
      <w:marTop w:val="0"/>
      <w:marBottom w:val="0"/>
      <w:divBdr>
        <w:top w:val="none" w:sz="0" w:space="0" w:color="auto"/>
        <w:left w:val="none" w:sz="0" w:space="0" w:color="auto"/>
        <w:bottom w:val="none" w:sz="0" w:space="0" w:color="auto"/>
        <w:right w:val="none" w:sz="0" w:space="0" w:color="auto"/>
      </w:divBdr>
    </w:div>
    <w:div w:id="335957061">
      <w:bodyDiv w:val="1"/>
      <w:marLeft w:val="0"/>
      <w:marRight w:val="0"/>
      <w:marTop w:val="0"/>
      <w:marBottom w:val="0"/>
      <w:divBdr>
        <w:top w:val="none" w:sz="0" w:space="0" w:color="auto"/>
        <w:left w:val="none" w:sz="0" w:space="0" w:color="auto"/>
        <w:bottom w:val="none" w:sz="0" w:space="0" w:color="auto"/>
        <w:right w:val="none" w:sz="0" w:space="0" w:color="auto"/>
      </w:divBdr>
    </w:div>
    <w:div w:id="663898053">
      <w:bodyDiv w:val="1"/>
      <w:marLeft w:val="0"/>
      <w:marRight w:val="0"/>
      <w:marTop w:val="0"/>
      <w:marBottom w:val="0"/>
      <w:divBdr>
        <w:top w:val="none" w:sz="0" w:space="0" w:color="auto"/>
        <w:left w:val="none" w:sz="0" w:space="0" w:color="auto"/>
        <w:bottom w:val="none" w:sz="0" w:space="0" w:color="auto"/>
        <w:right w:val="none" w:sz="0" w:space="0" w:color="auto"/>
      </w:divBdr>
    </w:div>
    <w:div w:id="664671952">
      <w:bodyDiv w:val="1"/>
      <w:marLeft w:val="0"/>
      <w:marRight w:val="0"/>
      <w:marTop w:val="0"/>
      <w:marBottom w:val="0"/>
      <w:divBdr>
        <w:top w:val="none" w:sz="0" w:space="0" w:color="auto"/>
        <w:left w:val="none" w:sz="0" w:space="0" w:color="auto"/>
        <w:bottom w:val="none" w:sz="0" w:space="0" w:color="auto"/>
        <w:right w:val="none" w:sz="0" w:space="0" w:color="auto"/>
      </w:divBdr>
      <w:divsChild>
        <w:div w:id="1483885664">
          <w:marLeft w:val="0"/>
          <w:marRight w:val="0"/>
          <w:marTop w:val="0"/>
          <w:marBottom w:val="0"/>
          <w:divBdr>
            <w:top w:val="none" w:sz="0" w:space="0" w:color="auto"/>
            <w:left w:val="none" w:sz="0" w:space="0" w:color="auto"/>
            <w:bottom w:val="none" w:sz="0" w:space="0" w:color="auto"/>
            <w:right w:val="none" w:sz="0" w:space="0" w:color="auto"/>
          </w:divBdr>
          <w:divsChild>
            <w:div w:id="873885576">
              <w:marLeft w:val="0"/>
              <w:marRight w:val="0"/>
              <w:marTop w:val="0"/>
              <w:marBottom w:val="0"/>
              <w:divBdr>
                <w:top w:val="none" w:sz="0" w:space="0" w:color="auto"/>
                <w:left w:val="none" w:sz="0" w:space="0" w:color="auto"/>
                <w:bottom w:val="none" w:sz="0" w:space="0" w:color="auto"/>
                <w:right w:val="none" w:sz="0" w:space="0" w:color="auto"/>
              </w:divBdr>
              <w:divsChild>
                <w:div w:id="1076826098">
                  <w:marLeft w:val="0"/>
                  <w:marRight w:val="0"/>
                  <w:marTop w:val="0"/>
                  <w:marBottom w:val="0"/>
                  <w:divBdr>
                    <w:top w:val="none" w:sz="0" w:space="0" w:color="auto"/>
                    <w:left w:val="none" w:sz="0" w:space="0" w:color="auto"/>
                    <w:bottom w:val="none" w:sz="0" w:space="0" w:color="auto"/>
                    <w:right w:val="none" w:sz="0" w:space="0" w:color="auto"/>
                  </w:divBdr>
                  <w:divsChild>
                    <w:div w:id="281308179">
                      <w:marLeft w:val="10"/>
                      <w:marRight w:val="0"/>
                      <w:marTop w:val="0"/>
                      <w:marBottom w:val="0"/>
                      <w:divBdr>
                        <w:top w:val="none" w:sz="0" w:space="0" w:color="auto"/>
                        <w:left w:val="none" w:sz="0" w:space="0" w:color="auto"/>
                        <w:bottom w:val="none" w:sz="0" w:space="0" w:color="auto"/>
                        <w:right w:val="none" w:sz="0" w:space="0" w:color="auto"/>
                      </w:divBdr>
                      <w:divsChild>
                        <w:div w:id="196839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918063">
      <w:bodyDiv w:val="1"/>
      <w:marLeft w:val="0"/>
      <w:marRight w:val="0"/>
      <w:marTop w:val="0"/>
      <w:marBottom w:val="0"/>
      <w:divBdr>
        <w:top w:val="none" w:sz="0" w:space="0" w:color="auto"/>
        <w:left w:val="none" w:sz="0" w:space="0" w:color="auto"/>
        <w:bottom w:val="none" w:sz="0" w:space="0" w:color="auto"/>
        <w:right w:val="none" w:sz="0" w:space="0" w:color="auto"/>
      </w:divBdr>
    </w:div>
    <w:div w:id="747310065">
      <w:bodyDiv w:val="1"/>
      <w:marLeft w:val="0"/>
      <w:marRight w:val="0"/>
      <w:marTop w:val="0"/>
      <w:marBottom w:val="0"/>
      <w:divBdr>
        <w:top w:val="none" w:sz="0" w:space="0" w:color="auto"/>
        <w:left w:val="none" w:sz="0" w:space="0" w:color="auto"/>
        <w:bottom w:val="none" w:sz="0" w:space="0" w:color="auto"/>
        <w:right w:val="none" w:sz="0" w:space="0" w:color="auto"/>
      </w:divBdr>
    </w:div>
    <w:div w:id="782840945">
      <w:bodyDiv w:val="1"/>
      <w:marLeft w:val="0"/>
      <w:marRight w:val="0"/>
      <w:marTop w:val="0"/>
      <w:marBottom w:val="0"/>
      <w:divBdr>
        <w:top w:val="none" w:sz="0" w:space="0" w:color="auto"/>
        <w:left w:val="none" w:sz="0" w:space="0" w:color="auto"/>
        <w:bottom w:val="none" w:sz="0" w:space="0" w:color="auto"/>
        <w:right w:val="none" w:sz="0" w:space="0" w:color="auto"/>
      </w:divBdr>
    </w:div>
    <w:div w:id="807238792">
      <w:bodyDiv w:val="1"/>
      <w:marLeft w:val="0"/>
      <w:marRight w:val="0"/>
      <w:marTop w:val="0"/>
      <w:marBottom w:val="0"/>
      <w:divBdr>
        <w:top w:val="none" w:sz="0" w:space="0" w:color="auto"/>
        <w:left w:val="none" w:sz="0" w:space="0" w:color="auto"/>
        <w:bottom w:val="none" w:sz="0" w:space="0" w:color="auto"/>
        <w:right w:val="none" w:sz="0" w:space="0" w:color="auto"/>
      </w:divBdr>
    </w:div>
    <w:div w:id="827671109">
      <w:bodyDiv w:val="1"/>
      <w:marLeft w:val="0"/>
      <w:marRight w:val="0"/>
      <w:marTop w:val="0"/>
      <w:marBottom w:val="0"/>
      <w:divBdr>
        <w:top w:val="none" w:sz="0" w:space="0" w:color="auto"/>
        <w:left w:val="none" w:sz="0" w:space="0" w:color="auto"/>
        <w:bottom w:val="none" w:sz="0" w:space="0" w:color="auto"/>
        <w:right w:val="none" w:sz="0" w:space="0" w:color="auto"/>
      </w:divBdr>
    </w:div>
    <w:div w:id="927033667">
      <w:bodyDiv w:val="1"/>
      <w:marLeft w:val="0"/>
      <w:marRight w:val="0"/>
      <w:marTop w:val="0"/>
      <w:marBottom w:val="0"/>
      <w:divBdr>
        <w:top w:val="none" w:sz="0" w:space="0" w:color="auto"/>
        <w:left w:val="none" w:sz="0" w:space="0" w:color="auto"/>
        <w:bottom w:val="none" w:sz="0" w:space="0" w:color="auto"/>
        <w:right w:val="none" w:sz="0" w:space="0" w:color="auto"/>
      </w:divBdr>
    </w:div>
    <w:div w:id="956639246">
      <w:bodyDiv w:val="1"/>
      <w:marLeft w:val="0"/>
      <w:marRight w:val="0"/>
      <w:marTop w:val="0"/>
      <w:marBottom w:val="0"/>
      <w:divBdr>
        <w:top w:val="none" w:sz="0" w:space="0" w:color="auto"/>
        <w:left w:val="none" w:sz="0" w:space="0" w:color="auto"/>
        <w:bottom w:val="none" w:sz="0" w:space="0" w:color="auto"/>
        <w:right w:val="none" w:sz="0" w:space="0" w:color="auto"/>
      </w:divBdr>
    </w:div>
    <w:div w:id="994799808">
      <w:bodyDiv w:val="1"/>
      <w:marLeft w:val="0"/>
      <w:marRight w:val="0"/>
      <w:marTop w:val="0"/>
      <w:marBottom w:val="0"/>
      <w:divBdr>
        <w:top w:val="none" w:sz="0" w:space="0" w:color="auto"/>
        <w:left w:val="none" w:sz="0" w:space="0" w:color="auto"/>
        <w:bottom w:val="none" w:sz="0" w:space="0" w:color="auto"/>
        <w:right w:val="none" w:sz="0" w:space="0" w:color="auto"/>
      </w:divBdr>
    </w:div>
    <w:div w:id="1032877906">
      <w:bodyDiv w:val="1"/>
      <w:marLeft w:val="0"/>
      <w:marRight w:val="0"/>
      <w:marTop w:val="0"/>
      <w:marBottom w:val="0"/>
      <w:divBdr>
        <w:top w:val="none" w:sz="0" w:space="0" w:color="auto"/>
        <w:left w:val="none" w:sz="0" w:space="0" w:color="auto"/>
        <w:bottom w:val="none" w:sz="0" w:space="0" w:color="auto"/>
        <w:right w:val="none" w:sz="0" w:space="0" w:color="auto"/>
      </w:divBdr>
    </w:div>
    <w:div w:id="1043864956">
      <w:bodyDiv w:val="1"/>
      <w:marLeft w:val="0"/>
      <w:marRight w:val="0"/>
      <w:marTop w:val="0"/>
      <w:marBottom w:val="0"/>
      <w:divBdr>
        <w:top w:val="none" w:sz="0" w:space="0" w:color="auto"/>
        <w:left w:val="none" w:sz="0" w:space="0" w:color="auto"/>
        <w:bottom w:val="none" w:sz="0" w:space="0" w:color="auto"/>
        <w:right w:val="none" w:sz="0" w:space="0" w:color="auto"/>
      </w:divBdr>
      <w:divsChild>
        <w:div w:id="533930598">
          <w:marLeft w:val="0"/>
          <w:marRight w:val="0"/>
          <w:marTop w:val="0"/>
          <w:marBottom w:val="0"/>
          <w:divBdr>
            <w:top w:val="none" w:sz="0" w:space="0" w:color="auto"/>
            <w:left w:val="none" w:sz="0" w:space="0" w:color="auto"/>
            <w:bottom w:val="none" w:sz="0" w:space="0" w:color="auto"/>
            <w:right w:val="none" w:sz="0" w:space="0" w:color="auto"/>
          </w:divBdr>
          <w:divsChild>
            <w:div w:id="1918199609">
              <w:marLeft w:val="0"/>
              <w:marRight w:val="0"/>
              <w:marTop w:val="0"/>
              <w:marBottom w:val="0"/>
              <w:divBdr>
                <w:top w:val="none" w:sz="0" w:space="0" w:color="auto"/>
                <w:left w:val="none" w:sz="0" w:space="0" w:color="auto"/>
                <w:bottom w:val="none" w:sz="0" w:space="0" w:color="auto"/>
                <w:right w:val="none" w:sz="0" w:space="0" w:color="auto"/>
              </w:divBdr>
              <w:divsChild>
                <w:div w:id="234169736">
                  <w:marLeft w:val="0"/>
                  <w:marRight w:val="0"/>
                  <w:marTop w:val="0"/>
                  <w:marBottom w:val="0"/>
                  <w:divBdr>
                    <w:top w:val="none" w:sz="0" w:space="0" w:color="auto"/>
                    <w:left w:val="none" w:sz="0" w:space="0" w:color="auto"/>
                    <w:bottom w:val="none" w:sz="0" w:space="0" w:color="auto"/>
                    <w:right w:val="none" w:sz="0" w:space="0" w:color="auto"/>
                  </w:divBdr>
                  <w:divsChild>
                    <w:div w:id="1950236093">
                      <w:marLeft w:val="0"/>
                      <w:marRight w:val="0"/>
                      <w:marTop w:val="0"/>
                      <w:marBottom w:val="225"/>
                      <w:divBdr>
                        <w:top w:val="single" w:sz="6" w:space="6" w:color="E1E1E1"/>
                        <w:left w:val="single" w:sz="6" w:space="6" w:color="E1E1E1"/>
                        <w:bottom w:val="single" w:sz="6" w:space="6" w:color="E1E1E1"/>
                        <w:right w:val="single" w:sz="6" w:space="6" w:color="E1E1E1"/>
                      </w:divBdr>
                      <w:divsChild>
                        <w:div w:id="1979334967">
                          <w:marLeft w:val="0"/>
                          <w:marRight w:val="0"/>
                          <w:marTop w:val="0"/>
                          <w:marBottom w:val="0"/>
                          <w:divBdr>
                            <w:top w:val="none" w:sz="0" w:space="0" w:color="auto"/>
                            <w:left w:val="none" w:sz="0" w:space="0" w:color="auto"/>
                            <w:bottom w:val="none" w:sz="0" w:space="0" w:color="auto"/>
                            <w:right w:val="none" w:sz="0" w:space="0" w:color="auto"/>
                          </w:divBdr>
                          <w:divsChild>
                            <w:div w:id="11092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326843">
      <w:bodyDiv w:val="1"/>
      <w:marLeft w:val="0"/>
      <w:marRight w:val="0"/>
      <w:marTop w:val="0"/>
      <w:marBottom w:val="0"/>
      <w:divBdr>
        <w:top w:val="none" w:sz="0" w:space="0" w:color="auto"/>
        <w:left w:val="none" w:sz="0" w:space="0" w:color="auto"/>
        <w:bottom w:val="none" w:sz="0" w:space="0" w:color="auto"/>
        <w:right w:val="none" w:sz="0" w:space="0" w:color="auto"/>
      </w:divBdr>
    </w:div>
    <w:div w:id="1047145180">
      <w:bodyDiv w:val="1"/>
      <w:marLeft w:val="0"/>
      <w:marRight w:val="0"/>
      <w:marTop w:val="0"/>
      <w:marBottom w:val="0"/>
      <w:divBdr>
        <w:top w:val="none" w:sz="0" w:space="0" w:color="auto"/>
        <w:left w:val="none" w:sz="0" w:space="0" w:color="auto"/>
        <w:bottom w:val="none" w:sz="0" w:space="0" w:color="auto"/>
        <w:right w:val="none" w:sz="0" w:space="0" w:color="auto"/>
      </w:divBdr>
    </w:div>
    <w:div w:id="1119838631">
      <w:bodyDiv w:val="1"/>
      <w:marLeft w:val="0"/>
      <w:marRight w:val="0"/>
      <w:marTop w:val="0"/>
      <w:marBottom w:val="0"/>
      <w:divBdr>
        <w:top w:val="none" w:sz="0" w:space="0" w:color="auto"/>
        <w:left w:val="none" w:sz="0" w:space="0" w:color="auto"/>
        <w:bottom w:val="none" w:sz="0" w:space="0" w:color="auto"/>
        <w:right w:val="none" w:sz="0" w:space="0" w:color="auto"/>
      </w:divBdr>
    </w:div>
    <w:div w:id="1134636010">
      <w:bodyDiv w:val="1"/>
      <w:marLeft w:val="0"/>
      <w:marRight w:val="0"/>
      <w:marTop w:val="0"/>
      <w:marBottom w:val="0"/>
      <w:divBdr>
        <w:top w:val="none" w:sz="0" w:space="0" w:color="auto"/>
        <w:left w:val="none" w:sz="0" w:space="0" w:color="auto"/>
        <w:bottom w:val="none" w:sz="0" w:space="0" w:color="auto"/>
        <w:right w:val="none" w:sz="0" w:space="0" w:color="auto"/>
      </w:divBdr>
    </w:div>
    <w:div w:id="1154447374">
      <w:bodyDiv w:val="1"/>
      <w:marLeft w:val="0"/>
      <w:marRight w:val="0"/>
      <w:marTop w:val="0"/>
      <w:marBottom w:val="0"/>
      <w:divBdr>
        <w:top w:val="none" w:sz="0" w:space="0" w:color="auto"/>
        <w:left w:val="none" w:sz="0" w:space="0" w:color="auto"/>
        <w:bottom w:val="none" w:sz="0" w:space="0" w:color="auto"/>
        <w:right w:val="none" w:sz="0" w:space="0" w:color="auto"/>
      </w:divBdr>
    </w:div>
    <w:div w:id="1194921236">
      <w:bodyDiv w:val="1"/>
      <w:marLeft w:val="0"/>
      <w:marRight w:val="0"/>
      <w:marTop w:val="0"/>
      <w:marBottom w:val="0"/>
      <w:divBdr>
        <w:top w:val="none" w:sz="0" w:space="0" w:color="auto"/>
        <w:left w:val="none" w:sz="0" w:space="0" w:color="auto"/>
        <w:bottom w:val="none" w:sz="0" w:space="0" w:color="auto"/>
        <w:right w:val="none" w:sz="0" w:space="0" w:color="auto"/>
      </w:divBdr>
    </w:div>
    <w:div w:id="1217859235">
      <w:bodyDiv w:val="1"/>
      <w:marLeft w:val="0"/>
      <w:marRight w:val="0"/>
      <w:marTop w:val="0"/>
      <w:marBottom w:val="0"/>
      <w:divBdr>
        <w:top w:val="none" w:sz="0" w:space="0" w:color="auto"/>
        <w:left w:val="none" w:sz="0" w:space="0" w:color="auto"/>
        <w:bottom w:val="none" w:sz="0" w:space="0" w:color="auto"/>
        <w:right w:val="none" w:sz="0" w:space="0" w:color="auto"/>
      </w:divBdr>
    </w:div>
    <w:div w:id="1380277068">
      <w:bodyDiv w:val="1"/>
      <w:marLeft w:val="0"/>
      <w:marRight w:val="0"/>
      <w:marTop w:val="0"/>
      <w:marBottom w:val="0"/>
      <w:divBdr>
        <w:top w:val="none" w:sz="0" w:space="0" w:color="auto"/>
        <w:left w:val="none" w:sz="0" w:space="0" w:color="auto"/>
        <w:bottom w:val="none" w:sz="0" w:space="0" w:color="auto"/>
        <w:right w:val="none" w:sz="0" w:space="0" w:color="auto"/>
      </w:divBdr>
    </w:div>
    <w:div w:id="1407068014">
      <w:bodyDiv w:val="1"/>
      <w:marLeft w:val="0"/>
      <w:marRight w:val="0"/>
      <w:marTop w:val="0"/>
      <w:marBottom w:val="0"/>
      <w:divBdr>
        <w:top w:val="none" w:sz="0" w:space="0" w:color="auto"/>
        <w:left w:val="none" w:sz="0" w:space="0" w:color="auto"/>
        <w:bottom w:val="none" w:sz="0" w:space="0" w:color="auto"/>
        <w:right w:val="none" w:sz="0" w:space="0" w:color="auto"/>
      </w:divBdr>
    </w:div>
    <w:div w:id="1427001438">
      <w:bodyDiv w:val="1"/>
      <w:marLeft w:val="0"/>
      <w:marRight w:val="0"/>
      <w:marTop w:val="0"/>
      <w:marBottom w:val="0"/>
      <w:divBdr>
        <w:top w:val="none" w:sz="0" w:space="0" w:color="auto"/>
        <w:left w:val="none" w:sz="0" w:space="0" w:color="auto"/>
        <w:bottom w:val="none" w:sz="0" w:space="0" w:color="auto"/>
        <w:right w:val="none" w:sz="0" w:space="0" w:color="auto"/>
      </w:divBdr>
    </w:div>
    <w:div w:id="1463111327">
      <w:bodyDiv w:val="1"/>
      <w:marLeft w:val="0"/>
      <w:marRight w:val="0"/>
      <w:marTop w:val="0"/>
      <w:marBottom w:val="0"/>
      <w:divBdr>
        <w:top w:val="none" w:sz="0" w:space="0" w:color="auto"/>
        <w:left w:val="none" w:sz="0" w:space="0" w:color="auto"/>
        <w:bottom w:val="none" w:sz="0" w:space="0" w:color="auto"/>
        <w:right w:val="none" w:sz="0" w:space="0" w:color="auto"/>
      </w:divBdr>
    </w:div>
    <w:div w:id="1492481231">
      <w:bodyDiv w:val="1"/>
      <w:marLeft w:val="0"/>
      <w:marRight w:val="0"/>
      <w:marTop w:val="0"/>
      <w:marBottom w:val="0"/>
      <w:divBdr>
        <w:top w:val="none" w:sz="0" w:space="0" w:color="auto"/>
        <w:left w:val="none" w:sz="0" w:space="0" w:color="auto"/>
        <w:bottom w:val="none" w:sz="0" w:space="0" w:color="auto"/>
        <w:right w:val="none" w:sz="0" w:space="0" w:color="auto"/>
      </w:divBdr>
    </w:div>
    <w:div w:id="1512143923">
      <w:bodyDiv w:val="1"/>
      <w:marLeft w:val="0"/>
      <w:marRight w:val="0"/>
      <w:marTop w:val="0"/>
      <w:marBottom w:val="0"/>
      <w:divBdr>
        <w:top w:val="none" w:sz="0" w:space="0" w:color="auto"/>
        <w:left w:val="none" w:sz="0" w:space="0" w:color="auto"/>
        <w:bottom w:val="none" w:sz="0" w:space="0" w:color="auto"/>
        <w:right w:val="none" w:sz="0" w:space="0" w:color="auto"/>
      </w:divBdr>
    </w:div>
    <w:div w:id="1527332139">
      <w:bodyDiv w:val="1"/>
      <w:marLeft w:val="0"/>
      <w:marRight w:val="0"/>
      <w:marTop w:val="0"/>
      <w:marBottom w:val="0"/>
      <w:divBdr>
        <w:top w:val="none" w:sz="0" w:space="0" w:color="auto"/>
        <w:left w:val="none" w:sz="0" w:space="0" w:color="auto"/>
        <w:bottom w:val="none" w:sz="0" w:space="0" w:color="auto"/>
        <w:right w:val="none" w:sz="0" w:space="0" w:color="auto"/>
      </w:divBdr>
    </w:div>
    <w:div w:id="1611429127">
      <w:bodyDiv w:val="1"/>
      <w:marLeft w:val="0"/>
      <w:marRight w:val="0"/>
      <w:marTop w:val="0"/>
      <w:marBottom w:val="0"/>
      <w:divBdr>
        <w:top w:val="none" w:sz="0" w:space="0" w:color="auto"/>
        <w:left w:val="none" w:sz="0" w:space="0" w:color="auto"/>
        <w:bottom w:val="none" w:sz="0" w:space="0" w:color="auto"/>
        <w:right w:val="none" w:sz="0" w:space="0" w:color="auto"/>
      </w:divBdr>
    </w:div>
    <w:div w:id="1662999190">
      <w:bodyDiv w:val="1"/>
      <w:marLeft w:val="0"/>
      <w:marRight w:val="0"/>
      <w:marTop w:val="0"/>
      <w:marBottom w:val="0"/>
      <w:divBdr>
        <w:top w:val="none" w:sz="0" w:space="0" w:color="auto"/>
        <w:left w:val="none" w:sz="0" w:space="0" w:color="auto"/>
        <w:bottom w:val="none" w:sz="0" w:space="0" w:color="auto"/>
        <w:right w:val="none" w:sz="0" w:space="0" w:color="auto"/>
      </w:divBdr>
      <w:divsChild>
        <w:div w:id="1776440335">
          <w:marLeft w:val="0"/>
          <w:marRight w:val="0"/>
          <w:marTop w:val="0"/>
          <w:marBottom w:val="0"/>
          <w:divBdr>
            <w:top w:val="none" w:sz="0" w:space="0" w:color="auto"/>
            <w:left w:val="none" w:sz="0" w:space="0" w:color="auto"/>
            <w:bottom w:val="none" w:sz="0" w:space="0" w:color="auto"/>
            <w:right w:val="none" w:sz="0" w:space="0" w:color="auto"/>
          </w:divBdr>
          <w:divsChild>
            <w:div w:id="342509586">
              <w:marLeft w:val="0"/>
              <w:marRight w:val="0"/>
              <w:marTop w:val="0"/>
              <w:marBottom w:val="0"/>
              <w:divBdr>
                <w:top w:val="none" w:sz="0" w:space="0" w:color="auto"/>
                <w:left w:val="none" w:sz="0" w:space="0" w:color="auto"/>
                <w:bottom w:val="none" w:sz="0" w:space="0" w:color="auto"/>
                <w:right w:val="none" w:sz="0" w:space="0" w:color="auto"/>
              </w:divBdr>
              <w:divsChild>
                <w:div w:id="958073557">
                  <w:marLeft w:val="0"/>
                  <w:marRight w:val="240"/>
                  <w:marTop w:val="0"/>
                  <w:marBottom w:val="0"/>
                  <w:divBdr>
                    <w:top w:val="none" w:sz="0" w:space="0" w:color="auto"/>
                    <w:left w:val="none" w:sz="0" w:space="0" w:color="auto"/>
                    <w:bottom w:val="none" w:sz="0" w:space="0" w:color="auto"/>
                    <w:right w:val="none" w:sz="0" w:space="0" w:color="auto"/>
                  </w:divBdr>
                  <w:divsChild>
                    <w:div w:id="538125803">
                      <w:marLeft w:val="0"/>
                      <w:marRight w:val="0"/>
                      <w:marTop w:val="0"/>
                      <w:marBottom w:val="0"/>
                      <w:divBdr>
                        <w:top w:val="none" w:sz="0" w:space="0" w:color="auto"/>
                        <w:left w:val="none" w:sz="0" w:space="0" w:color="auto"/>
                        <w:bottom w:val="none" w:sz="0" w:space="0" w:color="auto"/>
                        <w:right w:val="none" w:sz="0" w:space="0" w:color="auto"/>
                      </w:divBdr>
                      <w:divsChild>
                        <w:div w:id="1737049447">
                          <w:marLeft w:val="0"/>
                          <w:marRight w:val="0"/>
                          <w:marTop w:val="0"/>
                          <w:marBottom w:val="0"/>
                          <w:divBdr>
                            <w:top w:val="none" w:sz="0" w:space="0" w:color="auto"/>
                            <w:left w:val="none" w:sz="0" w:space="0" w:color="auto"/>
                            <w:bottom w:val="none" w:sz="0" w:space="0" w:color="auto"/>
                            <w:right w:val="none" w:sz="0" w:space="0" w:color="auto"/>
                          </w:divBdr>
                          <w:divsChild>
                            <w:div w:id="764420254">
                              <w:marLeft w:val="0"/>
                              <w:marRight w:val="0"/>
                              <w:marTop w:val="0"/>
                              <w:marBottom w:val="0"/>
                              <w:divBdr>
                                <w:top w:val="none" w:sz="0" w:space="0" w:color="auto"/>
                                <w:left w:val="none" w:sz="0" w:space="0" w:color="auto"/>
                                <w:bottom w:val="none" w:sz="0" w:space="0" w:color="auto"/>
                                <w:right w:val="none" w:sz="0" w:space="0" w:color="auto"/>
                              </w:divBdr>
                              <w:divsChild>
                                <w:div w:id="1290166934">
                                  <w:marLeft w:val="2"/>
                                  <w:marRight w:val="0"/>
                                  <w:marTop w:val="0"/>
                                  <w:marBottom w:val="0"/>
                                  <w:divBdr>
                                    <w:top w:val="none" w:sz="0" w:space="0" w:color="auto"/>
                                    <w:left w:val="none" w:sz="0" w:space="0" w:color="auto"/>
                                    <w:bottom w:val="none" w:sz="0" w:space="0" w:color="auto"/>
                                    <w:right w:val="none" w:sz="0" w:space="0" w:color="auto"/>
                                  </w:divBdr>
                                  <w:divsChild>
                                    <w:div w:id="1643537804">
                                      <w:marLeft w:val="0"/>
                                      <w:marRight w:val="0"/>
                                      <w:marTop w:val="0"/>
                                      <w:marBottom w:val="0"/>
                                      <w:divBdr>
                                        <w:top w:val="none" w:sz="0" w:space="0" w:color="auto"/>
                                        <w:left w:val="none" w:sz="0" w:space="0" w:color="auto"/>
                                        <w:bottom w:val="none" w:sz="0" w:space="0" w:color="auto"/>
                                        <w:right w:val="none" w:sz="0" w:space="0" w:color="auto"/>
                                      </w:divBdr>
                                      <w:divsChild>
                                        <w:div w:id="1698970150">
                                          <w:marLeft w:val="0"/>
                                          <w:marRight w:val="0"/>
                                          <w:marTop w:val="0"/>
                                          <w:marBottom w:val="0"/>
                                          <w:divBdr>
                                            <w:top w:val="none" w:sz="0" w:space="0" w:color="auto"/>
                                            <w:left w:val="none" w:sz="0" w:space="0" w:color="auto"/>
                                            <w:bottom w:val="none" w:sz="0" w:space="0" w:color="auto"/>
                                            <w:right w:val="none" w:sz="0" w:space="0" w:color="auto"/>
                                          </w:divBdr>
                                          <w:divsChild>
                                            <w:div w:id="1088111240">
                                              <w:marLeft w:val="0"/>
                                              <w:marRight w:val="0"/>
                                              <w:marTop w:val="0"/>
                                              <w:marBottom w:val="0"/>
                                              <w:divBdr>
                                                <w:top w:val="none" w:sz="0" w:space="0" w:color="auto"/>
                                                <w:left w:val="none" w:sz="0" w:space="0" w:color="auto"/>
                                                <w:bottom w:val="none" w:sz="0" w:space="0" w:color="auto"/>
                                                <w:right w:val="none" w:sz="0" w:space="0" w:color="auto"/>
                                              </w:divBdr>
                                              <w:divsChild>
                                                <w:div w:id="781613006">
                                                  <w:marLeft w:val="0"/>
                                                  <w:marRight w:val="0"/>
                                                  <w:marTop w:val="0"/>
                                                  <w:marBottom w:val="450"/>
                                                  <w:divBdr>
                                                    <w:top w:val="none" w:sz="0" w:space="0" w:color="auto"/>
                                                    <w:left w:val="none" w:sz="0" w:space="0" w:color="auto"/>
                                                    <w:bottom w:val="none" w:sz="0" w:space="0" w:color="auto"/>
                                                    <w:right w:val="none" w:sz="0" w:space="0" w:color="auto"/>
                                                  </w:divBdr>
                                                  <w:divsChild>
                                                    <w:div w:id="67466102">
                                                      <w:marLeft w:val="7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2193960">
      <w:bodyDiv w:val="1"/>
      <w:marLeft w:val="0"/>
      <w:marRight w:val="0"/>
      <w:marTop w:val="0"/>
      <w:marBottom w:val="0"/>
      <w:divBdr>
        <w:top w:val="none" w:sz="0" w:space="0" w:color="auto"/>
        <w:left w:val="none" w:sz="0" w:space="0" w:color="auto"/>
        <w:bottom w:val="none" w:sz="0" w:space="0" w:color="auto"/>
        <w:right w:val="none" w:sz="0" w:space="0" w:color="auto"/>
      </w:divBdr>
    </w:div>
    <w:div w:id="1694332939">
      <w:bodyDiv w:val="1"/>
      <w:marLeft w:val="0"/>
      <w:marRight w:val="0"/>
      <w:marTop w:val="0"/>
      <w:marBottom w:val="0"/>
      <w:divBdr>
        <w:top w:val="none" w:sz="0" w:space="0" w:color="auto"/>
        <w:left w:val="none" w:sz="0" w:space="0" w:color="auto"/>
        <w:bottom w:val="none" w:sz="0" w:space="0" w:color="auto"/>
        <w:right w:val="none" w:sz="0" w:space="0" w:color="auto"/>
      </w:divBdr>
    </w:div>
    <w:div w:id="1733456223">
      <w:bodyDiv w:val="1"/>
      <w:marLeft w:val="0"/>
      <w:marRight w:val="0"/>
      <w:marTop w:val="0"/>
      <w:marBottom w:val="0"/>
      <w:divBdr>
        <w:top w:val="none" w:sz="0" w:space="0" w:color="auto"/>
        <w:left w:val="none" w:sz="0" w:space="0" w:color="auto"/>
        <w:bottom w:val="none" w:sz="0" w:space="0" w:color="auto"/>
        <w:right w:val="none" w:sz="0" w:space="0" w:color="auto"/>
      </w:divBdr>
    </w:div>
    <w:div w:id="1772503156">
      <w:bodyDiv w:val="1"/>
      <w:marLeft w:val="0"/>
      <w:marRight w:val="0"/>
      <w:marTop w:val="0"/>
      <w:marBottom w:val="0"/>
      <w:divBdr>
        <w:top w:val="none" w:sz="0" w:space="0" w:color="auto"/>
        <w:left w:val="none" w:sz="0" w:space="0" w:color="auto"/>
        <w:bottom w:val="none" w:sz="0" w:space="0" w:color="auto"/>
        <w:right w:val="none" w:sz="0" w:space="0" w:color="auto"/>
      </w:divBdr>
    </w:div>
    <w:div w:id="1984040918">
      <w:bodyDiv w:val="1"/>
      <w:marLeft w:val="0"/>
      <w:marRight w:val="0"/>
      <w:marTop w:val="0"/>
      <w:marBottom w:val="0"/>
      <w:divBdr>
        <w:top w:val="none" w:sz="0" w:space="0" w:color="auto"/>
        <w:left w:val="none" w:sz="0" w:space="0" w:color="auto"/>
        <w:bottom w:val="none" w:sz="0" w:space="0" w:color="auto"/>
        <w:right w:val="none" w:sz="0" w:space="0" w:color="auto"/>
      </w:divBdr>
      <w:divsChild>
        <w:div w:id="479225319">
          <w:marLeft w:val="0"/>
          <w:marRight w:val="0"/>
          <w:marTop w:val="0"/>
          <w:marBottom w:val="0"/>
          <w:divBdr>
            <w:top w:val="none" w:sz="0" w:space="0" w:color="auto"/>
            <w:left w:val="none" w:sz="0" w:space="0" w:color="auto"/>
            <w:bottom w:val="none" w:sz="0" w:space="0" w:color="auto"/>
            <w:right w:val="none" w:sz="0" w:space="0" w:color="auto"/>
          </w:divBdr>
          <w:divsChild>
            <w:div w:id="820074012">
              <w:marLeft w:val="0"/>
              <w:marRight w:val="0"/>
              <w:marTop w:val="0"/>
              <w:marBottom w:val="0"/>
              <w:divBdr>
                <w:top w:val="none" w:sz="0" w:space="0" w:color="auto"/>
                <w:left w:val="none" w:sz="0" w:space="0" w:color="auto"/>
                <w:bottom w:val="none" w:sz="0" w:space="0" w:color="auto"/>
                <w:right w:val="none" w:sz="0" w:space="0" w:color="auto"/>
              </w:divBdr>
              <w:divsChild>
                <w:div w:id="336659060">
                  <w:marLeft w:val="0"/>
                  <w:marRight w:val="0"/>
                  <w:marTop w:val="0"/>
                  <w:marBottom w:val="0"/>
                  <w:divBdr>
                    <w:top w:val="none" w:sz="0" w:space="0" w:color="auto"/>
                    <w:left w:val="none" w:sz="0" w:space="0" w:color="auto"/>
                    <w:bottom w:val="none" w:sz="0" w:space="0" w:color="auto"/>
                    <w:right w:val="none" w:sz="0" w:space="0" w:color="auto"/>
                  </w:divBdr>
                  <w:divsChild>
                    <w:div w:id="1357539029">
                      <w:marLeft w:val="10"/>
                      <w:marRight w:val="0"/>
                      <w:marTop w:val="0"/>
                      <w:marBottom w:val="0"/>
                      <w:divBdr>
                        <w:top w:val="none" w:sz="0" w:space="0" w:color="auto"/>
                        <w:left w:val="none" w:sz="0" w:space="0" w:color="auto"/>
                        <w:bottom w:val="none" w:sz="0" w:space="0" w:color="auto"/>
                        <w:right w:val="none" w:sz="0" w:space="0" w:color="auto"/>
                      </w:divBdr>
                      <w:divsChild>
                        <w:div w:id="200403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770379">
      <w:bodyDiv w:val="1"/>
      <w:marLeft w:val="0"/>
      <w:marRight w:val="0"/>
      <w:marTop w:val="0"/>
      <w:marBottom w:val="0"/>
      <w:divBdr>
        <w:top w:val="none" w:sz="0" w:space="0" w:color="auto"/>
        <w:left w:val="none" w:sz="0" w:space="0" w:color="auto"/>
        <w:bottom w:val="none" w:sz="0" w:space="0" w:color="auto"/>
        <w:right w:val="none" w:sz="0" w:space="0" w:color="auto"/>
      </w:divBdr>
    </w:div>
    <w:div w:id="2040348387">
      <w:bodyDiv w:val="1"/>
      <w:marLeft w:val="0"/>
      <w:marRight w:val="0"/>
      <w:marTop w:val="0"/>
      <w:marBottom w:val="0"/>
      <w:divBdr>
        <w:top w:val="none" w:sz="0" w:space="0" w:color="auto"/>
        <w:left w:val="none" w:sz="0" w:space="0" w:color="auto"/>
        <w:bottom w:val="none" w:sz="0" w:space="0" w:color="auto"/>
        <w:right w:val="none" w:sz="0" w:space="0" w:color="auto"/>
      </w:divBdr>
    </w:div>
    <w:div w:id="211597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7400\Desktop\&#38928;&#31639;&#20013;&#24515;&#27243;&#24335;&#31684;&#26412;&#21450;&#31243;&#24335;&#26032;\doctemp091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F1F23-4877-4F7A-8210-D97C69695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doctemp0914.dot</Template>
  <TotalTime>1</TotalTime>
  <Pages>8</Pages>
  <Words>745</Words>
  <Characters>4248</Characters>
  <Application>Microsoft Office Word</Application>
  <DocSecurity>0</DocSecurity>
  <Lines>35</Lines>
  <Paragraphs>9</Paragraphs>
  <ScaleCrop>false</ScaleCrop>
  <Company/>
  <LinksUpToDate>false</LinksUpToDate>
  <CharactersWithSpaces>4984</CharactersWithSpaces>
  <SharedDoc>false</SharedDoc>
  <HLinks>
    <vt:vector size="78" baseType="variant">
      <vt:variant>
        <vt:i4>1048625</vt:i4>
      </vt:variant>
      <vt:variant>
        <vt:i4>74</vt:i4>
      </vt:variant>
      <vt:variant>
        <vt:i4>0</vt:i4>
      </vt:variant>
      <vt:variant>
        <vt:i4>5</vt:i4>
      </vt:variant>
      <vt:variant>
        <vt:lpwstr/>
      </vt:variant>
      <vt:variant>
        <vt:lpwstr>_Toc181965736</vt:lpwstr>
      </vt:variant>
      <vt:variant>
        <vt:i4>1048625</vt:i4>
      </vt:variant>
      <vt:variant>
        <vt:i4>68</vt:i4>
      </vt:variant>
      <vt:variant>
        <vt:i4>0</vt:i4>
      </vt:variant>
      <vt:variant>
        <vt:i4>5</vt:i4>
      </vt:variant>
      <vt:variant>
        <vt:lpwstr/>
      </vt:variant>
      <vt:variant>
        <vt:lpwstr>_Toc181965735</vt:lpwstr>
      </vt:variant>
      <vt:variant>
        <vt:i4>1048625</vt:i4>
      </vt:variant>
      <vt:variant>
        <vt:i4>62</vt:i4>
      </vt:variant>
      <vt:variant>
        <vt:i4>0</vt:i4>
      </vt:variant>
      <vt:variant>
        <vt:i4>5</vt:i4>
      </vt:variant>
      <vt:variant>
        <vt:lpwstr/>
      </vt:variant>
      <vt:variant>
        <vt:lpwstr>_Toc181965734</vt:lpwstr>
      </vt:variant>
      <vt:variant>
        <vt:i4>1048625</vt:i4>
      </vt:variant>
      <vt:variant>
        <vt:i4>56</vt:i4>
      </vt:variant>
      <vt:variant>
        <vt:i4>0</vt:i4>
      </vt:variant>
      <vt:variant>
        <vt:i4>5</vt:i4>
      </vt:variant>
      <vt:variant>
        <vt:lpwstr/>
      </vt:variant>
      <vt:variant>
        <vt:lpwstr>_Toc181965733</vt:lpwstr>
      </vt:variant>
      <vt:variant>
        <vt:i4>1048625</vt:i4>
      </vt:variant>
      <vt:variant>
        <vt:i4>50</vt:i4>
      </vt:variant>
      <vt:variant>
        <vt:i4>0</vt:i4>
      </vt:variant>
      <vt:variant>
        <vt:i4>5</vt:i4>
      </vt:variant>
      <vt:variant>
        <vt:lpwstr/>
      </vt:variant>
      <vt:variant>
        <vt:lpwstr>_Toc181965732</vt:lpwstr>
      </vt:variant>
      <vt:variant>
        <vt:i4>1048625</vt:i4>
      </vt:variant>
      <vt:variant>
        <vt:i4>44</vt:i4>
      </vt:variant>
      <vt:variant>
        <vt:i4>0</vt:i4>
      </vt:variant>
      <vt:variant>
        <vt:i4>5</vt:i4>
      </vt:variant>
      <vt:variant>
        <vt:lpwstr/>
      </vt:variant>
      <vt:variant>
        <vt:lpwstr>_Toc181965731</vt:lpwstr>
      </vt:variant>
      <vt:variant>
        <vt:i4>1048625</vt:i4>
      </vt:variant>
      <vt:variant>
        <vt:i4>38</vt:i4>
      </vt:variant>
      <vt:variant>
        <vt:i4>0</vt:i4>
      </vt:variant>
      <vt:variant>
        <vt:i4>5</vt:i4>
      </vt:variant>
      <vt:variant>
        <vt:lpwstr/>
      </vt:variant>
      <vt:variant>
        <vt:lpwstr>_Toc181965730</vt:lpwstr>
      </vt:variant>
      <vt:variant>
        <vt:i4>1114161</vt:i4>
      </vt:variant>
      <vt:variant>
        <vt:i4>32</vt:i4>
      </vt:variant>
      <vt:variant>
        <vt:i4>0</vt:i4>
      </vt:variant>
      <vt:variant>
        <vt:i4>5</vt:i4>
      </vt:variant>
      <vt:variant>
        <vt:lpwstr/>
      </vt:variant>
      <vt:variant>
        <vt:lpwstr>_Toc181965729</vt:lpwstr>
      </vt:variant>
      <vt:variant>
        <vt:i4>1114161</vt:i4>
      </vt:variant>
      <vt:variant>
        <vt:i4>26</vt:i4>
      </vt:variant>
      <vt:variant>
        <vt:i4>0</vt:i4>
      </vt:variant>
      <vt:variant>
        <vt:i4>5</vt:i4>
      </vt:variant>
      <vt:variant>
        <vt:lpwstr/>
      </vt:variant>
      <vt:variant>
        <vt:lpwstr>_Toc181965728</vt:lpwstr>
      </vt:variant>
      <vt:variant>
        <vt:i4>1114161</vt:i4>
      </vt:variant>
      <vt:variant>
        <vt:i4>20</vt:i4>
      </vt:variant>
      <vt:variant>
        <vt:i4>0</vt:i4>
      </vt:variant>
      <vt:variant>
        <vt:i4>5</vt:i4>
      </vt:variant>
      <vt:variant>
        <vt:lpwstr/>
      </vt:variant>
      <vt:variant>
        <vt:lpwstr>_Toc181965727</vt:lpwstr>
      </vt:variant>
      <vt:variant>
        <vt:i4>1114161</vt:i4>
      </vt:variant>
      <vt:variant>
        <vt:i4>14</vt:i4>
      </vt:variant>
      <vt:variant>
        <vt:i4>0</vt:i4>
      </vt:variant>
      <vt:variant>
        <vt:i4>5</vt:i4>
      </vt:variant>
      <vt:variant>
        <vt:lpwstr/>
      </vt:variant>
      <vt:variant>
        <vt:lpwstr>_Toc181965726</vt:lpwstr>
      </vt:variant>
      <vt:variant>
        <vt:i4>1114161</vt:i4>
      </vt:variant>
      <vt:variant>
        <vt:i4>8</vt:i4>
      </vt:variant>
      <vt:variant>
        <vt:i4>0</vt:i4>
      </vt:variant>
      <vt:variant>
        <vt:i4>5</vt:i4>
      </vt:variant>
      <vt:variant>
        <vt:lpwstr/>
      </vt:variant>
      <vt:variant>
        <vt:lpwstr>_Toc181965725</vt:lpwstr>
      </vt:variant>
      <vt:variant>
        <vt:i4>1114161</vt:i4>
      </vt:variant>
      <vt:variant>
        <vt:i4>2</vt:i4>
      </vt:variant>
      <vt:variant>
        <vt:i4>0</vt:i4>
      </vt:variant>
      <vt:variant>
        <vt:i4>5</vt:i4>
      </vt:variant>
      <vt:variant>
        <vt:lpwstr/>
      </vt:variant>
      <vt:variant>
        <vt:lpwstr>_Toc181965724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2024-11-08T03:06:00Z</cp:lastPrinted>
  <dcterms:created xsi:type="dcterms:W3CDTF">2024-11-08T07:42:00Z</dcterms:created>
  <dcterms:modified xsi:type="dcterms:W3CDTF">2024-11-08T07:42:00Z</dcterms:modified>
</cp:coreProperties>
</file>